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C4C9" w14:textId="66AFDE8E" w:rsidR="00BB2CB4" w:rsidRPr="00490BF7" w:rsidRDefault="000674DA" w:rsidP="00490BF7">
      <w:pPr>
        <w:pStyle w:val="Heading1"/>
      </w:pPr>
      <w:r>
        <w:t>Appendix A: Policy decisions taken since the</w:t>
      </w:r>
      <w:r w:rsidR="005F4A87">
        <w:t xml:space="preserve"> 2025 PEFO</w:t>
      </w:r>
    </w:p>
    <w:p w14:paraId="791B49B4" w14:textId="77777777" w:rsidR="00BB2CB4" w:rsidRDefault="000674DA" w:rsidP="00A0662C">
      <w:pPr>
        <w:pStyle w:val="Heading2"/>
      </w:pPr>
      <w:r w:rsidRPr="00A0662C">
        <w:t>Receipt</w:t>
      </w:r>
      <w:r>
        <w:t xml:space="preserve"> Measures</w:t>
      </w:r>
    </w:p>
    <w:p w14:paraId="26E773CE" w14:textId="69048EF8" w:rsidR="00BB2CB4" w:rsidRDefault="000674DA">
      <w:pPr>
        <w:pStyle w:val="TableHeading"/>
      </w:pPr>
      <w:r>
        <w:t xml:space="preserve">Table </w:t>
      </w:r>
      <w:r w:rsidR="002D3018" w:rsidRPr="002D3018">
        <w:t>A.1</w:t>
      </w:r>
      <w:r>
        <w:t>: Receipt measures since the 2025 PEFO⁽ª⁾</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BB2CB4" w:rsidRPr="00222C32" w14:paraId="6141F31A" w14:textId="77777777" w:rsidTr="00EE61C7">
        <w:tc>
          <w:tcPr>
            <w:tcW w:w="3471" w:type="dxa"/>
            <w:tcBorders>
              <w:top w:val="single" w:sz="4" w:space="0" w:color="293F5B"/>
              <w:bottom w:val="nil"/>
            </w:tcBorders>
          </w:tcPr>
          <w:p w14:paraId="18527197" w14:textId="77777777" w:rsidR="00BB2CB4" w:rsidRPr="00222C32" w:rsidRDefault="00BB2CB4">
            <w:pPr>
              <w:pStyle w:val="Summarytabletextrightaligned"/>
            </w:pPr>
          </w:p>
        </w:tc>
        <w:tc>
          <w:tcPr>
            <w:tcW w:w="850" w:type="dxa"/>
            <w:tcBorders>
              <w:top w:val="single" w:sz="4" w:space="0" w:color="293F5B"/>
              <w:bottom w:val="nil"/>
            </w:tcBorders>
          </w:tcPr>
          <w:p w14:paraId="2DDC79D6" w14:textId="77777777" w:rsidR="00BB2CB4" w:rsidRPr="00222C32" w:rsidRDefault="000674DA">
            <w:pPr>
              <w:pStyle w:val="Summarytabletextrightaligned"/>
            </w:pPr>
            <w:r w:rsidRPr="00222C32">
              <w:t>2024-25</w:t>
            </w:r>
          </w:p>
        </w:tc>
        <w:tc>
          <w:tcPr>
            <w:tcW w:w="850" w:type="dxa"/>
            <w:tcBorders>
              <w:top w:val="single" w:sz="4" w:space="0" w:color="293F5B"/>
              <w:bottom w:val="nil"/>
            </w:tcBorders>
            <w:shd w:val="clear" w:color="auto" w:fill="E6F2FF"/>
          </w:tcPr>
          <w:p w14:paraId="7E3AC142" w14:textId="77777777" w:rsidR="00BB2CB4" w:rsidRPr="00222C32" w:rsidRDefault="000674DA">
            <w:pPr>
              <w:pStyle w:val="Summarytabletextrightaligned"/>
            </w:pPr>
            <w:r w:rsidRPr="00222C32">
              <w:t>2025-26</w:t>
            </w:r>
          </w:p>
        </w:tc>
        <w:tc>
          <w:tcPr>
            <w:tcW w:w="850" w:type="dxa"/>
            <w:tcBorders>
              <w:top w:val="single" w:sz="4" w:space="0" w:color="293F5B"/>
              <w:bottom w:val="nil"/>
            </w:tcBorders>
          </w:tcPr>
          <w:p w14:paraId="2F14FBDC" w14:textId="77777777" w:rsidR="00BB2CB4" w:rsidRPr="00222C32" w:rsidRDefault="000674DA">
            <w:pPr>
              <w:pStyle w:val="Summarytabletextrightaligned"/>
            </w:pPr>
            <w:r w:rsidRPr="00222C32">
              <w:t>2026-27</w:t>
            </w:r>
          </w:p>
        </w:tc>
        <w:tc>
          <w:tcPr>
            <w:tcW w:w="850" w:type="dxa"/>
            <w:tcBorders>
              <w:top w:val="single" w:sz="4" w:space="0" w:color="293F5B"/>
              <w:bottom w:val="nil"/>
            </w:tcBorders>
          </w:tcPr>
          <w:p w14:paraId="530EFC90" w14:textId="77777777" w:rsidR="00BB2CB4" w:rsidRPr="00222C32" w:rsidRDefault="000674DA">
            <w:pPr>
              <w:pStyle w:val="Summarytabletextrightaligned"/>
            </w:pPr>
            <w:r w:rsidRPr="00222C32">
              <w:t>2027-28</w:t>
            </w:r>
          </w:p>
        </w:tc>
        <w:tc>
          <w:tcPr>
            <w:tcW w:w="850" w:type="dxa"/>
            <w:tcBorders>
              <w:top w:val="single" w:sz="4" w:space="0" w:color="293F5B"/>
              <w:bottom w:val="nil"/>
            </w:tcBorders>
          </w:tcPr>
          <w:p w14:paraId="00FC11C2" w14:textId="77777777" w:rsidR="00BB2CB4" w:rsidRPr="00222C32" w:rsidRDefault="000674DA">
            <w:pPr>
              <w:pStyle w:val="Summarytabletextrightaligned"/>
            </w:pPr>
            <w:r w:rsidRPr="00222C32">
              <w:t>2028-29</w:t>
            </w:r>
          </w:p>
        </w:tc>
      </w:tr>
      <w:tr w:rsidR="00BB2CB4" w:rsidRPr="00222C32" w14:paraId="741C91E2" w14:textId="77777777" w:rsidTr="00EE61C7">
        <w:tc>
          <w:tcPr>
            <w:tcW w:w="3471" w:type="dxa"/>
            <w:tcBorders>
              <w:top w:val="nil"/>
            </w:tcBorders>
          </w:tcPr>
          <w:p w14:paraId="3A180C0E" w14:textId="77777777" w:rsidR="00BB2CB4" w:rsidRPr="00222C32" w:rsidRDefault="00BB2CB4">
            <w:pPr>
              <w:pStyle w:val="Summarytabletextrightaligned"/>
            </w:pPr>
          </w:p>
        </w:tc>
        <w:tc>
          <w:tcPr>
            <w:tcW w:w="850" w:type="dxa"/>
            <w:tcBorders>
              <w:top w:val="nil"/>
              <w:bottom w:val="single" w:sz="4" w:space="0" w:color="293F5B"/>
            </w:tcBorders>
          </w:tcPr>
          <w:p w14:paraId="479351B2" w14:textId="77777777" w:rsidR="00BB2CB4" w:rsidRPr="00222C32" w:rsidRDefault="000674DA">
            <w:pPr>
              <w:pStyle w:val="Summarytabletextrightaligned"/>
            </w:pPr>
            <w:r w:rsidRPr="00222C32">
              <w:t>$m</w:t>
            </w:r>
          </w:p>
        </w:tc>
        <w:tc>
          <w:tcPr>
            <w:tcW w:w="850" w:type="dxa"/>
            <w:tcBorders>
              <w:top w:val="nil"/>
              <w:bottom w:val="single" w:sz="4" w:space="0" w:color="293F5B"/>
            </w:tcBorders>
            <w:shd w:val="clear" w:color="auto" w:fill="E6F2FF"/>
          </w:tcPr>
          <w:p w14:paraId="79B206FB"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3DC2CBE9"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751585E1"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55BDF994" w14:textId="77777777" w:rsidR="00BB2CB4" w:rsidRPr="00222C32" w:rsidRDefault="000674DA">
            <w:pPr>
              <w:pStyle w:val="Summarytabletextrightaligned"/>
            </w:pPr>
            <w:r w:rsidRPr="00222C32">
              <w:t>$m</w:t>
            </w:r>
          </w:p>
        </w:tc>
      </w:tr>
      <w:tr w:rsidR="00BB2CB4" w:rsidRPr="00222C32" w14:paraId="0FB10C7E" w14:textId="77777777" w:rsidTr="00EE61C7">
        <w:tc>
          <w:tcPr>
            <w:tcW w:w="3471" w:type="dxa"/>
            <w:vAlign w:val="bottom"/>
          </w:tcPr>
          <w:p w14:paraId="07157341" w14:textId="77777777" w:rsidR="00BB2CB4" w:rsidRPr="00222C32" w:rsidRDefault="000674DA">
            <w:pPr>
              <w:pStyle w:val="SummaryPortfolioTitle-BP2"/>
            </w:pPr>
            <w:r w:rsidRPr="00222C32">
              <w:t>AGRICULTURE, FISHERIES AND FORESTRY</w:t>
            </w:r>
          </w:p>
        </w:tc>
        <w:tc>
          <w:tcPr>
            <w:tcW w:w="850" w:type="dxa"/>
            <w:tcBorders>
              <w:top w:val="single" w:sz="4" w:space="0" w:color="293F5B"/>
              <w:bottom w:val="nil"/>
            </w:tcBorders>
          </w:tcPr>
          <w:p w14:paraId="5CF34AAB" w14:textId="77777777" w:rsidR="00BB2CB4" w:rsidRPr="00222C32" w:rsidRDefault="00BB2CB4">
            <w:pPr>
              <w:pStyle w:val="MeasureTableTextRightAlignedBefore6ptAfter1pt"/>
            </w:pPr>
          </w:p>
        </w:tc>
        <w:tc>
          <w:tcPr>
            <w:tcW w:w="850" w:type="dxa"/>
            <w:tcBorders>
              <w:top w:val="single" w:sz="4" w:space="0" w:color="293F5B"/>
              <w:bottom w:val="nil"/>
            </w:tcBorders>
            <w:shd w:val="clear" w:color="auto" w:fill="E6F2FF"/>
          </w:tcPr>
          <w:p w14:paraId="7C847BF3" w14:textId="77777777" w:rsidR="00BB2CB4" w:rsidRPr="00222C32" w:rsidRDefault="00BB2CB4">
            <w:pPr>
              <w:pStyle w:val="MeasureTableTextRightAlignedBefore6ptAfter1pt"/>
            </w:pPr>
          </w:p>
        </w:tc>
        <w:tc>
          <w:tcPr>
            <w:tcW w:w="850" w:type="dxa"/>
            <w:tcBorders>
              <w:top w:val="single" w:sz="4" w:space="0" w:color="293F5B"/>
              <w:bottom w:val="nil"/>
            </w:tcBorders>
          </w:tcPr>
          <w:p w14:paraId="019426D2" w14:textId="77777777" w:rsidR="00BB2CB4" w:rsidRPr="00222C32" w:rsidRDefault="00BB2CB4">
            <w:pPr>
              <w:pStyle w:val="MeasureTableTextRightAlignedBefore6ptAfter1pt"/>
            </w:pPr>
          </w:p>
        </w:tc>
        <w:tc>
          <w:tcPr>
            <w:tcW w:w="850" w:type="dxa"/>
            <w:tcBorders>
              <w:top w:val="single" w:sz="4" w:space="0" w:color="293F5B"/>
              <w:bottom w:val="nil"/>
            </w:tcBorders>
          </w:tcPr>
          <w:p w14:paraId="2BA1FE69" w14:textId="77777777" w:rsidR="00BB2CB4" w:rsidRPr="00222C32" w:rsidRDefault="00BB2CB4">
            <w:pPr>
              <w:pStyle w:val="MeasureTableTextRightAlignedBefore6ptAfter1pt"/>
            </w:pPr>
          </w:p>
        </w:tc>
        <w:tc>
          <w:tcPr>
            <w:tcW w:w="850" w:type="dxa"/>
            <w:tcBorders>
              <w:top w:val="single" w:sz="4" w:space="0" w:color="293F5B"/>
              <w:bottom w:val="nil"/>
            </w:tcBorders>
          </w:tcPr>
          <w:p w14:paraId="00A9DDDD" w14:textId="77777777" w:rsidR="00BB2CB4" w:rsidRPr="00222C32" w:rsidRDefault="00BB2CB4">
            <w:pPr>
              <w:pStyle w:val="MeasureTableTextRightAlignedBefore6ptAfter1pt"/>
            </w:pPr>
          </w:p>
        </w:tc>
      </w:tr>
      <w:tr w:rsidR="00BB2CB4" w:rsidRPr="00222C32" w14:paraId="38D2F4FD" w14:textId="77777777" w:rsidTr="00825163">
        <w:tc>
          <w:tcPr>
            <w:tcW w:w="3471" w:type="dxa"/>
            <w:vAlign w:val="bottom"/>
          </w:tcPr>
          <w:p w14:paraId="1638E527" w14:textId="77777777" w:rsidR="00BB2CB4" w:rsidRPr="00222C32" w:rsidRDefault="000674DA">
            <w:pPr>
              <w:pStyle w:val="SummaryAgencyTitle-BP2"/>
            </w:pPr>
            <w:r w:rsidRPr="00222C32">
              <w:t>Department of Agriculture, Fisheries and Forestry</w:t>
            </w:r>
          </w:p>
        </w:tc>
        <w:tc>
          <w:tcPr>
            <w:tcW w:w="850" w:type="dxa"/>
            <w:tcBorders>
              <w:top w:val="nil"/>
            </w:tcBorders>
          </w:tcPr>
          <w:p w14:paraId="1FBBC650" w14:textId="77777777" w:rsidR="00BB2CB4" w:rsidRPr="00222C32" w:rsidRDefault="00BB2CB4">
            <w:pPr>
              <w:pStyle w:val="SummaryAgencyTitle-BP2"/>
            </w:pPr>
          </w:p>
        </w:tc>
        <w:tc>
          <w:tcPr>
            <w:tcW w:w="850" w:type="dxa"/>
            <w:tcBorders>
              <w:top w:val="nil"/>
            </w:tcBorders>
            <w:shd w:val="clear" w:color="auto" w:fill="E6F2FF"/>
          </w:tcPr>
          <w:p w14:paraId="01B3A6EF" w14:textId="77777777" w:rsidR="00BB2CB4" w:rsidRPr="00222C32" w:rsidRDefault="00BB2CB4">
            <w:pPr>
              <w:pStyle w:val="SummaryAgencyTitle-BP2"/>
            </w:pPr>
          </w:p>
        </w:tc>
        <w:tc>
          <w:tcPr>
            <w:tcW w:w="850" w:type="dxa"/>
            <w:tcBorders>
              <w:top w:val="nil"/>
            </w:tcBorders>
          </w:tcPr>
          <w:p w14:paraId="6417D751" w14:textId="77777777" w:rsidR="00BB2CB4" w:rsidRPr="00222C32" w:rsidRDefault="00BB2CB4">
            <w:pPr>
              <w:pStyle w:val="SummaryAgencyTitle-BP2"/>
            </w:pPr>
          </w:p>
        </w:tc>
        <w:tc>
          <w:tcPr>
            <w:tcW w:w="850" w:type="dxa"/>
            <w:tcBorders>
              <w:top w:val="nil"/>
            </w:tcBorders>
          </w:tcPr>
          <w:p w14:paraId="01AC3CFC" w14:textId="77777777" w:rsidR="00BB2CB4" w:rsidRPr="00222C32" w:rsidRDefault="00BB2CB4">
            <w:pPr>
              <w:pStyle w:val="SummaryAgencyTitle-BP2"/>
            </w:pPr>
          </w:p>
        </w:tc>
        <w:tc>
          <w:tcPr>
            <w:tcW w:w="850" w:type="dxa"/>
            <w:tcBorders>
              <w:top w:val="nil"/>
            </w:tcBorders>
          </w:tcPr>
          <w:p w14:paraId="47AC5202" w14:textId="77777777" w:rsidR="00BB2CB4" w:rsidRPr="00222C32" w:rsidRDefault="00BB2CB4">
            <w:pPr>
              <w:pStyle w:val="SummaryAgencyTitle-BP2"/>
            </w:pPr>
          </w:p>
        </w:tc>
      </w:tr>
      <w:tr w:rsidR="00BB2CB4" w:rsidRPr="00222C32" w14:paraId="0A129297" w14:textId="77777777" w:rsidTr="00825163">
        <w:tc>
          <w:tcPr>
            <w:tcW w:w="3471" w:type="dxa"/>
            <w:vAlign w:val="bottom"/>
          </w:tcPr>
          <w:p w14:paraId="100D6BB9" w14:textId="77777777" w:rsidR="00BB2CB4" w:rsidRPr="00222C32" w:rsidRDefault="000674DA">
            <w:pPr>
              <w:pStyle w:val="SummaryMeasureTitlewithTheme"/>
            </w:pPr>
            <w:r w:rsidRPr="00222C32">
              <w:t>Future of the Regional Investment Corporation(b)</w:t>
            </w:r>
          </w:p>
        </w:tc>
        <w:tc>
          <w:tcPr>
            <w:tcW w:w="850" w:type="dxa"/>
            <w:vAlign w:val="bottom"/>
          </w:tcPr>
          <w:p w14:paraId="6DEA5B91" w14:textId="77777777" w:rsidR="00BB2CB4" w:rsidRPr="00222C32" w:rsidRDefault="000674DA">
            <w:pPr>
              <w:pStyle w:val="Summarytabletextrightaligned"/>
            </w:pPr>
            <w:r w:rsidRPr="00222C32">
              <w:t>-</w:t>
            </w:r>
          </w:p>
        </w:tc>
        <w:tc>
          <w:tcPr>
            <w:tcW w:w="850" w:type="dxa"/>
            <w:shd w:val="clear" w:color="auto" w:fill="E6F2FF"/>
            <w:vAlign w:val="bottom"/>
          </w:tcPr>
          <w:p w14:paraId="52C7AED4" w14:textId="77777777" w:rsidR="00BB2CB4" w:rsidRPr="00222C32" w:rsidRDefault="000674DA">
            <w:pPr>
              <w:pStyle w:val="Summarytabletextrightaligned"/>
            </w:pPr>
            <w:r w:rsidRPr="00222C32">
              <w:t>-4.0</w:t>
            </w:r>
          </w:p>
        </w:tc>
        <w:tc>
          <w:tcPr>
            <w:tcW w:w="850" w:type="dxa"/>
            <w:vAlign w:val="bottom"/>
          </w:tcPr>
          <w:p w14:paraId="518ADD3F" w14:textId="77777777" w:rsidR="00BB2CB4" w:rsidRPr="00222C32" w:rsidRDefault="000674DA">
            <w:pPr>
              <w:pStyle w:val="Summarytabletextrightaligned"/>
            </w:pPr>
            <w:r w:rsidRPr="00222C32">
              <w:t>4.7</w:t>
            </w:r>
          </w:p>
        </w:tc>
        <w:tc>
          <w:tcPr>
            <w:tcW w:w="850" w:type="dxa"/>
            <w:vAlign w:val="bottom"/>
          </w:tcPr>
          <w:p w14:paraId="575698BF" w14:textId="77777777" w:rsidR="00BB2CB4" w:rsidRPr="00222C32" w:rsidRDefault="000674DA">
            <w:pPr>
              <w:pStyle w:val="Summarytabletextrightaligned"/>
            </w:pPr>
            <w:r w:rsidRPr="00222C32">
              <w:t>19.3</w:t>
            </w:r>
          </w:p>
        </w:tc>
        <w:tc>
          <w:tcPr>
            <w:tcW w:w="850" w:type="dxa"/>
            <w:vAlign w:val="bottom"/>
          </w:tcPr>
          <w:p w14:paraId="302EAF94" w14:textId="77777777" w:rsidR="00BB2CB4" w:rsidRPr="00222C32" w:rsidRDefault="000674DA">
            <w:pPr>
              <w:pStyle w:val="Summarytabletextrightaligned"/>
            </w:pPr>
            <w:r w:rsidRPr="00222C32">
              <w:t>38.3</w:t>
            </w:r>
          </w:p>
        </w:tc>
      </w:tr>
      <w:tr w:rsidR="00BB2CB4" w:rsidRPr="00222C32" w14:paraId="2C1F6A5A" w14:textId="77777777" w:rsidTr="00825163">
        <w:tc>
          <w:tcPr>
            <w:tcW w:w="3471" w:type="dxa"/>
            <w:vAlign w:val="bottom"/>
          </w:tcPr>
          <w:p w14:paraId="058E6BD2" w14:textId="6CBFEDE5" w:rsidR="00BB2CB4" w:rsidRPr="00222C32" w:rsidRDefault="000674DA">
            <w:pPr>
              <w:pStyle w:val="SummaryMeasureTitlewithTheme"/>
            </w:pPr>
            <w:r w:rsidRPr="00222C32">
              <w:t xml:space="preserve">Primary Industries – </w:t>
            </w:r>
            <w:r w:rsidR="003F65D7">
              <w:t>c</w:t>
            </w:r>
            <w:r w:rsidRPr="00222C32">
              <w:t xml:space="preserve">hanges to </w:t>
            </w:r>
            <w:r w:rsidR="00264E51">
              <w:t>a</w:t>
            </w:r>
            <w:r w:rsidRPr="00222C32">
              <w:t xml:space="preserve">gricultural </w:t>
            </w:r>
            <w:r w:rsidR="00264E51">
              <w:t>l</w:t>
            </w:r>
            <w:r w:rsidRPr="00222C32">
              <w:t>evies(b)</w:t>
            </w:r>
          </w:p>
        </w:tc>
        <w:tc>
          <w:tcPr>
            <w:tcW w:w="850" w:type="dxa"/>
            <w:vAlign w:val="bottom"/>
          </w:tcPr>
          <w:p w14:paraId="43CB1D46" w14:textId="77777777" w:rsidR="00BB2CB4" w:rsidRPr="00222C32" w:rsidRDefault="000674DA">
            <w:pPr>
              <w:pStyle w:val="Summarytabletextrightaligned"/>
            </w:pPr>
            <w:r w:rsidRPr="00222C32">
              <w:t>-</w:t>
            </w:r>
          </w:p>
        </w:tc>
        <w:tc>
          <w:tcPr>
            <w:tcW w:w="850" w:type="dxa"/>
            <w:shd w:val="clear" w:color="auto" w:fill="E6F2FF"/>
            <w:vAlign w:val="bottom"/>
          </w:tcPr>
          <w:p w14:paraId="622ED2EE" w14:textId="77777777" w:rsidR="00BB2CB4" w:rsidRPr="00222C32" w:rsidRDefault="000674DA">
            <w:pPr>
              <w:pStyle w:val="Summarytabletextrightaligned"/>
            </w:pPr>
            <w:r w:rsidRPr="00222C32">
              <w:t>4.5</w:t>
            </w:r>
          </w:p>
        </w:tc>
        <w:tc>
          <w:tcPr>
            <w:tcW w:w="850" w:type="dxa"/>
            <w:vAlign w:val="bottom"/>
          </w:tcPr>
          <w:p w14:paraId="395EDFC2" w14:textId="77777777" w:rsidR="00BB2CB4" w:rsidRPr="00222C32" w:rsidRDefault="000674DA">
            <w:pPr>
              <w:pStyle w:val="Summarytabletextrightaligned"/>
            </w:pPr>
            <w:r w:rsidRPr="00222C32">
              <w:t>4.6</w:t>
            </w:r>
          </w:p>
        </w:tc>
        <w:tc>
          <w:tcPr>
            <w:tcW w:w="850" w:type="dxa"/>
            <w:vAlign w:val="bottom"/>
          </w:tcPr>
          <w:p w14:paraId="07BAF384" w14:textId="77777777" w:rsidR="00BB2CB4" w:rsidRPr="00222C32" w:rsidRDefault="000674DA">
            <w:pPr>
              <w:pStyle w:val="Summarytabletextrightaligned"/>
            </w:pPr>
            <w:r w:rsidRPr="00222C32">
              <w:t>4.7</w:t>
            </w:r>
          </w:p>
        </w:tc>
        <w:tc>
          <w:tcPr>
            <w:tcW w:w="850" w:type="dxa"/>
            <w:vAlign w:val="bottom"/>
          </w:tcPr>
          <w:p w14:paraId="2A1CC0DB" w14:textId="77777777" w:rsidR="00BB2CB4" w:rsidRPr="00222C32" w:rsidRDefault="000674DA">
            <w:pPr>
              <w:pStyle w:val="Summarytabletextrightaligned"/>
            </w:pPr>
            <w:r w:rsidRPr="00222C32">
              <w:t>4.7</w:t>
            </w:r>
          </w:p>
        </w:tc>
      </w:tr>
      <w:tr w:rsidR="00BB2CB4" w:rsidRPr="00222C32" w14:paraId="18CD01DA" w14:textId="77777777" w:rsidTr="00825163">
        <w:tc>
          <w:tcPr>
            <w:tcW w:w="3471" w:type="dxa"/>
            <w:vAlign w:val="bottom"/>
          </w:tcPr>
          <w:p w14:paraId="4C3FBB89" w14:textId="77777777" w:rsidR="00BB2CB4" w:rsidRPr="00222C32" w:rsidRDefault="000674DA">
            <w:pPr>
              <w:pStyle w:val="SummaryMeasureTitlewithTheme"/>
            </w:pPr>
            <w:r w:rsidRPr="00222C32">
              <w:t>Securing the Future of Agricultural Trade(b)</w:t>
            </w:r>
          </w:p>
        </w:tc>
        <w:tc>
          <w:tcPr>
            <w:tcW w:w="850" w:type="dxa"/>
            <w:vAlign w:val="bottom"/>
          </w:tcPr>
          <w:p w14:paraId="440A637E" w14:textId="77777777" w:rsidR="00BB2CB4" w:rsidRPr="00222C32" w:rsidRDefault="000674DA">
            <w:pPr>
              <w:pStyle w:val="Summarytabletextrightaligned"/>
            </w:pPr>
            <w:r w:rsidRPr="00222C32">
              <w:t>-</w:t>
            </w:r>
          </w:p>
        </w:tc>
        <w:tc>
          <w:tcPr>
            <w:tcW w:w="850" w:type="dxa"/>
            <w:shd w:val="clear" w:color="auto" w:fill="E6F2FF"/>
            <w:vAlign w:val="bottom"/>
          </w:tcPr>
          <w:p w14:paraId="5D97A1C1" w14:textId="77777777" w:rsidR="00BB2CB4" w:rsidRPr="00222C32" w:rsidRDefault="000674DA">
            <w:pPr>
              <w:pStyle w:val="Summarytabletextrightaligned"/>
            </w:pPr>
            <w:r w:rsidRPr="00222C32">
              <w:t>-</w:t>
            </w:r>
          </w:p>
        </w:tc>
        <w:tc>
          <w:tcPr>
            <w:tcW w:w="850" w:type="dxa"/>
            <w:vAlign w:val="bottom"/>
          </w:tcPr>
          <w:p w14:paraId="1D253FCF" w14:textId="77777777" w:rsidR="00BB2CB4" w:rsidRPr="00222C32" w:rsidRDefault="000674DA">
            <w:pPr>
              <w:pStyle w:val="Summarytabletextrightaligned"/>
            </w:pPr>
            <w:r w:rsidRPr="00222C32">
              <w:t>10.2</w:t>
            </w:r>
          </w:p>
        </w:tc>
        <w:tc>
          <w:tcPr>
            <w:tcW w:w="850" w:type="dxa"/>
            <w:vAlign w:val="bottom"/>
          </w:tcPr>
          <w:p w14:paraId="390DA1BF" w14:textId="77777777" w:rsidR="00BB2CB4" w:rsidRPr="00222C32" w:rsidRDefault="000674DA">
            <w:pPr>
              <w:pStyle w:val="Summarytabletextrightaligned"/>
            </w:pPr>
            <w:r w:rsidRPr="00222C32">
              <w:t>22.9</w:t>
            </w:r>
          </w:p>
        </w:tc>
        <w:tc>
          <w:tcPr>
            <w:tcW w:w="850" w:type="dxa"/>
            <w:vAlign w:val="bottom"/>
          </w:tcPr>
          <w:p w14:paraId="5B02E30B" w14:textId="77777777" w:rsidR="00BB2CB4" w:rsidRPr="00222C32" w:rsidRDefault="000674DA">
            <w:pPr>
              <w:pStyle w:val="Summarytabletextrightaligned"/>
            </w:pPr>
            <w:r w:rsidRPr="00222C32">
              <w:t>19.9</w:t>
            </w:r>
          </w:p>
        </w:tc>
      </w:tr>
      <w:tr w:rsidR="00BB2CB4" w:rsidRPr="00222C32" w14:paraId="6DEFA286" w14:textId="77777777" w:rsidTr="00825163">
        <w:tc>
          <w:tcPr>
            <w:tcW w:w="3471" w:type="dxa"/>
            <w:vAlign w:val="bottom"/>
          </w:tcPr>
          <w:p w14:paraId="0BCCCE68" w14:textId="77777777" w:rsidR="00BB2CB4" w:rsidRPr="00222C32" w:rsidRDefault="000674DA">
            <w:pPr>
              <w:pStyle w:val="SummaryMeasureTitlewithTheme"/>
            </w:pPr>
            <w:r w:rsidRPr="00222C32">
              <w:t>Supporting Transport Priorities(b)</w:t>
            </w:r>
          </w:p>
        </w:tc>
        <w:tc>
          <w:tcPr>
            <w:tcW w:w="850" w:type="dxa"/>
            <w:tcBorders>
              <w:bottom w:val="single" w:sz="4" w:space="0" w:color="293F5B"/>
            </w:tcBorders>
            <w:vAlign w:val="bottom"/>
          </w:tcPr>
          <w:p w14:paraId="4B1726D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2394B96"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7B1598A6" w14:textId="77777777" w:rsidR="00BB2CB4" w:rsidRPr="00222C32" w:rsidRDefault="000674DA">
            <w:pPr>
              <w:pStyle w:val="Summarytabletextrightaligned"/>
            </w:pPr>
            <w:r w:rsidRPr="00222C32">
              <w:t>0.2</w:t>
            </w:r>
          </w:p>
        </w:tc>
        <w:tc>
          <w:tcPr>
            <w:tcW w:w="850" w:type="dxa"/>
            <w:tcBorders>
              <w:bottom w:val="single" w:sz="4" w:space="0" w:color="293F5B"/>
            </w:tcBorders>
            <w:vAlign w:val="bottom"/>
          </w:tcPr>
          <w:p w14:paraId="068E0C5F" w14:textId="77777777" w:rsidR="00BB2CB4" w:rsidRPr="00222C32" w:rsidRDefault="000674DA">
            <w:pPr>
              <w:pStyle w:val="Summarytabletextrightaligned"/>
            </w:pPr>
            <w:r w:rsidRPr="00222C32">
              <w:t>2.8</w:t>
            </w:r>
          </w:p>
        </w:tc>
        <w:tc>
          <w:tcPr>
            <w:tcW w:w="850" w:type="dxa"/>
            <w:tcBorders>
              <w:bottom w:val="single" w:sz="4" w:space="0" w:color="293F5B"/>
            </w:tcBorders>
            <w:vAlign w:val="bottom"/>
          </w:tcPr>
          <w:p w14:paraId="127D59ED" w14:textId="77777777" w:rsidR="00BB2CB4" w:rsidRPr="00222C32" w:rsidRDefault="000674DA">
            <w:pPr>
              <w:pStyle w:val="Summarytabletextrightaligned"/>
            </w:pPr>
            <w:r w:rsidRPr="00222C32">
              <w:t>3.9</w:t>
            </w:r>
          </w:p>
        </w:tc>
      </w:tr>
      <w:tr w:rsidR="00BB2CB4" w:rsidRPr="00222C32" w14:paraId="5767E03F" w14:textId="77777777" w:rsidTr="00825163">
        <w:tc>
          <w:tcPr>
            <w:tcW w:w="3471" w:type="dxa"/>
            <w:vAlign w:val="bottom"/>
          </w:tcPr>
          <w:p w14:paraId="1D3AEF2F"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8F6A554"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29317DC1" w14:textId="77777777" w:rsidR="00BB2CB4" w:rsidRPr="00222C32" w:rsidRDefault="000674DA">
            <w:pPr>
              <w:pStyle w:val="Summarytabletextrightalignedbold"/>
            </w:pPr>
            <w:r w:rsidRPr="00222C32">
              <w:t>0.5</w:t>
            </w:r>
          </w:p>
        </w:tc>
        <w:tc>
          <w:tcPr>
            <w:tcW w:w="850" w:type="dxa"/>
            <w:tcBorders>
              <w:top w:val="single" w:sz="4" w:space="0" w:color="293F5B"/>
              <w:bottom w:val="single" w:sz="4" w:space="0" w:color="293F5B"/>
            </w:tcBorders>
            <w:vAlign w:val="bottom"/>
          </w:tcPr>
          <w:p w14:paraId="6AB220DD" w14:textId="77777777" w:rsidR="00BB2CB4" w:rsidRPr="00222C32" w:rsidRDefault="000674DA">
            <w:pPr>
              <w:pStyle w:val="Summarytabletextrightalignedbold"/>
            </w:pPr>
            <w:r w:rsidRPr="00222C32">
              <w:t>19.7</w:t>
            </w:r>
          </w:p>
        </w:tc>
        <w:tc>
          <w:tcPr>
            <w:tcW w:w="850" w:type="dxa"/>
            <w:tcBorders>
              <w:top w:val="single" w:sz="4" w:space="0" w:color="293F5B"/>
              <w:bottom w:val="single" w:sz="4" w:space="0" w:color="293F5B"/>
            </w:tcBorders>
            <w:vAlign w:val="bottom"/>
          </w:tcPr>
          <w:p w14:paraId="4EA3B0A0" w14:textId="77777777" w:rsidR="00BB2CB4" w:rsidRPr="00222C32" w:rsidRDefault="000674DA">
            <w:pPr>
              <w:pStyle w:val="Summarytabletextrightalignedbold"/>
            </w:pPr>
            <w:r w:rsidRPr="00222C32">
              <w:t>49.7</w:t>
            </w:r>
          </w:p>
        </w:tc>
        <w:tc>
          <w:tcPr>
            <w:tcW w:w="850" w:type="dxa"/>
            <w:tcBorders>
              <w:top w:val="single" w:sz="4" w:space="0" w:color="293F5B"/>
              <w:bottom w:val="single" w:sz="4" w:space="0" w:color="293F5B"/>
            </w:tcBorders>
            <w:vAlign w:val="bottom"/>
          </w:tcPr>
          <w:p w14:paraId="78BBCB01" w14:textId="77777777" w:rsidR="00BB2CB4" w:rsidRPr="00222C32" w:rsidRDefault="000674DA">
            <w:pPr>
              <w:pStyle w:val="Summarytabletextrightalignedbold"/>
            </w:pPr>
            <w:r w:rsidRPr="00222C32">
              <w:t>66.9</w:t>
            </w:r>
          </w:p>
        </w:tc>
      </w:tr>
      <w:tr w:rsidR="00BB2CB4" w:rsidRPr="00222C32" w14:paraId="4574CBC3" w14:textId="77777777" w:rsidTr="00825163">
        <w:tc>
          <w:tcPr>
            <w:tcW w:w="3471" w:type="dxa"/>
            <w:vAlign w:val="bottom"/>
          </w:tcPr>
          <w:p w14:paraId="4712A688" w14:textId="1A165591" w:rsidR="00BB2CB4" w:rsidRPr="00222C32" w:rsidRDefault="000674DA">
            <w:pPr>
              <w:pStyle w:val="SummaryPortfolioTitle-BP2"/>
            </w:pPr>
            <w:r w:rsidRPr="00222C32">
              <w:t>ATTORNEY‑GENERAL</w:t>
            </w:r>
            <w:r w:rsidR="00A725B6">
              <w:t>’</w:t>
            </w:r>
            <w:r w:rsidRPr="00222C32">
              <w:t>S</w:t>
            </w:r>
          </w:p>
        </w:tc>
        <w:tc>
          <w:tcPr>
            <w:tcW w:w="850" w:type="dxa"/>
            <w:tcBorders>
              <w:top w:val="single" w:sz="4" w:space="0" w:color="293F5B"/>
            </w:tcBorders>
          </w:tcPr>
          <w:p w14:paraId="318B7A7C"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EE6C109" w14:textId="77777777" w:rsidR="00BB2CB4" w:rsidRPr="00222C32" w:rsidRDefault="00BB2CB4">
            <w:pPr>
              <w:pStyle w:val="MeasureTableTextRightAlignedBefore6ptAfter1pt"/>
            </w:pPr>
          </w:p>
        </w:tc>
        <w:tc>
          <w:tcPr>
            <w:tcW w:w="850" w:type="dxa"/>
            <w:tcBorders>
              <w:top w:val="single" w:sz="4" w:space="0" w:color="293F5B"/>
            </w:tcBorders>
          </w:tcPr>
          <w:p w14:paraId="058855E2" w14:textId="77777777" w:rsidR="00BB2CB4" w:rsidRPr="00222C32" w:rsidRDefault="00BB2CB4">
            <w:pPr>
              <w:pStyle w:val="MeasureTableTextRightAlignedBefore6ptAfter1pt"/>
            </w:pPr>
          </w:p>
        </w:tc>
        <w:tc>
          <w:tcPr>
            <w:tcW w:w="850" w:type="dxa"/>
            <w:tcBorders>
              <w:top w:val="single" w:sz="4" w:space="0" w:color="293F5B"/>
            </w:tcBorders>
          </w:tcPr>
          <w:p w14:paraId="5A5369E2" w14:textId="77777777" w:rsidR="00BB2CB4" w:rsidRPr="00222C32" w:rsidRDefault="00BB2CB4">
            <w:pPr>
              <w:pStyle w:val="MeasureTableTextRightAlignedBefore6ptAfter1pt"/>
            </w:pPr>
          </w:p>
        </w:tc>
        <w:tc>
          <w:tcPr>
            <w:tcW w:w="850" w:type="dxa"/>
            <w:tcBorders>
              <w:top w:val="single" w:sz="4" w:space="0" w:color="293F5B"/>
            </w:tcBorders>
          </w:tcPr>
          <w:p w14:paraId="4D11F870" w14:textId="77777777" w:rsidR="00BB2CB4" w:rsidRPr="00222C32" w:rsidRDefault="00BB2CB4">
            <w:pPr>
              <w:pStyle w:val="MeasureTableTextRightAlignedBefore6ptAfter1pt"/>
            </w:pPr>
          </w:p>
        </w:tc>
      </w:tr>
      <w:tr w:rsidR="00BB2CB4" w:rsidRPr="00222C32" w14:paraId="598A6A09" w14:textId="77777777" w:rsidTr="00825163">
        <w:tc>
          <w:tcPr>
            <w:tcW w:w="3471" w:type="dxa"/>
            <w:vAlign w:val="bottom"/>
          </w:tcPr>
          <w:p w14:paraId="2CB9C0F9" w14:textId="77777777" w:rsidR="00BB2CB4" w:rsidRPr="00222C32" w:rsidRDefault="000674DA">
            <w:pPr>
              <w:pStyle w:val="SummaryAgencyTitle-BP2"/>
            </w:pPr>
            <w:r w:rsidRPr="00222C32">
              <w:t>Federal Court of Australia</w:t>
            </w:r>
          </w:p>
        </w:tc>
        <w:tc>
          <w:tcPr>
            <w:tcW w:w="850" w:type="dxa"/>
          </w:tcPr>
          <w:p w14:paraId="6D2CCEB8" w14:textId="77777777" w:rsidR="00BB2CB4" w:rsidRPr="00222C32" w:rsidRDefault="00BB2CB4">
            <w:pPr>
              <w:pStyle w:val="SummaryAgencyTitle-BP2"/>
            </w:pPr>
          </w:p>
        </w:tc>
        <w:tc>
          <w:tcPr>
            <w:tcW w:w="850" w:type="dxa"/>
            <w:shd w:val="clear" w:color="auto" w:fill="E6F2FF"/>
          </w:tcPr>
          <w:p w14:paraId="6B0366DF" w14:textId="77777777" w:rsidR="00BB2CB4" w:rsidRPr="00222C32" w:rsidRDefault="00BB2CB4">
            <w:pPr>
              <w:pStyle w:val="SummaryAgencyTitle-BP2"/>
            </w:pPr>
          </w:p>
        </w:tc>
        <w:tc>
          <w:tcPr>
            <w:tcW w:w="850" w:type="dxa"/>
          </w:tcPr>
          <w:p w14:paraId="7C8E66EE" w14:textId="77777777" w:rsidR="00BB2CB4" w:rsidRPr="00222C32" w:rsidRDefault="00BB2CB4">
            <w:pPr>
              <w:pStyle w:val="SummaryAgencyTitle-BP2"/>
            </w:pPr>
          </w:p>
        </w:tc>
        <w:tc>
          <w:tcPr>
            <w:tcW w:w="850" w:type="dxa"/>
          </w:tcPr>
          <w:p w14:paraId="7E0FA447" w14:textId="77777777" w:rsidR="00BB2CB4" w:rsidRPr="00222C32" w:rsidRDefault="00BB2CB4">
            <w:pPr>
              <w:pStyle w:val="SummaryAgencyTitle-BP2"/>
            </w:pPr>
          </w:p>
        </w:tc>
        <w:tc>
          <w:tcPr>
            <w:tcW w:w="850" w:type="dxa"/>
          </w:tcPr>
          <w:p w14:paraId="391E46AF" w14:textId="77777777" w:rsidR="00BB2CB4" w:rsidRPr="00222C32" w:rsidRDefault="00BB2CB4">
            <w:pPr>
              <w:pStyle w:val="SummaryAgencyTitle-BP2"/>
            </w:pPr>
          </w:p>
        </w:tc>
      </w:tr>
      <w:tr w:rsidR="00BB2CB4" w:rsidRPr="00222C32" w14:paraId="2421C118" w14:textId="77777777" w:rsidTr="00825163">
        <w:tc>
          <w:tcPr>
            <w:tcW w:w="3471" w:type="dxa"/>
            <w:vAlign w:val="bottom"/>
          </w:tcPr>
          <w:p w14:paraId="2E12B988" w14:textId="77777777" w:rsidR="00BB2CB4" w:rsidRPr="00222C32" w:rsidRDefault="000674DA">
            <w:pPr>
              <w:pStyle w:val="SummaryMeasureTitlewithTheme"/>
            </w:pPr>
            <w:r w:rsidRPr="00222C32">
              <w:t>Competition Reforms(b)</w:t>
            </w:r>
          </w:p>
        </w:tc>
        <w:tc>
          <w:tcPr>
            <w:tcW w:w="850" w:type="dxa"/>
            <w:tcBorders>
              <w:bottom w:val="single" w:sz="4" w:space="0" w:color="293F5B"/>
            </w:tcBorders>
            <w:vAlign w:val="bottom"/>
          </w:tcPr>
          <w:p w14:paraId="1F645D37"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6858D368" w14:textId="77777777" w:rsidR="00BB2CB4" w:rsidRPr="00222C32" w:rsidRDefault="000674DA">
            <w:pPr>
              <w:pStyle w:val="Summarytabletextrightaligned"/>
            </w:pPr>
            <w:r w:rsidRPr="00222C32">
              <w:t>3.2</w:t>
            </w:r>
          </w:p>
        </w:tc>
        <w:tc>
          <w:tcPr>
            <w:tcW w:w="850" w:type="dxa"/>
            <w:tcBorders>
              <w:bottom w:val="single" w:sz="4" w:space="0" w:color="293F5B"/>
            </w:tcBorders>
            <w:vAlign w:val="bottom"/>
          </w:tcPr>
          <w:p w14:paraId="32B3211D" w14:textId="77777777" w:rsidR="00BB2CB4" w:rsidRPr="00222C32" w:rsidRDefault="000674DA">
            <w:pPr>
              <w:pStyle w:val="Summarytabletextrightaligned"/>
            </w:pPr>
            <w:r w:rsidRPr="00222C32">
              <w:t>5.8</w:t>
            </w:r>
          </w:p>
        </w:tc>
        <w:tc>
          <w:tcPr>
            <w:tcW w:w="850" w:type="dxa"/>
            <w:tcBorders>
              <w:bottom w:val="single" w:sz="4" w:space="0" w:color="293F5B"/>
            </w:tcBorders>
            <w:vAlign w:val="bottom"/>
          </w:tcPr>
          <w:p w14:paraId="1D0A1155" w14:textId="77777777" w:rsidR="00BB2CB4" w:rsidRPr="00222C32" w:rsidRDefault="000674DA">
            <w:pPr>
              <w:pStyle w:val="Summarytabletextrightaligned"/>
            </w:pPr>
            <w:r w:rsidRPr="00222C32">
              <w:t>6.1</w:t>
            </w:r>
          </w:p>
        </w:tc>
        <w:tc>
          <w:tcPr>
            <w:tcW w:w="850" w:type="dxa"/>
            <w:tcBorders>
              <w:bottom w:val="single" w:sz="4" w:space="0" w:color="293F5B"/>
            </w:tcBorders>
            <w:vAlign w:val="bottom"/>
          </w:tcPr>
          <w:p w14:paraId="26479B69" w14:textId="77777777" w:rsidR="00BB2CB4" w:rsidRPr="00222C32" w:rsidRDefault="000674DA">
            <w:pPr>
              <w:pStyle w:val="Summarytabletextrightaligned"/>
            </w:pPr>
            <w:r w:rsidRPr="00222C32">
              <w:t>6.4</w:t>
            </w:r>
          </w:p>
        </w:tc>
      </w:tr>
      <w:tr w:rsidR="00BB2CB4" w:rsidRPr="00222C32" w14:paraId="2E0D2BEA" w14:textId="77777777" w:rsidTr="00825163">
        <w:tc>
          <w:tcPr>
            <w:tcW w:w="3471" w:type="dxa"/>
            <w:vAlign w:val="bottom"/>
          </w:tcPr>
          <w:p w14:paraId="3DF9872B"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28C3411B"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65A58365" w14:textId="77777777" w:rsidR="00BB2CB4" w:rsidRPr="00222C32" w:rsidRDefault="000674DA">
            <w:pPr>
              <w:pStyle w:val="Summarytabletextrightalignedbold"/>
            </w:pPr>
            <w:r w:rsidRPr="00222C32">
              <w:t>3.2</w:t>
            </w:r>
          </w:p>
        </w:tc>
        <w:tc>
          <w:tcPr>
            <w:tcW w:w="850" w:type="dxa"/>
            <w:tcBorders>
              <w:top w:val="single" w:sz="4" w:space="0" w:color="293F5B"/>
              <w:bottom w:val="single" w:sz="4" w:space="0" w:color="293F5B"/>
            </w:tcBorders>
            <w:vAlign w:val="bottom"/>
          </w:tcPr>
          <w:p w14:paraId="19AEAAB0" w14:textId="77777777" w:rsidR="00BB2CB4" w:rsidRPr="00222C32" w:rsidRDefault="000674DA">
            <w:pPr>
              <w:pStyle w:val="Summarytabletextrightalignedbold"/>
            </w:pPr>
            <w:r w:rsidRPr="00222C32">
              <w:t>5.8</w:t>
            </w:r>
          </w:p>
        </w:tc>
        <w:tc>
          <w:tcPr>
            <w:tcW w:w="850" w:type="dxa"/>
            <w:tcBorders>
              <w:top w:val="single" w:sz="4" w:space="0" w:color="293F5B"/>
              <w:bottom w:val="single" w:sz="4" w:space="0" w:color="293F5B"/>
            </w:tcBorders>
            <w:vAlign w:val="bottom"/>
          </w:tcPr>
          <w:p w14:paraId="5CD6D21D" w14:textId="77777777" w:rsidR="00BB2CB4" w:rsidRPr="00222C32" w:rsidRDefault="000674DA">
            <w:pPr>
              <w:pStyle w:val="Summarytabletextrightalignedbold"/>
            </w:pPr>
            <w:r w:rsidRPr="00222C32">
              <w:t>6.1</w:t>
            </w:r>
          </w:p>
        </w:tc>
        <w:tc>
          <w:tcPr>
            <w:tcW w:w="850" w:type="dxa"/>
            <w:tcBorders>
              <w:top w:val="single" w:sz="4" w:space="0" w:color="293F5B"/>
              <w:bottom w:val="single" w:sz="4" w:space="0" w:color="293F5B"/>
            </w:tcBorders>
            <w:vAlign w:val="bottom"/>
          </w:tcPr>
          <w:p w14:paraId="38479ADF" w14:textId="77777777" w:rsidR="00BB2CB4" w:rsidRPr="00222C32" w:rsidRDefault="000674DA">
            <w:pPr>
              <w:pStyle w:val="Summarytabletextrightalignedbold"/>
            </w:pPr>
            <w:r w:rsidRPr="00222C32">
              <w:t>6.4</w:t>
            </w:r>
          </w:p>
        </w:tc>
      </w:tr>
      <w:tr w:rsidR="00BB2CB4" w:rsidRPr="00222C32" w14:paraId="3D025484" w14:textId="77777777" w:rsidTr="00825163">
        <w:tc>
          <w:tcPr>
            <w:tcW w:w="3471" w:type="dxa"/>
            <w:vAlign w:val="bottom"/>
          </w:tcPr>
          <w:p w14:paraId="4A5A6DC0" w14:textId="77777777" w:rsidR="00BB2CB4" w:rsidRPr="00222C32" w:rsidRDefault="000674DA">
            <w:pPr>
              <w:pStyle w:val="SummaryPortfolioTitle-BP2"/>
            </w:pPr>
            <w:r w:rsidRPr="00222C32">
              <w:t>CLIMATE CHANGE, ENERGY, THE ENVIRONMENT AND WATER</w:t>
            </w:r>
          </w:p>
        </w:tc>
        <w:tc>
          <w:tcPr>
            <w:tcW w:w="850" w:type="dxa"/>
            <w:tcBorders>
              <w:top w:val="single" w:sz="4" w:space="0" w:color="293F5B"/>
            </w:tcBorders>
          </w:tcPr>
          <w:p w14:paraId="0A312C01"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B71E042" w14:textId="77777777" w:rsidR="00BB2CB4" w:rsidRPr="00222C32" w:rsidRDefault="00BB2CB4">
            <w:pPr>
              <w:pStyle w:val="MeasureTableTextRightAlignedBefore6ptAfter1pt"/>
            </w:pPr>
          </w:p>
        </w:tc>
        <w:tc>
          <w:tcPr>
            <w:tcW w:w="850" w:type="dxa"/>
            <w:tcBorders>
              <w:top w:val="single" w:sz="4" w:space="0" w:color="293F5B"/>
            </w:tcBorders>
          </w:tcPr>
          <w:p w14:paraId="7AB4F8CC" w14:textId="77777777" w:rsidR="00BB2CB4" w:rsidRPr="00222C32" w:rsidRDefault="00BB2CB4">
            <w:pPr>
              <w:pStyle w:val="MeasureTableTextRightAlignedBefore6ptAfter1pt"/>
            </w:pPr>
          </w:p>
        </w:tc>
        <w:tc>
          <w:tcPr>
            <w:tcW w:w="850" w:type="dxa"/>
            <w:tcBorders>
              <w:top w:val="single" w:sz="4" w:space="0" w:color="293F5B"/>
            </w:tcBorders>
          </w:tcPr>
          <w:p w14:paraId="0BB9AC7D" w14:textId="77777777" w:rsidR="00BB2CB4" w:rsidRPr="00222C32" w:rsidRDefault="00BB2CB4">
            <w:pPr>
              <w:pStyle w:val="MeasureTableTextRightAlignedBefore6ptAfter1pt"/>
            </w:pPr>
          </w:p>
        </w:tc>
        <w:tc>
          <w:tcPr>
            <w:tcW w:w="850" w:type="dxa"/>
            <w:tcBorders>
              <w:top w:val="single" w:sz="4" w:space="0" w:color="293F5B"/>
            </w:tcBorders>
          </w:tcPr>
          <w:p w14:paraId="6D1AECFB" w14:textId="77777777" w:rsidR="00BB2CB4" w:rsidRPr="00222C32" w:rsidRDefault="00BB2CB4">
            <w:pPr>
              <w:pStyle w:val="MeasureTableTextRightAlignedBefore6ptAfter1pt"/>
            </w:pPr>
          </w:p>
        </w:tc>
      </w:tr>
      <w:tr w:rsidR="00BB2CB4" w:rsidRPr="00222C32" w14:paraId="0865A7D6" w14:textId="77777777" w:rsidTr="00825163">
        <w:tc>
          <w:tcPr>
            <w:tcW w:w="3471" w:type="dxa"/>
            <w:vAlign w:val="bottom"/>
          </w:tcPr>
          <w:p w14:paraId="1D712532" w14:textId="77777777" w:rsidR="00BB2CB4" w:rsidRPr="00222C32" w:rsidRDefault="000674DA">
            <w:pPr>
              <w:pStyle w:val="SummaryAgencyTitle-BP2"/>
            </w:pPr>
            <w:r w:rsidRPr="00222C32">
              <w:t>Clean Energy Finance Corporation</w:t>
            </w:r>
          </w:p>
        </w:tc>
        <w:tc>
          <w:tcPr>
            <w:tcW w:w="850" w:type="dxa"/>
          </w:tcPr>
          <w:p w14:paraId="18ACAF75" w14:textId="77777777" w:rsidR="00BB2CB4" w:rsidRPr="00222C32" w:rsidRDefault="00BB2CB4">
            <w:pPr>
              <w:pStyle w:val="SummaryAgencyTitle-BP2"/>
            </w:pPr>
          </w:p>
        </w:tc>
        <w:tc>
          <w:tcPr>
            <w:tcW w:w="850" w:type="dxa"/>
            <w:shd w:val="clear" w:color="auto" w:fill="E6F2FF"/>
          </w:tcPr>
          <w:p w14:paraId="33D3C923" w14:textId="77777777" w:rsidR="00BB2CB4" w:rsidRPr="00222C32" w:rsidRDefault="00BB2CB4">
            <w:pPr>
              <w:pStyle w:val="SummaryAgencyTitle-BP2"/>
            </w:pPr>
          </w:p>
        </w:tc>
        <w:tc>
          <w:tcPr>
            <w:tcW w:w="850" w:type="dxa"/>
          </w:tcPr>
          <w:p w14:paraId="5ED80EF1" w14:textId="77777777" w:rsidR="00BB2CB4" w:rsidRPr="00222C32" w:rsidRDefault="00BB2CB4">
            <w:pPr>
              <w:pStyle w:val="SummaryAgencyTitle-BP2"/>
            </w:pPr>
          </w:p>
        </w:tc>
        <w:tc>
          <w:tcPr>
            <w:tcW w:w="850" w:type="dxa"/>
          </w:tcPr>
          <w:p w14:paraId="21C21B7A" w14:textId="77777777" w:rsidR="00BB2CB4" w:rsidRPr="00222C32" w:rsidRDefault="00BB2CB4">
            <w:pPr>
              <w:pStyle w:val="SummaryAgencyTitle-BP2"/>
            </w:pPr>
          </w:p>
        </w:tc>
        <w:tc>
          <w:tcPr>
            <w:tcW w:w="850" w:type="dxa"/>
          </w:tcPr>
          <w:p w14:paraId="2EA4EEB0" w14:textId="77777777" w:rsidR="00BB2CB4" w:rsidRPr="00222C32" w:rsidRDefault="00BB2CB4">
            <w:pPr>
              <w:pStyle w:val="SummaryAgencyTitle-BP2"/>
            </w:pPr>
          </w:p>
        </w:tc>
      </w:tr>
      <w:tr w:rsidR="00BB2CB4" w:rsidRPr="00222C32" w14:paraId="198867E2" w14:textId="77777777" w:rsidTr="00825163">
        <w:tc>
          <w:tcPr>
            <w:tcW w:w="3471" w:type="dxa"/>
            <w:vAlign w:val="bottom"/>
          </w:tcPr>
          <w:p w14:paraId="3EE484AC" w14:textId="77777777" w:rsidR="00BB2CB4" w:rsidRPr="00222C32" w:rsidRDefault="000674DA">
            <w:pPr>
              <w:pStyle w:val="SummaryMeasureTitlewithTheme"/>
            </w:pPr>
            <w:r w:rsidRPr="00222C32">
              <w:t>Support for the Net Zero Plan(b)</w:t>
            </w:r>
          </w:p>
        </w:tc>
        <w:tc>
          <w:tcPr>
            <w:tcW w:w="850" w:type="dxa"/>
            <w:vAlign w:val="bottom"/>
          </w:tcPr>
          <w:p w14:paraId="5FC2A2B5" w14:textId="77777777" w:rsidR="00BB2CB4" w:rsidRPr="00222C32" w:rsidRDefault="000674DA">
            <w:pPr>
              <w:pStyle w:val="Summarytabletextrightaligned"/>
            </w:pPr>
            <w:r w:rsidRPr="00222C32">
              <w:t>-</w:t>
            </w:r>
          </w:p>
        </w:tc>
        <w:tc>
          <w:tcPr>
            <w:tcW w:w="850" w:type="dxa"/>
            <w:shd w:val="clear" w:color="auto" w:fill="E6F2FF"/>
            <w:vAlign w:val="bottom"/>
          </w:tcPr>
          <w:p w14:paraId="48E8ECFE" w14:textId="77777777" w:rsidR="00BB2CB4" w:rsidRPr="00222C32" w:rsidRDefault="000674DA">
            <w:pPr>
              <w:pStyle w:val="Summarytabletextrightaligned"/>
            </w:pPr>
            <w:r w:rsidRPr="00222C32">
              <w:t>-</w:t>
            </w:r>
          </w:p>
        </w:tc>
        <w:tc>
          <w:tcPr>
            <w:tcW w:w="850" w:type="dxa"/>
            <w:vAlign w:val="bottom"/>
          </w:tcPr>
          <w:p w14:paraId="2AD8B40D" w14:textId="77777777" w:rsidR="00BB2CB4" w:rsidRPr="00222C32" w:rsidRDefault="000674DA">
            <w:pPr>
              <w:pStyle w:val="Summarytabletextrightaligned"/>
            </w:pPr>
            <w:r w:rsidRPr="00222C32">
              <w:t>-</w:t>
            </w:r>
          </w:p>
        </w:tc>
        <w:tc>
          <w:tcPr>
            <w:tcW w:w="850" w:type="dxa"/>
            <w:vAlign w:val="bottom"/>
          </w:tcPr>
          <w:p w14:paraId="56802027" w14:textId="77777777" w:rsidR="00BB2CB4" w:rsidRPr="00222C32" w:rsidRDefault="000674DA">
            <w:pPr>
              <w:pStyle w:val="Summarytabletextrightaligned"/>
            </w:pPr>
            <w:r w:rsidRPr="00222C32">
              <w:t>-</w:t>
            </w:r>
          </w:p>
        </w:tc>
        <w:tc>
          <w:tcPr>
            <w:tcW w:w="850" w:type="dxa"/>
            <w:vAlign w:val="bottom"/>
          </w:tcPr>
          <w:p w14:paraId="0C5E524F" w14:textId="77777777" w:rsidR="00BB2CB4" w:rsidRPr="00222C32" w:rsidRDefault="000674DA">
            <w:pPr>
              <w:pStyle w:val="Summarytabletextrightaligned"/>
            </w:pPr>
            <w:r w:rsidRPr="00222C32">
              <w:t>-</w:t>
            </w:r>
          </w:p>
        </w:tc>
      </w:tr>
      <w:tr w:rsidR="00BB2CB4" w:rsidRPr="00222C32" w14:paraId="54CEA7E3" w14:textId="77777777" w:rsidTr="00825163">
        <w:tc>
          <w:tcPr>
            <w:tcW w:w="3471" w:type="dxa"/>
            <w:vAlign w:val="bottom"/>
          </w:tcPr>
          <w:p w14:paraId="21061202" w14:textId="77777777" w:rsidR="00BB2CB4" w:rsidRPr="00222C32" w:rsidRDefault="000674DA">
            <w:pPr>
              <w:pStyle w:val="SummaryAgencyTitle-BP2"/>
            </w:pPr>
            <w:r w:rsidRPr="00222C32">
              <w:t>Clean Energy Regulator</w:t>
            </w:r>
          </w:p>
        </w:tc>
        <w:tc>
          <w:tcPr>
            <w:tcW w:w="850" w:type="dxa"/>
          </w:tcPr>
          <w:p w14:paraId="00EDA674" w14:textId="77777777" w:rsidR="00BB2CB4" w:rsidRPr="00222C32" w:rsidRDefault="00BB2CB4">
            <w:pPr>
              <w:pStyle w:val="SummaryAgencyTitle-BP2"/>
            </w:pPr>
          </w:p>
        </w:tc>
        <w:tc>
          <w:tcPr>
            <w:tcW w:w="850" w:type="dxa"/>
            <w:shd w:val="clear" w:color="auto" w:fill="E6F2FF"/>
          </w:tcPr>
          <w:p w14:paraId="38176DCF" w14:textId="77777777" w:rsidR="00BB2CB4" w:rsidRPr="00222C32" w:rsidRDefault="00BB2CB4">
            <w:pPr>
              <w:pStyle w:val="SummaryAgencyTitle-BP2"/>
            </w:pPr>
          </w:p>
        </w:tc>
        <w:tc>
          <w:tcPr>
            <w:tcW w:w="850" w:type="dxa"/>
          </w:tcPr>
          <w:p w14:paraId="75DC647B" w14:textId="77777777" w:rsidR="00BB2CB4" w:rsidRPr="00222C32" w:rsidRDefault="00BB2CB4">
            <w:pPr>
              <w:pStyle w:val="SummaryAgencyTitle-BP2"/>
            </w:pPr>
          </w:p>
        </w:tc>
        <w:tc>
          <w:tcPr>
            <w:tcW w:w="850" w:type="dxa"/>
          </w:tcPr>
          <w:p w14:paraId="2307B686" w14:textId="77777777" w:rsidR="00BB2CB4" w:rsidRPr="00222C32" w:rsidRDefault="00BB2CB4">
            <w:pPr>
              <w:pStyle w:val="SummaryAgencyTitle-BP2"/>
            </w:pPr>
          </w:p>
        </w:tc>
        <w:tc>
          <w:tcPr>
            <w:tcW w:w="850" w:type="dxa"/>
          </w:tcPr>
          <w:p w14:paraId="79F2059F" w14:textId="77777777" w:rsidR="00BB2CB4" w:rsidRPr="00222C32" w:rsidRDefault="00BB2CB4">
            <w:pPr>
              <w:pStyle w:val="SummaryAgencyTitle-BP2"/>
            </w:pPr>
          </w:p>
        </w:tc>
      </w:tr>
      <w:tr w:rsidR="00BB2CB4" w:rsidRPr="00222C32" w14:paraId="03D8C6FB" w14:textId="77777777" w:rsidTr="00825163">
        <w:tc>
          <w:tcPr>
            <w:tcW w:w="3471" w:type="dxa"/>
            <w:vAlign w:val="bottom"/>
          </w:tcPr>
          <w:p w14:paraId="170B8483" w14:textId="77777777" w:rsidR="00BB2CB4" w:rsidRPr="00222C32" w:rsidRDefault="000674DA">
            <w:pPr>
              <w:pStyle w:val="SummaryMeasureTitlewithTheme"/>
            </w:pPr>
            <w:r w:rsidRPr="00222C32">
              <w:t>Finalising Fixed Delivery Carbon Contract Exit Arrangements(b)</w:t>
            </w:r>
          </w:p>
        </w:tc>
        <w:tc>
          <w:tcPr>
            <w:tcW w:w="850" w:type="dxa"/>
            <w:vAlign w:val="bottom"/>
          </w:tcPr>
          <w:p w14:paraId="2FE74F49" w14:textId="77777777" w:rsidR="00BB2CB4" w:rsidRPr="00222C32" w:rsidRDefault="000674DA">
            <w:pPr>
              <w:pStyle w:val="Summarytabletextrightaligned"/>
            </w:pPr>
            <w:r w:rsidRPr="00222C32">
              <w:t>-</w:t>
            </w:r>
          </w:p>
        </w:tc>
        <w:tc>
          <w:tcPr>
            <w:tcW w:w="850" w:type="dxa"/>
            <w:shd w:val="clear" w:color="auto" w:fill="E6F2FF"/>
            <w:vAlign w:val="bottom"/>
          </w:tcPr>
          <w:p w14:paraId="57D9781D" w14:textId="77777777" w:rsidR="00BB2CB4" w:rsidRPr="00222C32" w:rsidRDefault="000674DA">
            <w:pPr>
              <w:pStyle w:val="Summarytabletextrightaligned"/>
              <w:rPr>
                <w:lang w:val="en-US"/>
              </w:rPr>
            </w:pPr>
            <w:r w:rsidRPr="00222C32">
              <w:rPr>
                <w:lang w:val="en-US"/>
              </w:rPr>
              <w:t>nfp</w:t>
            </w:r>
          </w:p>
        </w:tc>
        <w:tc>
          <w:tcPr>
            <w:tcW w:w="850" w:type="dxa"/>
            <w:vAlign w:val="bottom"/>
          </w:tcPr>
          <w:p w14:paraId="4CE1CD25" w14:textId="77777777" w:rsidR="00BB2CB4" w:rsidRPr="00222C32" w:rsidRDefault="000674DA">
            <w:pPr>
              <w:pStyle w:val="Summarytabletextrightaligned"/>
              <w:rPr>
                <w:lang w:val="en-US"/>
              </w:rPr>
            </w:pPr>
            <w:r w:rsidRPr="00222C32">
              <w:rPr>
                <w:lang w:val="en-US"/>
              </w:rPr>
              <w:t>nfp</w:t>
            </w:r>
          </w:p>
        </w:tc>
        <w:tc>
          <w:tcPr>
            <w:tcW w:w="850" w:type="dxa"/>
            <w:vAlign w:val="bottom"/>
          </w:tcPr>
          <w:p w14:paraId="0D87F1C4" w14:textId="77777777" w:rsidR="00BB2CB4" w:rsidRPr="00222C32" w:rsidRDefault="000674DA">
            <w:pPr>
              <w:pStyle w:val="Summarytabletextrightaligned"/>
              <w:rPr>
                <w:lang w:val="en-US"/>
              </w:rPr>
            </w:pPr>
            <w:r w:rsidRPr="00222C32">
              <w:rPr>
                <w:lang w:val="en-US"/>
              </w:rPr>
              <w:t>nfp</w:t>
            </w:r>
          </w:p>
        </w:tc>
        <w:tc>
          <w:tcPr>
            <w:tcW w:w="850" w:type="dxa"/>
            <w:vAlign w:val="bottom"/>
          </w:tcPr>
          <w:p w14:paraId="3352A034" w14:textId="77777777" w:rsidR="00BB2CB4" w:rsidRPr="00222C32" w:rsidRDefault="000674DA">
            <w:pPr>
              <w:pStyle w:val="Summarytabletextrightaligned"/>
              <w:rPr>
                <w:lang w:val="en-US"/>
              </w:rPr>
            </w:pPr>
            <w:r w:rsidRPr="00222C32">
              <w:rPr>
                <w:lang w:val="en-US"/>
              </w:rPr>
              <w:t>nfp</w:t>
            </w:r>
          </w:p>
        </w:tc>
      </w:tr>
      <w:tr w:rsidR="00BB2CB4" w:rsidRPr="00222C32" w14:paraId="2BC44971" w14:textId="77777777" w:rsidTr="00825163">
        <w:tc>
          <w:tcPr>
            <w:tcW w:w="3471" w:type="dxa"/>
            <w:vAlign w:val="bottom"/>
          </w:tcPr>
          <w:p w14:paraId="2E5647BA" w14:textId="77777777" w:rsidR="00BB2CB4" w:rsidRPr="00222C32" w:rsidRDefault="000674DA">
            <w:pPr>
              <w:pStyle w:val="SummaryAgencyTitle-BP2"/>
            </w:pPr>
            <w:r w:rsidRPr="00222C32">
              <w:t>Department of Climate Change, Energy, the Environment and Water</w:t>
            </w:r>
          </w:p>
        </w:tc>
        <w:tc>
          <w:tcPr>
            <w:tcW w:w="850" w:type="dxa"/>
          </w:tcPr>
          <w:p w14:paraId="3F0A7B6B" w14:textId="77777777" w:rsidR="00BB2CB4" w:rsidRPr="00222C32" w:rsidRDefault="00BB2CB4">
            <w:pPr>
              <w:pStyle w:val="SummaryAgencyTitle-BP2"/>
            </w:pPr>
          </w:p>
        </w:tc>
        <w:tc>
          <w:tcPr>
            <w:tcW w:w="850" w:type="dxa"/>
            <w:shd w:val="clear" w:color="auto" w:fill="E6F2FF"/>
          </w:tcPr>
          <w:p w14:paraId="102D9157" w14:textId="77777777" w:rsidR="00BB2CB4" w:rsidRPr="00222C32" w:rsidRDefault="00BB2CB4">
            <w:pPr>
              <w:pStyle w:val="SummaryAgencyTitle-BP2"/>
            </w:pPr>
          </w:p>
        </w:tc>
        <w:tc>
          <w:tcPr>
            <w:tcW w:w="850" w:type="dxa"/>
          </w:tcPr>
          <w:p w14:paraId="3F2D6570" w14:textId="77777777" w:rsidR="00BB2CB4" w:rsidRPr="00222C32" w:rsidRDefault="00BB2CB4">
            <w:pPr>
              <w:pStyle w:val="SummaryAgencyTitle-BP2"/>
            </w:pPr>
          </w:p>
        </w:tc>
        <w:tc>
          <w:tcPr>
            <w:tcW w:w="850" w:type="dxa"/>
          </w:tcPr>
          <w:p w14:paraId="4B994152" w14:textId="77777777" w:rsidR="00BB2CB4" w:rsidRPr="00222C32" w:rsidRDefault="00BB2CB4">
            <w:pPr>
              <w:pStyle w:val="SummaryAgencyTitle-BP2"/>
            </w:pPr>
          </w:p>
        </w:tc>
        <w:tc>
          <w:tcPr>
            <w:tcW w:w="850" w:type="dxa"/>
          </w:tcPr>
          <w:p w14:paraId="516BB324" w14:textId="77777777" w:rsidR="00BB2CB4" w:rsidRPr="00222C32" w:rsidRDefault="00BB2CB4">
            <w:pPr>
              <w:pStyle w:val="SummaryAgencyTitle-BP2"/>
            </w:pPr>
          </w:p>
        </w:tc>
      </w:tr>
      <w:tr w:rsidR="00BB2CB4" w:rsidRPr="00222C32" w14:paraId="62FE2E12" w14:textId="77777777" w:rsidTr="00825163">
        <w:tc>
          <w:tcPr>
            <w:tcW w:w="3471" w:type="dxa"/>
            <w:vAlign w:val="bottom"/>
          </w:tcPr>
          <w:p w14:paraId="244233F7" w14:textId="77777777" w:rsidR="00BB2CB4" w:rsidRPr="00222C32" w:rsidRDefault="000674DA">
            <w:pPr>
              <w:pStyle w:val="SummaryMeasureTitlewithTheme"/>
            </w:pPr>
            <w:r w:rsidRPr="00222C32">
              <w:t>Support for the Net Zero Plan(b)</w:t>
            </w:r>
          </w:p>
        </w:tc>
        <w:tc>
          <w:tcPr>
            <w:tcW w:w="850" w:type="dxa"/>
            <w:tcBorders>
              <w:bottom w:val="single" w:sz="4" w:space="0" w:color="293F5B"/>
            </w:tcBorders>
            <w:vAlign w:val="bottom"/>
          </w:tcPr>
          <w:p w14:paraId="1AD06240"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4755EAB8"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461A7AE5"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00E98C2C" w14:textId="77777777" w:rsidR="00BB2CB4" w:rsidRPr="00222C32" w:rsidRDefault="000674DA">
            <w:pPr>
              <w:pStyle w:val="Summarytabletextrightaligned"/>
            </w:pPr>
            <w:r w:rsidRPr="00222C32">
              <w:t>0.1</w:t>
            </w:r>
          </w:p>
        </w:tc>
        <w:tc>
          <w:tcPr>
            <w:tcW w:w="850" w:type="dxa"/>
            <w:tcBorders>
              <w:bottom w:val="single" w:sz="4" w:space="0" w:color="293F5B"/>
            </w:tcBorders>
            <w:vAlign w:val="bottom"/>
          </w:tcPr>
          <w:p w14:paraId="1AB31375" w14:textId="77777777" w:rsidR="00BB2CB4" w:rsidRPr="00222C32" w:rsidRDefault="000674DA">
            <w:pPr>
              <w:pStyle w:val="Summarytabletextrightaligned"/>
            </w:pPr>
            <w:r w:rsidRPr="00222C32">
              <w:t>0.2</w:t>
            </w:r>
          </w:p>
        </w:tc>
      </w:tr>
      <w:tr w:rsidR="00BB2CB4" w:rsidRPr="00222C32" w14:paraId="157829D7" w14:textId="77777777" w:rsidTr="00825163">
        <w:tc>
          <w:tcPr>
            <w:tcW w:w="3471" w:type="dxa"/>
            <w:vAlign w:val="bottom"/>
          </w:tcPr>
          <w:p w14:paraId="4C3A4137"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1E4C6E0"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70AE6EC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6EDD3F7B"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38D93484" w14:textId="77777777" w:rsidR="00BB2CB4" w:rsidRPr="00222C32" w:rsidRDefault="000674DA">
            <w:pPr>
              <w:pStyle w:val="Summarytabletextrightalignedbold"/>
            </w:pPr>
            <w:r w:rsidRPr="00222C32">
              <w:t>0.1</w:t>
            </w:r>
          </w:p>
        </w:tc>
        <w:tc>
          <w:tcPr>
            <w:tcW w:w="850" w:type="dxa"/>
            <w:tcBorders>
              <w:top w:val="single" w:sz="4" w:space="0" w:color="293F5B"/>
              <w:bottom w:val="single" w:sz="4" w:space="0" w:color="293F5B"/>
            </w:tcBorders>
            <w:vAlign w:val="bottom"/>
          </w:tcPr>
          <w:p w14:paraId="7FC075E7" w14:textId="77777777" w:rsidR="00BB2CB4" w:rsidRPr="00222C32" w:rsidRDefault="000674DA">
            <w:pPr>
              <w:pStyle w:val="Summarytabletextrightalignedbold"/>
            </w:pPr>
            <w:r w:rsidRPr="00222C32">
              <w:t>0.2</w:t>
            </w:r>
          </w:p>
        </w:tc>
      </w:tr>
      <w:tr w:rsidR="00BB2CB4" w:rsidRPr="00222C32" w14:paraId="18D0646A" w14:textId="77777777" w:rsidTr="00825163">
        <w:tc>
          <w:tcPr>
            <w:tcW w:w="3471" w:type="dxa"/>
            <w:vAlign w:val="bottom"/>
          </w:tcPr>
          <w:p w14:paraId="3DE9C797" w14:textId="77777777" w:rsidR="00BB2CB4" w:rsidRPr="00222C32" w:rsidRDefault="000674DA">
            <w:pPr>
              <w:pStyle w:val="SummaryPortfolioTitle-BP2"/>
            </w:pPr>
            <w:r w:rsidRPr="00222C32">
              <w:t>DEFENCE</w:t>
            </w:r>
          </w:p>
        </w:tc>
        <w:tc>
          <w:tcPr>
            <w:tcW w:w="850" w:type="dxa"/>
            <w:tcBorders>
              <w:top w:val="single" w:sz="4" w:space="0" w:color="293F5B"/>
            </w:tcBorders>
          </w:tcPr>
          <w:p w14:paraId="4C9AC552"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6890AFFB" w14:textId="77777777" w:rsidR="00BB2CB4" w:rsidRPr="00222C32" w:rsidRDefault="00BB2CB4">
            <w:pPr>
              <w:pStyle w:val="MeasureTableTextRightAlignedBefore6ptAfter1pt"/>
            </w:pPr>
          </w:p>
        </w:tc>
        <w:tc>
          <w:tcPr>
            <w:tcW w:w="850" w:type="dxa"/>
            <w:tcBorders>
              <w:top w:val="single" w:sz="4" w:space="0" w:color="293F5B"/>
            </w:tcBorders>
          </w:tcPr>
          <w:p w14:paraId="11BC1E2E" w14:textId="77777777" w:rsidR="00BB2CB4" w:rsidRPr="00222C32" w:rsidRDefault="00BB2CB4">
            <w:pPr>
              <w:pStyle w:val="MeasureTableTextRightAlignedBefore6ptAfter1pt"/>
            </w:pPr>
          </w:p>
        </w:tc>
        <w:tc>
          <w:tcPr>
            <w:tcW w:w="850" w:type="dxa"/>
            <w:tcBorders>
              <w:top w:val="single" w:sz="4" w:space="0" w:color="293F5B"/>
            </w:tcBorders>
          </w:tcPr>
          <w:p w14:paraId="78DE970F" w14:textId="77777777" w:rsidR="00BB2CB4" w:rsidRPr="00222C32" w:rsidRDefault="00BB2CB4">
            <w:pPr>
              <w:pStyle w:val="MeasureTableTextRightAlignedBefore6ptAfter1pt"/>
            </w:pPr>
          </w:p>
        </w:tc>
        <w:tc>
          <w:tcPr>
            <w:tcW w:w="850" w:type="dxa"/>
            <w:tcBorders>
              <w:top w:val="single" w:sz="4" w:space="0" w:color="293F5B"/>
            </w:tcBorders>
          </w:tcPr>
          <w:p w14:paraId="0E561E2D" w14:textId="77777777" w:rsidR="00BB2CB4" w:rsidRPr="00222C32" w:rsidRDefault="00BB2CB4">
            <w:pPr>
              <w:pStyle w:val="MeasureTableTextRightAlignedBefore6ptAfter1pt"/>
            </w:pPr>
          </w:p>
        </w:tc>
      </w:tr>
      <w:tr w:rsidR="00BB2CB4" w:rsidRPr="00222C32" w14:paraId="24EAF9CC" w14:textId="77777777" w:rsidTr="00825163">
        <w:tc>
          <w:tcPr>
            <w:tcW w:w="3471" w:type="dxa"/>
            <w:vAlign w:val="bottom"/>
          </w:tcPr>
          <w:p w14:paraId="0DA8F59A" w14:textId="77777777" w:rsidR="00BB2CB4" w:rsidRPr="00222C32" w:rsidRDefault="000674DA">
            <w:pPr>
              <w:pStyle w:val="SummaryAgencyTitle-BP2"/>
            </w:pPr>
            <w:r w:rsidRPr="00222C32">
              <w:t>Department of Defence</w:t>
            </w:r>
          </w:p>
        </w:tc>
        <w:tc>
          <w:tcPr>
            <w:tcW w:w="850" w:type="dxa"/>
          </w:tcPr>
          <w:p w14:paraId="25E2C62D" w14:textId="77777777" w:rsidR="00BB2CB4" w:rsidRPr="00222C32" w:rsidRDefault="00BB2CB4">
            <w:pPr>
              <w:pStyle w:val="SummaryAgencyTitle-BP2"/>
            </w:pPr>
          </w:p>
        </w:tc>
        <w:tc>
          <w:tcPr>
            <w:tcW w:w="850" w:type="dxa"/>
            <w:shd w:val="clear" w:color="auto" w:fill="E6F2FF"/>
          </w:tcPr>
          <w:p w14:paraId="07D96CCA" w14:textId="77777777" w:rsidR="00BB2CB4" w:rsidRPr="00222C32" w:rsidRDefault="00BB2CB4">
            <w:pPr>
              <w:pStyle w:val="SummaryAgencyTitle-BP2"/>
            </w:pPr>
          </w:p>
        </w:tc>
        <w:tc>
          <w:tcPr>
            <w:tcW w:w="850" w:type="dxa"/>
          </w:tcPr>
          <w:p w14:paraId="3B2F3CF4" w14:textId="77777777" w:rsidR="00BB2CB4" w:rsidRPr="00222C32" w:rsidRDefault="00BB2CB4">
            <w:pPr>
              <w:pStyle w:val="SummaryAgencyTitle-BP2"/>
            </w:pPr>
          </w:p>
        </w:tc>
        <w:tc>
          <w:tcPr>
            <w:tcW w:w="850" w:type="dxa"/>
          </w:tcPr>
          <w:p w14:paraId="1E421FA1" w14:textId="77777777" w:rsidR="00BB2CB4" w:rsidRPr="00222C32" w:rsidRDefault="00BB2CB4">
            <w:pPr>
              <w:pStyle w:val="SummaryAgencyTitle-BP2"/>
            </w:pPr>
          </w:p>
        </w:tc>
        <w:tc>
          <w:tcPr>
            <w:tcW w:w="850" w:type="dxa"/>
          </w:tcPr>
          <w:p w14:paraId="69C425CC" w14:textId="77777777" w:rsidR="00BB2CB4" w:rsidRPr="00222C32" w:rsidRDefault="00BB2CB4">
            <w:pPr>
              <w:pStyle w:val="SummaryAgencyTitle-BP2"/>
            </w:pPr>
          </w:p>
        </w:tc>
      </w:tr>
      <w:tr w:rsidR="00BB2CB4" w:rsidRPr="00222C32" w14:paraId="242F95D9" w14:textId="77777777" w:rsidTr="00825163">
        <w:tc>
          <w:tcPr>
            <w:tcW w:w="3471" w:type="dxa"/>
            <w:vAlign w:val="bottom"/>
          </w:tcPr>
          <w:p w14:paraId="657DD628" w14:textId="77777777" w:rsidR="00BB2CB4" w:rsidRPr="00222C32" w:rsidRDefault="000674DA">
            <w:pPr>
              <w:pStyle w:val="SummaryMeasureTitlewithTheme"/>
            </w:pPr>
            <w:r w:rsidRPr="00222C32">
              <w:t>Supporting Defence Community Engagement(b)</w:t>
            </w:r>
          </w:p>
        </w:tc>
        <w:tc>
          <w:tcPr>
            <w:tcW w:w="850" w:type="dxa"/>
            <w:tcBorders>
              <w:bottom w:val="single" w:sz="4" w:space="0" w:color="293F5B"/>
            </w:tcBorders>
            <w:vAlign w:val="bottom"/>
          </w:tcPr>
          <w:p w14:paraId="278DAE9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016F026A" w14:textId="77777777" w:rsidR="00BB2CB4" w:rsidRPr="00222C32" w:rsidRDefault="000674DA">
            <w:pPr>
              <w:pStyle w:val="Summarytabletextrightaligned"/>
            </w:pPr>
            <w:r w:rsidRPr="00222C32">
              <w:t>1.7</w:t>
            </w:r>
          </w:p>
        </w:tc>
        <w:tc>
          <w:tcPr>
            <w:tcW w:w="850" w:type="dxa"/>
            <w:tcBorders>
              <w:bottom w:val="single" w:sz="4" w:space="0" w:color="293F5B"/>
            </w:tcBorders>
            <w:vAlign w:val="bottom"/>
          </w:tcPr>
          <w:p w14:paraId="1ABC5B27"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470194F3"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22BC12F2" w14:textId="77777777" w:rsidR="00BB2CB4" w:rsidRPr="00222C32" w:rsidRDefault="000674DA">
            <w:pPr>
              <w:pStyle w:val="Summarytabletextrightaligned"/>
            </w:pPr>
            <w:r w:rsidRPr="00222C32">
              <w:t>-</w:t>
            </w:r>
          </w:p>
        </w:tc>
      </w:tr>
      <w:tr w:rsidR="00BB2CB4" w:rsidRPr="00222C32" w14:paraId="3FED86EA" w14:textId="77777777" w:rsidTr="00825163">
        <w:tc>
          <w:tcPr>
            <w:tcW w:w="3471" w:type="dxa"/>
            <w:tcBorders>
              <w:bottom w:val="single" w:sz="4" w:space="0" w:color="293F5B"/>
            </w:tcBorders>
            <w:vAlign w:val="bottom"/>
          </w:tcPr>
          <w:p w14:paraId="509467B1"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85AE48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01FE69EA" w14:textId="77777777" w:rsidR="00BB2CB4" w:rsidRPr="00222C32" w:rsidRDefault="000674DA">
            <w:pPr>
              <w:pStyle w:val="Summarytabletextrightalignedbold"/>
            </w:pPr>
            <w:r w:rsidRPr="00222C32">
              <w:t>1.7</w:t>
            </w:r>
          </w:p>
        </w:tc>
        <w:tc>
          <w:tcPr>
            <w:tcW w:w="850" w:type="dxa"/>
            <w:tcBorders>
              <w:top w:val="single" w:sz="4" w:space="0" w:color="293F5B"/>
              <w:bottom w:val="single" w:sz="4" w:space="0" w:color="293F5B"/>
            </w:tcBorders>
            <w:vAlign w:val="bottom"/>
          </w:tcPr>
          <w:p w14:paraId="1831D914"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4B61880B"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77ACEC2E" w14:textId="77777777" w:rsidR="00BB2CB4" w:rsidRPr="00222C32" w:rsidRDefault="000674DA">
            <w:pPr>
              <w:pStyle w:val="Summarytabletextrightalignedbold"/>
            </w:pPr>
            <w:r w:rsidRPr="00222C32">
              <w:t>-</w:t>
            </w:r>
          </w:p>
        </w:tc>
      </w:tr>
    </w:tbl>
    <w:p w14:paraId="165D8F8F" w14:textId="77777777" w:rsidR="000D63FB" w:rsidRDefault="000D63FB" w:rsidP="000D63FB">
      <w:pPr>
        <w:sectPr w:rsidR="000D63FB" w:rsidSect="00F37D18">
          <w:headerReference w:type="even" r:id="rId7"/>
          <w:headerReference w:type="default" r:id="rId8"/>
          <w:footerReference w:type="even" r:id="rId9"/>
          <w:footerReference w:type="default" r:id="rId10"/>
          <w:headerReference w:type="first" r:id="rId11"/>
          <w:footerReference w:type="first" r:id="rId12"/>
          <w:endnotePr>
            <w:numFmt w:val="lowerLetter"/>
            <w:numRestart w:val="eachSect"/>
          </w:endnotePr>
          <w:pgSz w:w="11906" w:h="16838" w:code="9"/>
          <w:pgMar w:top="2835" w:right="2098" w:bottom="2466" w:left="2098" w:header="1814" w:footer="1814" w:gutter="0"/>
          <w:pgNumType w:start="169"/>
          <w:cols w:space="720"/>
          <w:noEndnote/>
          <w:titlePg/>
          <w:docGrid w:linePitch="272"/>
        </w:sectPr>
      </w:pPr>
    </w:p>
    <w:p w14:paraId="1E591E8B" w14:textId="71F48579" w:rsidR="000D63FB" w:rsidRDefault="000D63FB" w:rsidP="00B0077E">
      <w:pPr>
        <w:pStyle w:val="TableHeadingcontinued"/>
        <w:spacing w:before="0"/>
      </w:pPr>
      <w:r>
        <w:lastRenderedPageBreak/>
        <w:t xml:space="preserve">Table </w:t>
      </w:r>
      <w:r w:rsidR="002D3018" w:rsidRPr="002D3018">
        <w:t>A.1</w:t>
      </w:r>
      <w:r w:rsidR="002D3018">
        <w:t xml:space="preserve">: </w:t>
      </w:r>
      <w:r>
        <w:t>Receipt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189CFE2C" w14:textId="77777777" w:rsidTr="00825163">
        <w:tc>
          <w:tcPr>
            <w:tcW w:w="3471" w:type="dxa"/>
            <w:tcBorders>
              <w:top w:val="single" w:sz="4" w:space="0" w:color="293F5B"/>
              <w:bottom w:val="nil"/>
            </w:tcBorders>
            <w:vAlign w:val="bottom"/>
          </w:tcPr>
          <w:p w14:paraId="5BF579CF" w14:textId="77777777" w:rsidR="000D63FB" w:rsidRPr="00222C32" w:rsidRDefault="000D63FB" w:rsidP="000D63FB"/>
        </w:tc>
        <w:tc>
          <w:tcPr>
            <w:tcW w:w="850" w:type="dxa"/>
            <w:tcBorders>
              <w:top w:val="single" w:sz="4" w:space="0" w:color="293F5B"/>
              <w:bottom w:val="nil"/>
            </w:tcBorders>
          </w:tcPr>
          <w:p w14:paraId="734EE6B1"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34F5151B"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39376994"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1DDA1228"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51F755A2" w14:textId="77777777" w:rsidR="000D63FB" w:rsidRPr="00222C32" w:rsidRDefault="000D63FB" w:rsidP="000D63FB">
            <w:pPr>
              <w:pStyle w:val="Summarytabletextrightaligned"/>
            </w:pPr>
            <w:r w:rsidRPr="00222C32">
              <w:t>2028-29</w:t>
            </w:r>
          </w:p>
        </w:tc>
      </w:tr>
      <w:tr w:rsidR="000D63FB" w:rsidRPr="00222C32" w14:paraId="3BF6308A" w14:textId="77777777" w:rsidTr="00825163">
        <w:tc>
          <w:tcPr>
            <w:tcW w:w="3471" w:type="dxa"/>
            <w:tcBorders>
              <w:top w:val="nil"/>
            </w:tcBorders>
            <w:vAlign w:val="bottom"/>
          </w:tcPr>
          <w:p w14:paraId="59CF9B0D" w14:textId="77777777" w:rsidR="000D63FB" w:rsidRPr="00222C32" w:rsidRDefault="000D63FB" w:rsidP="000D63FB"/>
        </w:tc>
        <w:tc>
          <w:tcPr>
            <w:tcW w:w="850" w:type="dxa"/>
            <w:tcBorders>
              <w:top w:val="nil"/>
              <w:bottom w:val="single" w:sz="4" w:space="0" w:color="293F5B"/>
            </w:tcBorders>
          </w:tcPr>
          <w:p w14:paraId="0C7C1CFD"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1070D288"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53495CDC"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407C3944"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78ADBB45" w14:textId="77777777" w:rsidR="000D63FB" w:rsidRPr="00222C32" w:rsidRDefault="000D63FB" w:rsidP="000D63FB">
            <w:pPr>
              <w:pStyle w:val="Summarytabletextrightaligned"/>
            </w:pPr>
            <w:r w:rsidRPr="00222C32">
              <w:t>$m</w:t>
            </w:r>
          </w:p>
        </w:tc>
      </w:tr>
      <w:tr w:rsidR="00BB2CB4" w:rsidRPr="00222C32" w14:paraId="67A61885" w14:textId="77777777" w:rsidTr="00825163">
        <w:tc>
          <w:tcPr>
            <w:tcW w:w="3471" w:type="dxa"/>
            <w:vAlign w:val="bottom"/>
          </w:tcPr>
          <w:p w14:paraId="6EB0FC51" w14:textId="77777777" w:rsidR="00BB2CB4" w:rsidRPr="00222C32" w:rsidRDefault="000674DA">
            <w:pPr>
              <w:pStyle w:val="SummaryPortfolioTitle-BP2"/>
            </w:pPr>
            <w:r w:rsidRPr="00222C32">
              <w:t>EDUCATION</w:t>
            </w:r>
          </w:p>
        </w:tc>
        <w:tc>
          <w:tcPr>
            <w:tcW w:w="850" w:type="dxa"/>
            <w:tcBorders>
              <w:top w:val="single" w:sz="4" w:space="0" w:color="293F5B"/>
            </w:tcBorders>
          </w:tcPr>
          <w:p w14:paraId="16CC95A1"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1951209" w14:textId="77777777" w:rsidR="00BB2CB4" w:rsidRPr="00222C32" w:rsidRDefault="00BB2CB4">
            <w:pPr>
              <w:pStyle w:val="MeasureTableTextRightAlignedBefore6ptAfter1pt"/>
            </w:pPr>
          </w:p>
        </w:tc>
        <w:tc>
          <w:tcPr>
            <w:tcW w:w="850" w:type="dxa"/>
            <w:tcBorders>
              <w:top w:val="single" w:sz="4" w:space="0" w:color="293F5B"/>
            </w:tcBorders>
          </w:tcPr>
          <w:p w14:paraId="0EE1C73A" w14:textId="77777777" w:rsidR="00BB2CB4" w:rsidRPr="00222C32" w:rsidRDefault="00BB2CB4">
            <w:pPr>
              <w:pStyle w:val="MeasureTableTextRightAlignedBefore6ptAfter1pt"/>
            </w:pPr>
          </w:p>
        </w:tc>
        <w:tc>
          <w:tcPr>
            <w:tcW w:w="850" w:type="dxa"/>
            <w:tcBorders>
              <w:top w:val="single" w:sz="4" w:space="0" w:color="293F5B"/>
            </w:tcBorders>
          </w:tcPr>
          <w:p w14:paraId="06A4BB63" w14:textId="77777777" w:rsidR="00BB2CB4" w:rsidRPr="00222C32" w:rsidRDefault="00BB2CB4">
            <w:pPr>
              <w:pStyle w:val="MeasureTableTextRightAlignedBefore6ptAfter1pt"/>
            </w:pPr>
          </w:p>
        </w:tc>
        <w:tc>
          <w:tcPr>
            <w:tcW w:w="850" w:type="dxa"/>
            <w:tcBorders>
              <w:top w:val="single" w:sz="4" w:space="0" w:color="293F5B"/>
            </w:tcBorders>
          </w:tcPr>
          <w:p w14:paraId="78B58B18" w14:textId="77777777" w:rsidR="00BB2CB4" w:rsidRPr="00222C32" w:rsidRDefault="00BB2CB4">
            <w:pPr>
              <w:pStyle w:val="MeasureTableTextRightAlignedBefore6ptAfter1pt"/>
            </w:pPr>
          </w:p>
        </w:tc>
      </w:tr>
      <w:tr w:rsidR="00BB2CB4" w:rsidRPr="00222C32" w14:paraId="31841F4E" w14:textId="77777777" w:rsidTr="00825163">
        <w:tc>
          <w:tcPr>
            <w:tcW w:w="3471" w:type="dxa"/>
            <w:vAlign w:val="bottom"/>
          </w:tcPr>
          <w:p w14:paraId="6A078972" w14:textId="77777777" w:rsidR="00BB2CB4" w:rsidRPr="00222C32" w:rsidRDefault="000674DA">
            <w:pPr>
              <w:pStyle w:val="SummaryAgencyTitle-BP2"/>
            </w:pPr>
            <w:r w:rsidRPr="00222C32">
              <w:t>Department of Education</w:t>
            </w:r>
          </w:p>
        </w:tc>
        <w:tc>
          <w:tcPr>
            <w:tcW w:w="850" w:type="dxa"/>
          </w:tcPr>
          <w:p w14:paraId="3E30C02B" w14:textId="77777777" w:rsidR="00BB2CB4" w:rsidRPr="00222C32" w:rsidRDefault="00BB2CB4">
            <w:pPr>
              <w:pStyle w:val="SummaryAgencyTitle-BP2"/>
            </w:pPr>
          </w:p>
        </w:tc>
        <w:tc>
          <w:tcPr>
            <w:tcW w:w="850" w:type="dxa"/>
            <w:shd w:val="clear" w:color="auto" w:fill="E6F2FF"/>
          </w:tcPr>
          <w:p w14:paraId="6F48FEB8" w14:textId="77777777" w:rsidR="00BB2CB4" w:rsidRPr="00222C32" w:rsidRDefault="00BB2CB4">
            <w:pPr>
              <w:pStyle w:val="SummaryAgencyTitle-BP2"/>
            </w:pPr>
          </w:p>
        </w:tc>
        <w:tc>
          <w:tcPr>
            <w:tcW w:w="850" w:type="dxa"/>
          </w:tcPr>
          <w:p w14:paraId="5E60D586" w14:textId="77777777" w:rsidR="00BB2CB4" w:rsidRPr="00222C32" w:rsidRDefault="00BB2CB4">
            <w:pPr>
              <w:pStyle w:val="SummaryAgencyTitle-BP2"/>
            </w:pPr>
          </w:p>
        </w:tc>
        <w:tc>
          <w:tcPr>
            <w:tcW w:w="850" w:type="dxa"/>
          </w:tcPr>
          <w:p w14:paraId="43EC591C" w14:textId="77777777" w:rsidR="00BB2CB4" w:rsidRPr="00222C32" w:rsidRDefault="00BB2CB4">
            <w:pPr>
              <w:pStyle w:val="SummaryAgencyTitle-BP2"/>
            </w:pPr>
          </w:p>
        </w:tc>
        <w:tc>
          <w:tcPr>
            <w:tcW w:w="850" w:type="dxa"/>
          </w:tcPr>
          <w:p w14:paraId="5D23626F" w14:textId="77777777" w:rsidR="00BB2CB4" w:rsidRPr="00222C32" w:rsidRDefault="00BB2CB4">
            <w:pPr>
              <w:pStyle w:val="SummaryAgencyTitle-BP2"/>
            </w:pPr>
          </w:p>
        </w:tc>
      </w:tr>
      <w:tr w:rsidR="00BB2CB4" w:rsidRPr="00222C32" w14:paraId="41155D8C" w14:textId="77777777" w:rsidTr="00825163">
        <w:tc>
          <w:tcPr>
            <w:tcW w:w="3471" w:type="dxa"/>
            <w:vAlign w:val="bottom"/>
          </w:tcPr>
          <w:p w14:paraId="34B1CB27" w14:textId="77777777" w:rsidR="00BB2CB4" w:rsidRPr="00222C32" w:rsidRDefault="000674DA">
            <w:pPr>
              <w:pStyle w:val="SummaryMeasureTitlewithTheme"/>
            </w:pPr>
            <w:r w:rsidRPr="00222C32">
              <w:t>A Fairer More Efficient Social Security System(b)</w:t>
            </w:r>
          </w:p>
        </w:tc>
        <w:tc>
          <w:tcPr>
            <w:tcW w:w="850" w:type="dxa"/>
            <w:vAlign w:val="bottom"/>
          </w:tcPr>
          <w:p w14:paraId="23CB6C83" w14:textId="77777777" w:rsidR="00BB2CB4" w:rsidRPr="00222C32" w:rsidRDefault="000674DA">
            <w:pPr>
              <w:pStyle w:val="Summarytabletextrightaligned"/>
            </w:pPr>
            <w:r w:rsidRPr="00222C32">
              <w:t>-</w:t>
            </w:r>
          </w:p>
        </w:tc>
        <w:tc>
          <w:tcPr>
            <w:tcW w:w="850" w:type="dxa"/>
            <w:shd w:val="clear" w:color="auto" w:fill="E6F2FF"/>
            <w:vAlign w:val="bottom"/>
          </w:tcPr>
          <w:p w14:paraId="4E0EB328" w14:textId="77777777" w:rsidR="00BB2CB4" w:rsidRPr="00222C32" w:rsidRDefault="000674DA">
            <w:pPr>
              <w:pStyle w:val="Summarytabletextrightaligned"/>
            </w:pPr>
            <w:r w:rsidRPr="00222C32">
              <w:t>-1.0</w:t>
            </w:r>
          </w:p>
        </w:tc>
        <w:tc>
          <w:tcPr>
            <w:tcW w:w="850" w:type="dxa"/>
            <w:vAlign w:val="bottom"/>
          </w:tcPr>
          <w:p w14:paraId="24FBF002" w14:textId="77777777" w:rsidR="00BB2CB4" w:rsidRPr="00222C32" w:rsidRDefault="000674DA">
            <w:pPr>
              <w:pStyle w:val="Summarytabletextrightaligned"/>
            </w:pPr>
            <w:r w:rsidRPr="00222C32">
              <w:t>-7.7</w:t>
            </w:r>
          </w:p>
        </w:tc>
        <w:tc>
          <w:tcPr>
            <w:tcW w:w="850" w:type="dxa"/>
            <w:vAlign w:val="bottom"/>
          </w:tcPr>
          <w:p w14:paraId="70333478" w14:textId="77777777" w:rsidR="00BB2CB4" w:rsidRPr="00222C32" w:rsidRDefault="000674DA">
            <w:pPr>
              <w:pStyle w:val="Summarytabletextrightaligned"/>
            </w:pPr>
            <w:r w:rsidRPr="00222C32">
              <w:t>-10.1</w:t>
            </w:r>
          </w:p>
        </w:tc>
        <w:tc>
          <w:tcPr>
            <w:tcW w:w="850" w:type="dxa"/>
            <w:vAlign w:val="bottom"/>
          </w:tcPr>
          <w:p w14:paraId="7770E530" w14:textId="77777777" w:rsidR="00BB2CB4" w:rsidRPr="00222C32" w:rsidRDefault="000674DA">
            <w:pPr>
              <w:pStyle w:val="Summarytabletextrightaligned"/>
            </w:pPr>
            <w:r w:rsidRPr="00222C32">
              <w:t>-11.3</w:t>
            </w:r>
          </w:p>
        </w:tc>
      </w:tr>
      <w:tr w:rsidR="00BB2CB4" w:rsidRPr="00222C32" w14:paraId="784E60FA" w14:textId="77777777" w:rsidTr="00825163">
        <w:tc>
          <w:tcPr>
            <w:tcW w:w="3471" w:type="dxa"/>
            <w:vAlign w:val="bottom"/>
          </w:tcPr>
          <w:p w14:paraId="6BB2881E" w14:textId="77777777" w:rsidR="00BB2CB4" w:rsidRPr="00222C32" w:rsidRDefault="000674DA">
            <w:pPr>
              <w:pStyle w:val="SummaryMeasureTitlewithTheme"/>
            </w:pPr>
            <w:r w:rsidRPr="00222C32">
              <w:t>Delivering Election Commitments in the Health, Disability and Ageing Portfolio(b)</w:t>
            </w:r>
          </w:p>
        </w:tc>
        <w:tc>
          <w:tcPr>
            <w:tcW w:w="850" w:type="dxa"/>
            <w:tcBorders>
              <w:bottom w:val="single" w:sz="4" w:space="0" w:color="293F5B"/>
            </w:tcBorders>
            <w:vAlign w:val="bottom"/>
          </w:tcPr>
          <w:p w14:paraId="3B1CD2F2"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BD5650E"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2492AD71"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2A149C59"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73BEC311" w14:textId="77777777" w:rsidR="00BB2CB4" w:rsidRPr="00222C32" w:rsidRDefault="000674DA">
            <w:pPr>
              <w:pStyle w:val="Summarytabletextrightaligned"/>
            </w:pPr>
            <w:r w:rsidRPr="00222C32">
              <w:t>..</w:t>
            </w:r>
          </w:p>
        </w:tc>
      </w:tr>
      <w:tr w:rsidR="00BB2CB4" w:rsidRPr="00222C32" w14:paraId="0DFBD076" w14:textId="77777777" w:rsidTr="00825163">
        <w:tc>
          <w:tcPr>
            <w:tcW w:w="3471" w:type="dxa"/>
            <w:vAlign w:val="bottom"/>
          </w:tcPr>
          <w:p w14:paraId="71EB561F"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C53D47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670B37D7" w14:textId="77777777" w:rsidR="00BB2CB4" w:rsidRPr="00222C32" w:rsidRDefault="000674DA">
            <w:pPr>
              <w:pStyle w:val="Summarytabletextrightalignedbold"/>
            </w:pPr>
            <w:r w:rsidRPr="00222C32">
              <w:t>-1.0</w:t>
            </w:r>
          </w:p>
        </w:tc>
        <w:tc>
          <w:tcPr>
            <w:tcW w:w="850" w:type="dxa"/>
            <w:tcBorders>
              <w:top w:val="single" w:sz="4" w:space="0" w:color="293F5B"/>
              <w:bottom w:val="single" w:sz="4" w:space="0" w:color="293F5B"/>
            </w:tcBorders>
            <w:vAlign w:val="bottom"/>
          </w:tcPr>
          <w:p w14:paraId="346A261F" w14:textId="77777777" w:rsidR="00BB2CB4" w:rsidRPr="00222C32" w:rsidRDefault="000674DA">
            <w:pPr>
              <w:pStyle w:val="Summarytabletextrightalignedbold"/>
            </w:pPr>
            <w:r w:rsidRPr="00222C32">
              <w:t>-7.7</w:t>
            </w:r>
          </w:p>
        </w:tc>
        <w:tc>
          <w:tcPr>
            <w:tcW w:w="850" w:type="dxa"/>
            <w:tcBorders>
              <w:top w:val="single" w:sz="4" w:space="0" w:color="293F5B"/>
              <w:bottom w:val="single" w:sz="4" w:space="0" w:color="293F5B"/>
            </w:tcBorders>
            <w:vAlign w:val="bottom"/>
          </w:tcPr>
          <w:p w14:paraId="67454621" w14:textId="77777777" w:rsidR="00BB2CB4" w:rsidRPr="00222C32" w:rsidRDefault="000674DA">
            <w:pPr>
              <w:pStyle w:val="Summarytabletextrightalignedbold"/>
            </w:pPr>
            <w:r w:rsidRPr="00222C32">
              <w:t>-10.1</w:t>
            </w:r>
          </w:p>
        </w:tc>
        <w:tc>
          <w:tcPr>
            <w:tcW w:w="850" w:type="dxa"/>
            <w:tcBorders>
              <w:top w:val="single" w:sz="4" w:space="0" w:color="293F5B"/>
              <w:bottom w:val="single" w:sz="4" w:space="0" w:color="293F5B"/>
            </w:tcBorders>
            <w:vAlign w:val="bottom"/>
          </w:tcPr>
          <w:p w14:paraId="67A05C24" w14:textId="77777777" w:rsidR="00BB2CB4" w:rsidRPr="00222C32" w:rsidRDefault="000674DA">
            <w:pPr>
              <w:pStyle w:val="Summarytabletextrightalignedbold"/>
            </w:pPr>
            <w:r w:rsidRPr="00222C32">
              <w:t>-11.4</w:t>
            </w:r>
          </w:p>
        </w:tc>
      </w:tr>
      <w:tr w:rsidR="00BB2CB4" w:rsidRPr="00222C32" w14:paraId="27812229" w14:textId="77777777" w:rsidTr="00825163">
        <w:tc>
          <w:tcPr>
            <w:tcW w:w="3471" w:type="dxa"/>
            <w:vAlign w:val="bottom"/>
          </w:tcPr>
          <w:p w14:paraId="1078EA41" w14:textId="77777777" w:rsidR="00BB2CB4" w:rsidRPr="00222C32" w:rsidRDefault="000674DA">
            <w:pPr>
              <w:pStyle w:val="SummaryPortfolioTitle-BP2"/>
            </w:pPr>
            <w:r w:rsidRPr="00222C32">
              <w:t>EMPLOYMENT AND WORKPLACE RELATIONS</w:t>
            </w:r>
          </w:p>
        </w:tc>
        <w:tc>
          <w:tcPr>
            <w:tcW w:w="850" w:type="dxa"/>
            <w:tcBorders>
              <w:top w:val="single" w:sz="4" w:space="0" w:color="293F5B"/>
            </w:tcBorders>
          </w:tcPr>
          <w:p w14:paraId="09BF799D"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1A91FC7" w14:textId="77777777" w:rsidR="00BB2CB4" w:rsidRPr="00222C32" w:rsidRDefault="00BB2CB4">
            <w:pPr>
              <w:pStyle w:val="MeasureTableTextRightAlignedBefore6ptAfter1pt"/>
            </w:pPr>
          </w:p>
        </w:tc>
        <w:tc>
          <w:tcPr>
            <w:tcW w:w="850" w:type="dxa"/>
            <w:tcBorders>
              <w:top w:val="single" w:sz="4" w:space="0" w:color="293F5B"/>
            </w:tcBorders>
          </w:tcPr>
          <w:p w14:paraId="2034E16C" w14:textId="77777777" w:rsidR="00BB2CB4" w:rsidRPr="00222C32" w:rsidRDefault="00BB2CB4">
            <w:pPr>
              <w:pStyle w:val="MeasureTableTextRightAlignedBefore6ptAfter1pt"/>
            </w:pPr>
          </w:p>
        </w:tc>
        <w:tc>
          <w:tcPr>
            <w:tcW w:w="850" w:type="dxa"/>
            <w:tcBorders>
              <w:top w:val="single" w:sz="4" w:space="0" w:color="293F5B"/>
            </w:tcBorders>
          </w:tcPr>
          <w:p w14:paraId="27B8B4B1" w14:textId="77777777" w:rsidR="00BB2CB4" w:rsidRPr="00222C32" w:rsidRDefault="00BB2CB4">
            <w:pPr>
              <w:pStyle w:val="MeasureTableTextRightAlignedBefore6ptAfter1pt"/>
            </w:pPr>
          </w:p>
        </w:tc>
        <w:tc>
          <w:tcPr>
            <w:tcW w:w="850" w:type="dxa"/>
            <w:tcBorders>
              <w:top w:val="single" w:sz="4" w:space="0" w:color="293F5B"/>
            </w:tcBorders>
          </w:tcPr>
          <w:p w14:paraId="73F8B693" w14:textId="77777777" w:rsidR="00BB2CB4" w:rsidRPr="00222C32" w:rsidRDefault="00BB2CB4">
            <w:pPr>
              <w:pStyle w:val="MeasureTableTextRightAlignedBefore6ptAfter1pt"/>
            </w:pPr>
          </w:p>
        </w:tc>
      </w:tr>
      <w:tr w:rsidR="00BB2CB4" w:rsidRPr="00222C32" w14:paraId="14331605" w14:textId="77777777" w:rsidTr="00825163">
        <w:tc>
          <w:tcPr>
            <w:tcW w:w="3471" w:type="dxa"/>
            <w:vAlign w:val="bottom"/>
          </w:tcPr>
          <w:p w14:paraId="20084302" w14:textId="77777777" w:rsidR="00BB2CB4" w:rsidRPr="00222C32" w:rsidRDefault="000674DA">
            <w:pPr>
              <w:pStyle w:val="SummaryAgencyTitle-BP2"/>
            </w:pPr>
            <w:r w:rsidRPr="00222C32">
              <w:t>Department of Employment and Workplace Relations</w:t>
            </w:r>
          </w:p>
        </w:tc>
        <w:tc>
          <w:tcPr>
            <w:tcW w:w="850" w:type="dxa"/>
          </w:tcPr>
          <w:p w14:paraId="77FF5B78" w14:textId="77777777" w:rsidR="00BB2CB4" w:rsidRPr="00222C32" w:rsidRDefault="00BB2CB4">
            <w:pPr>
              <w:pStyle w:val="SummaryAgencyTitle-BP2"/>
            </w:pPr>
          </w:p>
        </w:tc>
        <w:tc>
          <w:tcPr>
            <w:tcW w:w="850" w:type="dxa"/>
            <w:shd w:val="clear" w:color="auto" w:fill="E6F2FF"/>
          </w:tcPr>
          <w:p w14:paraId="1A651032" w14:textId="77777777" w:rsidR="00BB2CB4" w:rsidRPr="00222C32" w:rsidRDefault="00BB2CB4">
            <w:pPr>
              <w:pStyle w:val="SummaryAgencyTitle-BP2"/>
            </w:pPr>
          </w:p>
        </w:tc>
        <w:tc>
          <w:tcPr>
            <w:tcW w:w="850" w:type="dxa"/>
          </w:tcPr>
          <w:p w14:paraId="322AFC8C" w14:textId="77777777" w:rsidR="00BB2CB4" w:rsidRPr="00222C32" w:rsidRDefault="00BB2CB4">
            <w:pPr>
              <w:pStyle w:val="SummaryAgencyTitle-BP2"/>
            </w:pPr>
          </w:p>
        </w:tc>
        <w:tc>
          <w:tcPr>
            <w:tcW w:w="850" w:type="dxa"/>
          </w:tcPr>
          <w:p w14:paraId="36274B0C" w14:textId="77777777" w:rsidR="00BB2CB4" w:rsidRPr="00222C32" w:rsidRDefault="00BB2CB4">
            <w:pPr>
              <w:pStyle w:val="SummaryAgencyTitle-BP2"/>
            </w:pPr>
          </w:p>
        </w:tc>
        <w:tc>
          <w:tcPr>
            <w:tcW w:w="850" w:type="dxa"/>
          </w:tcPr>
          <w:p w14:paraId="1C76CA14" w14:textId="77777777" w:rsidR="00BB2CB4" w:rsidRPr="00222C32" w:rsidRDefault="00BB2CB4">
            <w:pPr>
              <w:pStyle w:val="SummaryAgencyTitle-BP2"/>
            </w:pPr>
          </w:p>
        </w:tc>
      </w:tr>
      <w:tr w:rsidR="00BB2CB4" w:rsidRPr="00222C32" w14:paraId="0E91FEB0" w14:textId="77777777" w:rsidTr="00825163">
        <w:tc>
          <w:tcPr>
            <w:tcW w:w="3471" w:type="dxa"/>
            <w:vAlign w:val="bottom"/>
          </w:tcPr>
          <w:p w14:paraId="06E06C80" w14:textId="77E18970" w:rsidR="00BB2CB4" w:rsidRPr="00222C32" w:rsidRDefault="000674DA">
            <w:pPr>
              <w:pStyle w:val="SummaryMeasureTitlewithTheme"/>
            </w:pPr>
            <w:r w:rsidRPr="00222C32">
              <w:t>Building Australia</w:t>
            </w:r>
            <w:r w:rsidR="00A725B6">
              <w:t>’</w:t>
            </w:r>
            <w:r w:rsidRPr="00222C32">
              <w:t>s Future – delivering priority housing and energy sector training(b)</w:t>
            </w:r>
          </w:p>
        </w:tc>
        <w:tc>
          <w:tcPr>
            <w:tcW w:w="850" w:type="dxa"/>
            <w:tcBorders>
              <w:bottom w:val="single" w:sz="4" w:space="0" w:color="293F5B"/>
            </w:tcBorders>
            <w:vAlign w:val="bottom"/>
          </w:tcPr>
          <w:p w14:paraId="6AAF2431"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C0C66C2"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62CEFD16"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39D02250"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00C1316E" w14:textId="77777777" w:rsidR="00BB2CB4" w:rsidRPr="00222C32" w:rsidRDefault="000674DA">
            <w:pPr>
              <w:pStyle w:val="Summarytabletextrightaligned"/>
            </w:pPr>
            <w:r w:rsidRPr="00222C32">
              <w:t>..</w:t>
            </w:r>
          </w:p>
        </w:tc>
      </w:tr>
      <w:tr w:rsidR="00BB2CB4" w:rsidRPr="00222C32" w14:paraId="15333284" w14:textId="77777777" w:rsidTr="00825163">
        <w:tc>
          <w:tcPr>
            <w:tcW w:w="3471" w:type="dxa"/>
            <w:vAlign w:val="bottom"/>
          </w:tcPr>
          <w:p w14:paraId="11E4627C"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01A2E509"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61394C04"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6E26316C"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4A42E283"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02F8932F" w14:textId="77777777" w:rsidR="00BB2CB4" w:rsidRPr="00222C32" w:rsidRDefault="000674DA">
            <w:pPr>
              <w:pStyle w:val="Summarytabletextrightalignedbold"/>
            </w:pPr>
            <w:r w:rsidRPr="00222C32">
              <w:t>..</w:t>
            </w:r>
          </w:p>
        </w:tc>
      </w:tr>
      <w:tr w:rsidR="00BB2CB4" w:rsidRPr="00222C32" w14:paraId="4AE8351D" w14:textId="77777777" w:rsidTr="00825163">
        <w:tc>
          <w:tcPr>
            <w:tcW w:w="3471" w:type="dxa"/>
            <w:vAlign w:val="bottom"/>
          </w:tcPr>
          <w:p w14:paraId="6825AD85" w14:textId="77777777" w:rsidR="00BB2CB4" w:rsidRPr="00222C32" w:rsidRDefault="000674DA">
            <w:pPr>
              <w:pStyle w:val="SummaryPortfolioTitle-BP2"/>
            </w:pPr>
            <w:r w:rsidRPr="00222C32">
              <w:t>FOREIGN AFFAIRS AND TRADE</w:t>
            </w:r>
          </w:p>
        </w:tc>
        <w:tc>
          <w:tcPr>
            <w:tcW w:w="850" w:type="dxa"/>
            <w:tcBorders>
              <w:top w:val="single" w:sz="4" w:space="0" w:color="293F5B"/>
            </w:tcBorders>
          </w:tcPr>
          <w:p w14:paraId="087EC7AC"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02BECABC" w14:textId="77777777" w:rsidR="00BB2CB4" w:rsidRPr="00222C32" w:rsidRDefault="00BB2CB4">
            <w:pPr>
              <w:pStyle w:val="MeasureTableTextRightAlignedBefore6ptAfter1pt"/>
            </w:pPr>
          </w:p>
        </w:tc>
        <w:tc>
          <w:tcPr>
            <w:tcW w:w="850" w:type="dxa"/>
            <w:tcBorders>
              <w:top w:val="single" w:sz="4" w:space="0" w:color="293F5B"/>
            </w:tcBorders>
          </w:tcPr>
          <w:p w14:paraId="6C743914" w14:textId="77777777" w:rsidR="00BB2CB4" w:rsidRPr="00222C32" w:rsidRDefault="00BB2CB4">
            <w:pPr>
              <w:pStyle w:val="MeasureTableTextRightAlignedBefore6ptAfter1pt"/>
            </w:pPr>
          </w:p>
        </w:tc>
        <w:tc>
          <w:tcPr>
            <w:tcW w:w="850" w:type="dxa"/>
            <w:tcBorders>
              <w:top w:val="single" w:sz="4" w:space="0" w:color="293F5B"/>
            </w:tcBorders>
          </w:tcPr>
          <w:p w14:paraId="41BEA99B" w14:textId="77777777" w:rsidR="00BB2CB4" w:rsidRPr="00222C32" w:rsidRDefault="00BB2CB4">
            <w:pPr>
              <w:pStyle w:val="MeasureTableTextRightAlignedBefore6ptAfter1pt"/>
            </w:pPr>
          </w:p>
        </w:tc>
        <w:tc>
          <w:tcPr>
            <w:tcW w:w="850" w:type="dxa"/>
            <w:tcBorders>
              <w:top w:val="single" w:sz="4" w:space="0" w:color="293F5B"/>
            </w:tcBorders>
          </w:tcPr>
          <w:p w14:paraId="4A7D7B18" w14:textId="77777777" w:rsidR="00BB2CB4" w:rsidRPr="00222C32" w:rsidRDefault="00BB2CB4">
            <w:pPr>
              <w:pStyle w:val="MeasureTableTextRightAlignedBefore6ptAfter1pt"/>
            </w:pPr>
          </w:p>
        </w:tc>
      </w:tr>
      <w:tr w:rsidR="00BB2CB4" w:rsidRPr="00222C32" w14:paraId="56D15C11" w14:textId="77777777" w:rsidTr="00825163">
        <w:tc>
          <w:tcPr>
            <w:tcW w:w="3471" w:type="dxa"/>
            <w:vAlign w:val="bottom"/>
          </w:tcPr>
          <w:p w14:paraId="494A7ADE" w14:textId="77777777" w:rsidR="00BB2CB4" w:rsidRPr="00222C32" w:rsidRDefault="000674DA">
            <w:pPr>
              <w:pStyle w:val="SummaryAgencyTitle-BP2"/>
            </w:pPr>
            <w:r w:rsidRPr="00222C32">
              <w:t>Export Finance and Insurance Corporation (National Interest component)</w:t>
            </w:r>
          </w:p>
        </w:tc>
        <w:tc>
          <w:tcPr>
            <w:tcW w:w="850" w:type="dxa"/>
          </w:tcPr>
          <w:p w14:paraId="49586E9D" w14:textId="77777777" w:rsidR="00BB2CB4" w:rsidRPr="00222C32" w:rsidRDefault="00BB2CB4">
            <w:pPr>
              <w:pStyle w:val="SummaryAgencyTitle-BP2"/>
            </w:pPr>
          </w:p>
        </w:tc>
        <w:tc>
          <w:tcPr>
            <w:tcW w:w="850" w:type="dxa"/>
            <w:shd w:val="clear" w:color="auto" w:fill="E6F2FF"/>
          </w:tcPr>
          <w:p w14:paraId="60986050" w14:textId="77777777" w:rsidR="00BB2CB4" w:rsidRPr="00222C32" w:rsidRDefault="00BB2CB4">
            <w:pPr>
              <w:pStyle w:val="SummaryAgencyTitle-BP2"/>
            </w:pPr>
          </w:p>
        </w:tc>
        <w:tc>
          <w:tcPr>
            <w:tcW w:w="850" w:type="dxa"/>
          </w:tcPr>
          <w:p w14:paraId="50B3D0C0" w14:textId="77777777" w:rsidR="00BB2CB4" w:rsidRPr="00222C32" w:rsidRDefault="00BB2CB4">
            <w:pPr>
              <w:pStyle w:val="SummaryAgencyTitle-BP2"/>
            </w:pPr>
          </w:p>
        </w:tc>
        <w:tc>
          <w:tcPr>
            <w:tcW w:w="850" w:type="dxa"/>
          </w:tcPr>
          <w:p w14:paraId="1D5C40FA" w14:textId="77777777" w:rsidR="00BB2CB4" w:rsidRPr="00222C32" w:rsidRDefault="00BB2CB4">
            <w:pPr>
              <w:pStyle w:val="SummaryAgencyTitle-BP2"/>
            </w:pPr>
          </w:p>
        </w:tc>
        <w:tc>
          <w:tcPr>
            <w:tcW w:w="850" w:type="dxa"/>
          </w:tcPr>
          <w:p w14:paraId="77356785" w14:textId="77777777" w:rsidR="00BB2CB4" w:rsidRPr="00222C32" w:rsidRDefault="00BB2CB4">
            <w:pPr>
              <w:pStyle w:val="SummaryAgencyTitle-BP2"/>
            </w:pPr>
          </w:p>
        </w:tc>
      </w:tr>
      <w:tr w:rsidR="00BB2CB4" w:rsidRPr="00222C32" w14:paraId="72F31BA2" w14:textId="77777777" w:rsidTr="00825163">
        <w:tc>
          <w:tcPr>
            <w:tcW w:w="3471" w:type="dxa"/>
            <w:vAlign w:val="bottom"/>
          </w:tcPr>
          <w:p w14:paraId="38C5D0AB" w14:textId="77777777" w:rsidR="00BB2CB4" w:rsidRPr="00222C32" w:rsidRDefault="000674DA">
            <w:pPr>
              <w:pStyle w:val="SummaryMeasureTitlewithTheme"/>
            </w:pPr>
            <w:r w:rsidRPr="00222C32">
              <w:t>Southeast Asia Investment Financing Facility – equity transactions(b)</w:t>
            </w:r>
          </w:p>
        </w:tc>
        <w:tc>
          <w:tcPr>
            <w:tcW w:w="850" w:type="dxa"/>
            <w:tcBorders>
              <w:bottom w:val="single" w:sz="4" w:space="0" w:color="293F5B"/>
            </w:tcBorders>
            <w:vAlign w:val="bottom"/>
          </w:tcPr>
          <w:p w14:paraId="17E2F775"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793BF3FB"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0C0BD208"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3C853B79"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5E475E22" w14:textId="77777777" w:rsidR="00BB2CB4" w:rsidRPr="00222C32" w:rsidRDefault="000674DA">
            <w:pPr>
              <w:pStyle w:val="Summarytabletextrightaligned"/>
              <w:rPr>
                <w:lang w:val="en-US"/>
              </w:rPr>
            </w:pPr>
            <w:r w:rsidRPr="00222C32">
              <w:rPr>
                <w:lang w:val="en-US"/>
              </w:rPr>
              <w:t>nfp</w:t>
            </w:r>
          </w:p>
        </w:tc>
      </w:tr>
      <w:tr w:rsidR="00BB2CB4" w:rsidRPr="00222C32" w14:paraId="414A3242" w14:textId="77777777" w:rsidTr="00825163">
        <w:tc>
          <w:tcPr>
            <w:tcW w:w="3471" w:type="dxa"/>
            <w:vAlign w:val="bottom"/>
          </w:tcPr>
          <w:p w14:paraId="73781B85"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1C4BF51"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53EC65F5"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2F10588C"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2121C5F5"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27B40C57" w14:textId="77777777" w:rsidR="00BB2CB4" w:rsidRPr="00222C32" w:rsidRDefault="000674DA">
            <w:pPr>
              <w:pStyle w:val="Summarytabletextrightalignedbold"/>
            </w:pPr>
            <w:r w:rsidRPr="00222C32">
              <w:t>-</w:t>
            </w:r>
          </w:p>
        </w:tc>
      </w:tr>
      <w:tr w:rsidR="00BB2CB4" w:rsidRPr="00222C32" w14:paraId="6D1B172E" w14:textId="77777777" w:rsidTr="00825163">
        <w:tc>
          <w:tcPr>
            <w:tcW w:w="3471" w:type="dxa"/>
            <w:vAlign w:val="bottom"/>
          </w:tcPr>
          <w:p w14:paraId="5676E0D9" w14:textId="77777777" w:rsidR="00BB2CB4" w:rsidRPr="00222C32" w:rsidRDefault="000674DA">
            <w:pPr>
              <w:pStyle w:val="SummaryPortfolioTitle-BP2"/>
            </w:pPr>
            <w:r w:rsidRPr="00222C32">
              <w:t>HEALTH, DISABILITY AND AGEING</w:t>
            </w:r>
          </w:p>
        </w:tc>
        <w:tc>
          <w:tcPr>
            <w:tcW w:w="850" w:type="dxa"/>
            <w:tcBorders>
              <w:top w:val="single" w:sz="4" w:space="0" w:color="293F5B"/>
            </w:tcBorders>
          </w:tcPr>
          <w:p w14:paraId="299CBAA0"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7CB06523" w14:textId="77777777" w:rsidR="00BB2CB4" w:rsidRPr="00222C32" w:rsidRDefault="00BB2CB4">
            <w:pPr>
              <w:pStyle w:val="MeasureTableTextRightAlignedBefore6ptAfter1pt"/>
            </w:pPr>
          </w:p>
        </w:tc>
        <w:tc>
          <w:tcPr>
            <w:tcW w:w="850" w:type="dxa"/>
            <w:tcBorders>
              <w:top w:val="single" w:sz="4" w:space="0" w:color="293F5B"/>
            </w:tcBorders>
          </w:tcPr>
          <w:p w14:paraId="1624E7D4" w14:textId="77777777" w:rsidR="00BB2CB4" w:rsidRPr="00222C32" w:rsidRDefault="00BB2CB4">
            <w:pPr>
              <w:pStyle w:val="MeasureTableTextRightAlignedBefore6ptAfter1pt"/>
            </w:pPr>
          </w:p>
        </w:tc>
        <w:tc>
          <w:tcPr>
            <w:tcW w:w="850" w:type="dxa"/>
            <w:tcBorders>
              <w:top w:val="single" w:sz="4" w:space="0" w:color="293F5B"/>
            </w:tcBorders>
          </w:tcPr>
          <w:p w14:paraId="20DE6A16" w14:textId="77777777" w:rsidR="00BB2CB4" w:rsidRPr="00222C32" w:rsidRDefault="00BB2CB4">
            <w:pPr>
              <w:pStyle w:val="MeasureTableTextRightAlignedBefore6ptAfter1pt"/>
            </w:pPr>
          </w:p>
        </w:tc>
        <w:tc>
          <w:tcPr>
            <w:tcW w:w="850" w:type="dxa"/>
            <w:tcBorders>
              <w:top w:val="single" w:sz="4" w:space="0" w:color="293F5B"/>
            </w:tcBorders>
          </w:tcPr>
          <w:p w14:paraId="0F989F11" w14:textId="77777777" w:rsidR="00BB2CB4" w:rsidRPr="00222C32" w:rsidRDefault="00BB2CB4">
            <w:pPr>
              <w:pStyle w:val="MeasureTableTextRightAlignedBefore6ptAfter1pt"/>
            </w:pPr>
          </w:p>
        </w:tc>
      </w:tr>
      <w:tr w:rsidR="00BB2CB4" w:rsidRPr="00222C32" w14:paraId="0C40030A" w14:textId="77777777" w:rsidTr="00825163">
        <w:tc>
          <w:tcPr>
            <w:tcW w:w="3471" w:type="dxa"/>
            <w:vAlign w:val="bottom"/>
          </w:tcPr>
          <w:p w14:paraId="43552EE8" w14:textId="77777777" w:rsidR="00BB2CB4" w:rsidRPr="00222C32" w:rsidRDefault="000674DA">
            <w:pPr>
              <w:pStyle w:val="SummaryAgencyTitle-BP2"/>
            </w:pPr>
            <w:r w:rsidRPr="00222C32">
              <w:t>Department of Health, Disability and Ageing</w:t>
            </w:r>
          </w:p>
        </w:tc>
        <w:tc>
          <w:tcPr>
            <w:tcW w:w="850" w:type="dxa"/>
          </w:tcPr>
          <w:p w14:paraId="35F5430A" w14:textId="77777777" w:rsidR="00BB2CB4" w:rsidRPr="00222C32" w:rsidRDefault="00BB2CB4">
            <w:pPr>
              <w:pStyle w:val="SummaryAgencyTitle-BP2"/>
            </w:pPr>
          </w:p>
        </w:tc>
        <w:tc>
          <w:tcPr>
            <w:tcW w:w="850" w:type="dxa"/>
            <w:shd w:val="clear" w:color="auto" w:fill="E6F2FF"/>
          </w:tcPr>
          <w:p w14:paraId="1D19986C" w14:textId="77777777" w:rsidR="00BB2CB4" w:rsidRPr="00222C32" w:rsidRDefault="00BB2CB4">
            <w:pPr>
              <w:pStyle w:val="SummaryAgencyTitle-BP2"/>
            </w:pPr>
          </w:p>
        </w:tc>
        <w:tc>
          <w:tcPr>
            <w:tcW w:w="850" w:type="dxa"/>
          </w:tcPr>
          <w:p w14:paraId="79F92D24" w14:textId="77777777" w:rsidR="00BB2CB4" w:rsidRPr="00222C32" w:rsidRDefault="00BB2CB4">
            <w:pPr>
              <w:pStyle w:val="SummaryAgencyTitle-BP2"/>
            </w:pPr>
          </w:p>
        </w:tc>
        <w:tc>
          <w:tcPr>
            <w:tcW w:w="850" w:type="dxa"/>
          </w:tcPr>
          <w:p w14:paraId="6745A9F9" w14:textId="77777777" w:rsidR="00BB2CB4" w:rsidRPr="00222C32" w:rsidRDefault="00BB2CB4">
            <w:pPr>
              <w:pStyle w:val="SummaryAgencyTitle-BP2"/>
            </w:pPr>
          </w:p>
        </w:tc>
        <w:tc>
          <w:tcPr>
            <w:tcW w:w="850" w:type="dxa"/>
          </w:tcPr>
          <w:p w14:paraId="7696A4DF" w14:textId="77777777" w:rsidR="00BB2CB4" w:rsidRPr="00222C32" w:rsidRDefault="00BB2CB4">
            <w:pPr>
              <w:pStyle w:val="SummaryAgencyTitle-BP2"/>
            </w:pPr>
          </w:p>
        </w:tc>
      </w:tr>
      <w:tr w:rsidR="00BB2CB4" w:rsidRPr="00222C32" w14:paraId="6FBB094D" w14:textId="77777777" w:rsidTr="00825163">
        <w:tc>
          <w:tcPr>
            <w:tcW w:w="3471" w:type="dxa"/>
            <w:vAlign w:val="bottom"/>
          </w:tcPr>
          <w:p w14:paraId="0EC14C36" w14:textId="77777777" w:rsidR="00BB2CB4" w:rsidRPr="00222C32" w:rsidRDefault="000674DA">
            <w:pPr>
              <w:pStyle w:val="SummaryMeasureTitlewithTheme"/>
            </w:pPr>
            <w:r w:rsidRPr="00222C32">
              <w:t>Pharmaceutical Benefits Scheme New and Amended Listings(b)</w:t>
            </w:r>
          </w:p>
        </w:tc>
        <w:tc>
          <w:tcPr>
            <w:tcW w:w="850" w:type="dxa"/>
            <w:tcBorders>
              <w:bottom w:val="single" w:sz="4" w:space="0" w:color="293F5B"/>
            </w:tcBorders>
            <w:vAlign w:val="bottom"/>
          </w:tcPr>
          <w:p w14:paraId="28956239"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05E5FDCD"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634653D3"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1C0AA1E4"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5EF1724E" w14:textId="77777777" w:rsidR="00BB2CB4" w:rsidRPr="00222C32" w:rsidRDefault="000674DA">
            <w:pPr>
              <w:pStyle w:val="Summarytabletextrightaligned"/>
              <w:rPr>
                <w:lang w:val="en-US"/>
              </w:rPr>
            </w:pPr>
            <w:r w:rsidRPr="00222C32">
              <w:rPr>
                <w:lang w:val="en-US"/>
              </w:rPr>
              <w:t>nfp</w:t>
            </w:r>
          </w:p>
        </w:tc>
      </w:tr>
      <w:tr w:rsidR="00BB2CB4" w:rsidRPr="00222C32" w14:paraId="37056BC8" w14:textId="77777777" w:rsidTr="00825163">
        <w:tc>
          <w:tcPr>
            <w:tcW w:w="3471" w:type="dxa"/>
            <w:vAlign w:val="bottom"/>
          </w:tcPr>
          <w:p w14:paraId="7560CF8C"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1E072260"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12BE81BD"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3183E05D"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2B432C2C"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4B026C66" w14:textId="77777777" w:rsidR="00BB2CB4" w:rsidRPr="00222C32" w:rsidRDefault="000674DA">
            <w:pPr>
              <w:pStyle w:val="Summarytabletextrightalignedbold"/>
            </w:pPr>
            <w:r w:rsidRPr="00222C32">
              <w:t>-</w:t>
            </w:r>
          </w:p>
        </w:tc>
      </w:tr>
      <w:tr w:rsidR="00BB2CB4" w:rsidRPr="00222C32" w14:paraId="13B78FB6" w14:textId="77777777" w:rsidTr="00825163">
        <w:tc>
          <w:tcPr>
            <w:tcW w:w="3471" w:type="dxa"/>
            <w:vAlign w:val="bottom"/>
          </w:tcPr>
          <w:p w14:paraId="6604B29E" w14:textId="77777777" w:rsidR="00BB2CB4" w:rsidRPr="00222C32" w:rsidRDefault="000674DA">
            <w:pPr>
              <w:pStyle w:val="SummaryPortfolioTitle-BP2"/>
            </w:pPr>
            <w:r w:rsidRPr="00222C32">
              <w:t>HOME AFFAIRS</w:t>
            </w:r>
          </w:p>
        </w:tc>
        <w:tc>
          <w:tcPr>
            <w:tcW w:w="850" w:type="dxa"/>
            <w:tcBorders>
              <w:top w:val="single" w:sz="4" w:space="0" w:color="293F5B"/>
            </w:tcBorders>
          </w:tcPr>
          <w:p w14:paraId="5D4544DE"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56FE0F3" w14:textId="77777777" w:rsidR="00BB2CB4" w:rsidRPr="00222C32" w:rsidRDefault="00BB2CB4">
            <w:pPr>
              <w:pStyle w:val="MeasureTableTextRightAlignedBefore6ptAfter1pt"/>
            </w:pPr>
          </w:p>
        </w:tc>
        <w:tc>
          <w:tcPr>
            <w:tcW w:w="850" w:type="dxa"/>
            <w:tcBorders>
              <w:top w:val="single" w:sz="4" w:space="0" w:color="293F5B"/>
            </w:tcBorders>
          </w:tcPr>
          <w:p w14:paraId="70159E1F" w14:textId="77777777" w:rsidR="00BB2CB4" w:rsidRPr="00222C32" w:rsidRDefault="00BB2CB4">
            <w:pPr>
              <w:pStyle w:val="MeasureTableTextRightAlignedBefore6ptAfter1pt"/>
            </w:pPr>
          </w:p>
        </w:tc>
        <w:tc>
          <w:tcPr>
            <w:tcW w:w="850" w:type="dxa"/>
            <w:tcBorders>
              <w:top w:val="single" w:sz="4" w:space="0" w:color="293F5B"/>
            </w:tcBorders>
          </w:tcPr>
          <w:p w14:paraId="085FEEEC" w14:textId="77777777" w:rsidR="00BB2CB4" w:rsidRPr="00222C32" w:rsidRDefault="00BB2CB4">
            <w:pPr>
              <w:pStyle w:val="MeasureTableTextRightAlignedBefore6ptAfter1pt"/>
            </w:pPr>
          </w:p>
        </w:tc>
        <w:tc>
          <w:tcPr>
            <w:tcW w:w="850" w:type="dxa"/>
            <w:tcBorders>
              <w:top w:val="single" w:sz="4" w:space="0" w:color="293F5B"/>
            </w:tcBorders>
          </w:tcPr>
          <w:p w14:paraId="635D7753" w14:textId="77777777" w:rsidR="00BB2CB4" w:rsidRPr="00222C32" w:rsidRDefault="00BB2CB4">
            <w:pPr>
              <w:pStyle w:val="MeasureTableTextRightAlignedBefore6ptAfter1pt"/>
            </w:pPr>
          </w:p>
        </w:tc>
      </w:tr>
      <w:tr w:rsidR="00BB2CB4" w:rsidRPr="00222C32" w14:paraId="1156E408" w14:textId="77777777" w:rsidTr="00825163">
        <w:tc>
          <w:tcPr>
            <w:tcW w:w="3471" w:type="dxa"/>
            <w:vAlign w:val="bottom"/>
          </w:tcPr>
          <w:p w14:paraId="0410E375" w14:textId="77777777" w:rsidR="00BB2CB4" w:rsidRPr="00222C32" w:rsidRDefault="000674DA">
            <w:pPr>
              <w:pStyle w:val="SummaryAgencyTitle-BP2"/>
            </w:pPr>
            <w:r w:rsidRPr="00222C32">
              <w:t>Department of Home Affairs</w:t>
            </w:r>
          </w:p>
        </w:tc>
        <w:tc>
          <w:tcPr>
            <w:tcW w:w="850" w:type="dxa"/>
          </w:tcPr>
          <w:p w14:paraId="16F2A4AC" w14:textId="77777777" w:rsidR="00BB2CB4" w:rsidRPr="00222C32" w:rsidRDefault="00BB2CB4">
            <w:pPr>
              <w:pStyle w:val="SummaryAgencyTitle-BP2"/>
            </w:pPr>
          </w:p>
        </w:tc>
        <w:tc>
          <w:tcPr>
            <w:tcW w:w="850" w:type="dxa"/>
            <w:shd w:val="clear" w:color="auto" w:fill="E6F2FF"/>
          </w:tcPr>
          <w:p w14:paraId="75A4118E" w14:textId="77777777" w:rsidR="00BB2CB4" w:rsidRPr="00222C32" w:rsidRDefault="00BB2CB4">
            <w:pPr>
              <w:pStyle w:val="SummaryAgencyTitle-BP2"/>
            </w:pPr>
          </w:p>
        </w:tc>
        <w:tc>
          <w:tcPr>
            <w:tcW w:w="850" w:type="dxa"/>
          </w:tcPr>
          <w:p w14:paraId="324261D5" w14:textId="77777777" w:rsidR="00BB2CB4" w:rsidRPr="00222C32" w:rsidRDefault="00BB2CB4">
            <w:pPr>
              <w:pStyle w:val="SummaryAgencyTitle-BP2"/>
            </w:pPr>
          </w:p>
        </w:tc>
        <w:tc>
          <w:tcPr>
            <w:tcW w:w="850" w:type="dxa"/>
          </w:tcPr>
          <w:p w14:paraId="37AFFBED" w14:textId="77777777" w:rsidR="00BB2CB4" w:rsidRPr="00222C32" w:rsidRDefault="00BB2CB4">
            <w:pPr>
              <w:pStyle w:val="SummaryAgencyTitle-BP2"/>
            </w:pPr>
          </w:p>
        </w:tc>
        <w:tc>
          <w:tcPr>
            <w:tcW w:w="850" w:type="dxa"/>
          </w:tcPr>
          <w:p w14:paraId="75607AE0" w14:textId="77777777" w:rsidR="00BB2CB4" w:rsidRPr="00222C32" w:rsidRDefault="00BB2CB4">
            <w:pPr>
              <w:pStyle w:val="SummaryAgencyTitle-BP2"/>
            </w:pPr>
          </w:p>
        </w:tc>
      </w:tr>
      <w:tr w:rsidR="00BB2CB4" w:rsidRPr="00222C32" w14:paraId="51BE523D" w14:textId="77777777" w:rsidTr="00825163">
        <w:tc>
          <w:tcPr>
            <w:tcW w:w="3471" w:type="dxa"/>
            <w:vAlign w:val="bottom"/>
          </w:tcPr>
          <w:p w14:paraId="4D76B5BC" w14:textId="5D998503" w:rsidR="00BB2CB4" w:rsidRPr="00222C32" w:rsidRDefault="000674DA">
            <w:pPr>
              <w:pStyle w:val="SummaryMeasureTitlewithTheme"/>
            </w:pPr>
            <w:r w:rsidRPr="00222C32">
              <w:t>Migration – uplift of Visa Application Charge for student visas(b)</w:t>
            </w:r>
          </w:p>
        </w:tc>
        <w:tc>
          <w:tcPr>
            <w:tcW w:w="850" w:type="dxa"/>
            <w:vAlign w:val="bottom"/>
          </w:tcPr>
          <w:p w14:paraId="5E26DB4A" w14:textId="77777777" w:rsidR="00BB2CB4" w:rsidRPr="00222C32" w:rsidRDefault="000674DA">
            <w:pPr>
              <w:pStyle w:val="Summarytabletextrightaligned"/>
            </w:pPr>
            <w:r w:rsidRPr="00222C32">
              <w:t>-</w:t>
            </w:r>
          </w:p>
        </w:tc>
        <w:tc>
          <w:tcPr>
            <w:tcW w:w="850" w:type="dxa"/>
            <w:shd w:val="clear" w:color="auto" w:fill="E6F2FF"/>
            <w:vAlign w:val="bottom"/>
          </w:tcPr>
          <w:p w14:paraId="13B7989A" w14:textId="77777777" w:rsidR="00BB2CB4" w:rsidRPr="00222C32" w:rsidRDefault="000674DA">
            <w:pPr>
              <w:pStyle w:val="Summarytabletextrightaligned"/>
            </w:pPr>
            <w:r w:rsidRPr="00222C32">
              <w:t>185.0</w:t>
            </w:r>
          </w:p>
        </w:tc>
        <w:tc>
          <w:tcPr>
            <w:tcW w:w="850" w:type="dxa"/>
            <w:vAlign w:val="bottom"/>
          </w:tcPr>
          <w:p w14:paraId="056602F2" w14:textId="77777777" w:rsidR="00BB2CB4" w:rsidRPr="00222C32" w:rsidRDefault="000674DA">
            <w:pPr>
              <w:pStyle w:val="Summarytabletextrightaligned"/>
            </w:pPr>
            <w:r w:rsidRPr="00222C32">
              <w:t>195.0</w:t>
            </w:r>
          </w:p>
        </w:tc>
        <w:tc>
          <w:tcPr>
            <w:tcW w:w="850" w:type="dxa"/>
            <w:vAlign w:val="bottom"/>
          </w:tcPr>
          <w:p w14:paraId="358BBDD4" w14:textId="77777777" w:rsidR="00BB2CB4" w:rsidRPr="00222C32" w:rsidRDefault="000674DA">
            <w:pPr>
              <w:pStyle w:val="Summarytabletextrightaligned"/>
            </w:pPr>
            <w:r w:rsidRPr="00222C32">
              <w:t>200.0</w:t>
            </w:r>
          </w:p>
        </w:tc>
        <w:tc>
          <w:tcPr>
            <w:tcW w:w="850" w:type="dxa"/>
            <w:vAlign w:val="bottom"/>
          </w:tcPr>
          <w:p w14:paraId="4CFE4588" w14:textId="77777777" w:rsidR="00BB2CB4" w:rsidRPr="00222C32" w:rsidRDefault="000674DA">
            <w:pPr>
              <w:pStyle w:val="Summarytabletextrightaligned"/>
            </w:pPr>
            <w:r w:rsidRPr="00222C32">
              <w:t>210.0</w:t>
            </w:r>
          </w:p>
        </w:tc>
      </w:tr>
      <w:tr w:rsidR="00BB2CB4" w:rsidRPr="00222C32" w14:paraId="61C05350" w14:textId="77777777" w:rsidTr="00825163">
        <w:tc>
          <w:tcPr>
            <w:tcW w:w="3471" w:type="dxa"/>
            <w:vAlign w:val="bottom"/>
          </w:tcPr>
          <w:p w14:paraId="0D65D437" w14:textId="77777777" w:rsidR="00BB2CB4" w:rsidRPr="00222C32" w:rsidRDefault="000674DA">
            <w:pPr>
              <w:pStyle w:val="SummaryMeasureTitlewithTheme"/>
            </w:pPr>
            <w:r w:rsidRPr="00222C32">
              <w:t>Permanent Migration Program – 2025–26 planning levels(b)</w:t>
            </w:r>
          </w:p>
        </w:tc>
        <w:tc>
          <w:tcPr>
            <w:tcW w:w="850" w:type="dxa"/>
            <w:vAlign w:val="bottom"/>
          </w:tcPr>
          <w:p w14:paraId="168B0498" w14:textId="77777777" w:rsidR="00BB2CB4" w:rsidRPr="00222C32" w:rsidRDefault="000674DA">
            <w:pPr>
              <w:pStyle w:val="Summarytabletextrightaligned"/>
            </w:pPr>
            <w:r w:rsidRPr="00222C32">
              <w:t>-</w:t>
            </w:r>
          </w:p>
        </w:tc>
        <w:tc>
          <w:tcPr>
            <w:tcW w:w="850" w:type="dxa"/>
            <w:shd w:val="clear" w:color="auto" w:fill="E6F2FF"/>
            <w:vAlign w:val="bottom"/>
          </w:tcPr>
          <w:p w14:paraId="6E3C010D" w14:textId="77777777" w:rsidR="00BB2CB4" w:rsidRPr="00222C32" w:rsidRDefault="000674DA">
            <w:pPr>
              <w:pStyle w:val="Summarytabletextrightaligned"/>
            </w:pPr>
            <w:r w:rsidRPr="00222C32">
              <w:t>..</w:t>
            </w:r>
          </w:p>
        </w:tc>
        <w:tc>
          <w:tcPr>
            <w:tcW w:w="850" w:type="dxa"/>
            <w:vAlign w:val="bottom"/>
          </w:tcPr>
          <w:p w14:paraId="0F0134A8" w14:textId="77777777" w:rsidR="00BB2CB4" w:rsidRPr="00222C32" w:rsidRDefault="000674DA">
            <w:pPr>
              <w:pStyle w:val="Summarytabletextrightaligned"/>
            </w:pPr>
            <w:r w:rsidRPr="00222C32">
              <w:t>..</w:t>
            </w:r>
          </w:p>
        </w:tc>
        <w:tc>
          <w:tcPr>
            <w:tcW w:w="850" w:type="dxa"/>
            <w:vAlign w:val="bottom"/>
          </w:tcPr>
          <w:p w14:paraId="3C4DB7EB" w14:textId="77777777" w:rsidR="00BB2CB4" w:rsidRPr="00222C32" w:rsidRDefault="000674DA">
            <w:pPr>
              <w:pStyle w:val="Summarytabletextrightaligned"/>
            </w:pPr>
            <w:r w:rsidRPr="00222C32">
              <w:t>..</w:t>
            </w:r>
          </w:p>
        </w:tc>
        <w:tc>
          <w:tcPr>
            <w:tcW w:w="850" w:type="dxa"/>
            <w:vAlign w:val="bottom"/>
          </w:tcPr>
          <w:p w14:paraId="0C9596A1" w14:textId="77777777" w:rsidR="00BB2CB4" w:rsidRPr="00222C32" w:rsidRDefault="000674DA">
            <w:pPr>
              <w:pStyle w:val="Summarytabletextrightaligned"/>
            </w:pPr>
            <w:r w:rsidRPr="00222C32">
              <w:t>..</w:t>
            </w:r>
          </w:p>
        </w:tc>
      </w:tr>
      <w:tr w:rsidR="00BB2CB4" w:rsidRPr="00222C32" w14:paraId="099C4849" w14:textId="77777777" w:rsidTr="00825163">
        <w:tc>
          <w:tcPr>
            <w:tcW w:w="3471" w:type="dxa"/>
            <w:vAlign w:val="bottom"/>
          </w:tcPr>
          <w:p w14:paraId="2A490013" w14:textId="77777777" w:rsidR="00BB2CB4" w:rsidRPr="00222C32" w:rsidRDefault="000674DA">
            <w:pPr>
              <w:pStyle w:val="SummaryMeasureTitlewithTheme"/>
            </w:pPr>
            <w:r w:rsidRPr="00222C32">
              <w:t>Supporting International Sporting Events(b)</w:t>
            </w:r>
          </w:p>
        </w:tc>
        <w:tc>
          <w:tcPr>
            <w:tcW w:w="850" w:type="dxa"/>
            <w:vAlign w:val="bottom"/>
          </w:tcPr>
          <w:p w14:paraId="4D94B4D7" w14:textId="77777777" w:rsidR="00BB2CB4" w:rsidRPr="00222C32" w:rsidRDefault="000674DA">
            <w:pPr>
              <w:pStyle w:val="Summarytabletextrightaligned"/>
            </w:pPr>
            <w:r w:rsidRPr="00222C32">
              <w:t>-</w:t>
            </w:r>
          </w:p>
        </w:tc>
        <w:tc>
          <w:tcPr>
            <w:tcW w:w="850" w:type="dxa"/>
            <w:shd w:val="clear" w:color="auto" w:fill="E6F2FF"/>
            <w:vAlign w:val="bottom"/>
          </w:tcPr>
          <w:p w14:paraId="5CEA7113" w14:textId="77777777" w:rsidR="00BB2CB4" w:rsidRPr="00222C32" w:rsidRDefault="000674DA">
            <w:pPr>
              <w:pStyle w:val="Summarytabletextrightaligned"/>
            </w:pPr>
            <w:r w:rsidRPr="00222C32">
              <w:t>..</w:t>
            </w:r>
          </w:p>
        </w:tc>
        <w:tc>
          <w:tcPr>
            <w:tcW w:w="850" w:type="dxa"/>
            <w:vAlign w:val="bottom"/>
          </w:tcPr>
          <w:p w14:paraId="2900BEFE" w14:textId="77777777" w:rsidR="00BB2CB4" w:rsidRPr="00222C32" w:rsidRDefault="000674DA">
            <w:pPr>
              <w:pStyle w:val="Summarytabletextrightaligned"/>
            </w:pPr>
            <w:r w:rsidRPr="00222C32">
              <w:t>-</w:t>
            </w:r>
          </w:p>
        </w:tc>
        <w:tc>
          <w:tcPr>
            <w:tcW w:w="850" w:type="dxa"/>
            <w:vAlign w:val="bottom"/>
          </w:tcPr>
          <w:p w14:paraId="1CABEEFE" w14:textId="77777777" w:rsidR="00BB2CB4" w:rsidRPr="00222C32" w:rsidRDefault="000674DA">
            <w:pPr>
              <w:pStyle w:val="Summarytabletextrightaligned"/>
            </w:pPr>
            <w:r w:rsidRPr="00222C32">
              <w:t>-</w:t>
            </w:r>
          </w:p>
        </w:tc>
        <w:tc>
          <w:tcPr>
            <w:tcW w:w="850" w:type="dxa"/>
            <w:vAlign w:val="bottom"/>
          </w:tcPr>
          <w:p w14:paraId="0AFC3C27" w14:textId="77777777" w:rsidR="00BB2CB4" w:rsidRPr="00222C32" w:rsidRDefault="000674DA">
            <w:pPr>
              <w:pStyle w:val="Summarytabletextrightaligned"/>
            </w:pPr>
            <w:r w:rsidRPr="00222C32">
              <w:t>-</w:t>
            </w:r>
          </w:p>
        </w:tc>
      </w:tr>
      <w:tr w:rsidR="00BB2CB4" w:rsidRPr="00222C32" w14:paraId="634EA37C" w14:textId="77777777" w:rsidTr="00825163">
        <w:tc>
          <w:tcPr>
            <w:tcW w:w="3471" w:type="dxa"/>
            <w:vAlign w:val="bottom"/>
          </w:tcPr>
          <w:p w14:paraId="4B8DE120" w14:textId="77777777" w:rsidR="00BB2CB4" w:rsidRPr="00222C32" w:rsidRDefault="000674DA">
            <w:pPr>
              <w:pStyle w:val="SummaryMeasureTitlewithTheme"/>
            </w:pPr>
            <w:r w:rsidRPr="00222C32">
              <w:t>United States Global Entry Program (Phase Two)(b)</w:t>
            </w:r>
          </w:p>
        </w:tc>
        <w:tc>
          <w:tcPr>
            <w:tcW w:w="850" w:type="dxa"/>
            <w:tcBorders>
              <w:bottom w:val="single" w:sz="4" w:space="0" w:color="293F5B"/>
            </w:tcBorders>
            <w:vAlign w:val="bottom"/>
          </w:tcPr>
          <w:p w14:paraId="1D0262D7"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7F96A041" w14:textId="77777777" w:rsidR="00BB2CB4" w:rsidRPr="00222C32" w:rsidRDefault="000674DA">
            <w:pPr>
              <w:pStyle w:val="Summarytabletextrightaligned"/>
            </w:pPr>
            <w:r w:rsidRPr="00222C32">
              <w:t>4.2</w:t>
            </w:r>
          </w:p>
        </w:tc>
        <w:tc>
          <w:tcPr>
            <w:tcW w:w="850" w:type="dxa"/>
            <w:tcBorders>
              <w:bottom w:val="single" w:sz="4" w:space="0" w:color="293F5B"/>
            </w:tcBorders>
            <w:vAlign w:val="bottom"/>
          </w:tcPr>
          <w:p w14:paraId="508EC8C3" w14:textId="77777777" w:rsidR="00BB2CB4" w:rsidRPr="00222C32" w:rsidRDefault="000674DA">
            <w:pPr>
              <w:pStyle w:val="Summarytabletextrightaligned"/>
            </w:pPr>
            <w:r w:rsidRPr="00222C32">
              <w:t>6.3</w:t>
            </w:r>
          </w:p>
        </w:tc>
        <w:tc>
          <w:tcPr>
            <w:tcW w:w="850" w:type="dxa"/>
            <w:tcBorders>
              <w:bottom w:val="single" w:sz="4" w:space="0" w:color="293F5B"/>
            </w:tcBorders>
            <w:vAlign w:val="bottom"/>
          </w:tcPr>
          <w:p w14:paraId="10B8B117" w14:textId="77777777" w:rsidR="00BB2CB4" w:rsidRPr="00222C32" w:rsidRDefault="000674DA">
            <w:pPr>
              <w:pStyle w:val="Summarytabletextrightaligned"/>
            </w:pPr>
            <w:r w:rsidRPr="00222C32">
              <w:t>6.3</w:t>
            </w:r>
          </w:p>
        </w:tc>
        <w:tc>
          <w:tcPr>
            <w:tcW w:w="850" w:type="dxa"/>
            <w:tcBorders>
              <w:bottom w:val="single" w:sz="4" w:space="0" w:color="293F5B"/>
            </w:tcBorders>
            <w:vAlign w:val="bottom"/>
          </w:tcPr>
          <w:p w14:paraId="186E8770" w14:textId="77777777" w:rsidR="00BB2CB4" w:rsidRPr="00222C32" w:rsidRDefault="000674DA">
            <w:pPr>
              <w:pStyle w:val="Summarytabletextrightaligned"/>
            </w:pPr>
            <w:r w:rsidRPr="00222C32">
              <w:t>6.3</w:t>
            </w:r>
          </w:p>
        </w:tc>
      </w:tr>
      <w:tr w:rsidR="00BB2CB4" w:rsidRPr="00222C32" w14:paraId="5F3C8EC8" w14:textId="77777777" w:rsidTr="00825163">
        <w:tc>
          <w:tcPr>
            <w:tcW w:w="3471" w:type="dxa"/>
            <w:vAlign w:val="bottom"/>
          </w:tcPr>
          <w:p w14:paraId="5AE2B70B"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46950985"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5E9B1C11" w14:textId="77777777" w:rsidR="00BB2CB4" w:rsidRPr="00222C32" w:rsidRDefault="000674DA">
            <w:pPr>
              <w:pStyle w:val="Summarytabletextrightalignedbold"/>
            </w:pPr>
            <w:r w:rsidRPr="00222C32">
              <w:t>189.2</w:t>
            </w:r>
          </w:p>
        </w:tc>
        <w:tc>
          <w:tcPr>
            <w:tcW w:w="850" w:type="dxa"/>
            <w:tcBorders>
              <w:top w:val="single" w:sz="4" w:space="0" w:color="293F5B"/>
              <w:bottom w:val="single" w:sz="4" w:space="0" w:color="293F5B"/>
            </w:tcBorders>
            <w:vAlign w:val="bottom"/>
          </w:tcPr>
          <w:p w14:paraId="7F908F77" w14:textId="77777777" w:rsidR="00BB2CB4" w:rsidRPr="00222C32" w:rsidRDefault="000674DA">
            <w:pPr>
              <w:pStyle w:val="Summarytabletextrightalignedbold"/>
            </w:pPr>
            <w:r w:rsidRPr="00222C32">
              <w:t>201.3</w:t>
            </w:r>
          </w:p>
        </w:tc>
        <w:tc>
          <w:tcPr>
            <w:tcW w:w="850" w:type="dxa"/>
            <w:tcBorders>
              <w:top w:val="single" w:sz="4" w:space="0" w:color="293F5B"/>
              <w:bottom w:val="single" w:sz="4" w:space="0" w:color="293F5B"/>
            </w:tcBorders>
            <w:vAlign w:val="bottom"/>
          </w:tcPr>
          <w:p w14:paraId="67DCB985" w14:textId="77777777" w:rsidR="00BB2CB4" w:rsidRPr="00222C32" w:rsidRDefault="000674DA">
            <w:pPr>
              <w:pStyle w:val="Summarytabletextrightalignedbold"/>
            </w:pPr>
            <w:r w:rsidRPr="00222C32">
              <w:t>206.3</w:t>
            </w:r>
          </w:p>
        </w:tc>
        <w:tc>
          <w:tcPr>
            <w:tcW w:w="850" w:type="dxa"/>
            <w:tcBorders>
              <w:top w:val="single" w:sz="4" w:space="0" w:color="293F5B"/>
              <w:bottom w:val="single" w:sz="4" w:space="0" w:color="293F5B"/>
            </w:tcBorders>
            <w:vAlign w:val="bottom"/>
          </w:tcPr>
          <w:p w14:paraId="19C615BC" w14:textId="77777777" w:rsidR="00BB2CB4" w:rsidRPr="00222C32" w:rsidRDefault="000674DA">
            <w:pPr>
              <w:pStyle w:val="Summarytabletextrightalignedbold"/>
            </w:pPr>
            <w:r w:rsidRPr="00222C32">
              <w:t>216.3</w:t>
            </w:r>
          </w:p>
        </w:tc>
      </w:tr>
      <w:tr w:rsidR="00BB2CB4" w:rsidRPr="00222C32" w14:paraId="43172845" w14:textId="77777777" w:rsidTr="00825163">
        <w:tc>
          <w:tcPr>
            <w:tcW w:w="3471" w:type="dxa"/>
            <w:vAlign w:val="bottom"/>
          </w:tcPr>
          <w:p w14:paraId="313E856B" w14:textId="77777777" w:rsidR="00BB2CB4" w:rsidRPr="00222C32" w:rsidRDefault="000674DA">
            <w:pPr>
              <w:pStyle w:val="SummaryPortfolioTitle-BP2"/>
            </w:pPr>
            <w:r w:rsidRPr="00222C32">
              <w:t>INDUSTRY, SCIENCE AND RESOURCES</w:t>
            </w:r>
          </w:p>
        </w:tc>
        <w:tc>
          <w:tcPr>
            <w:tcW w:w="850" w:type="dxa"/>
            <w:tcBorders>
              <w:top w:val="single" w:sz="4" w:space="0" w:color="293F5B"/>
            </w:tcBorders>
          </w:tcPr>
          <w:p w14:paraId="46912FE4"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AE70562" w14:textId="77777777" w:rsidR="00BB2CB4" w:rsidRPr="00222C32" w:rsidRDefault="00BB2CB4">
            <w:pPr>
              <w:pStyle w:val="MeasureTableTextRightAlignedBefore6ptAfter1pt"/>
            </w:pPr>
          </w:p>
        </w:tc>
        <w:tc>
          <w:tcPr>
            <w:tcW w:w="850" w:type="dxa"/>
            <w:tcBorders>
              <w:top w:val="single" w:sz="4" w:space="0" w:color="293F5B"/>
            </w:tcBorders>
          </w:tcPr>
          <w:p w14:paraId="1BC66C5A" w14:textId="77777777" w:rsidR="00BB2CB4" w:rsidRPr="00222C32" w:rsidRDefault="00BB2CB4">
            <w:pPr>
              <w:pStyle w:val="MeasureTableTextRightAlignedBefore6ptAfter1pt"/>
            </w:pPr>
          </w:p>
        </w:tc>
        <w:tc>
          <w:tcPr>
            <w:tcW w:w="850" w:type="dxa"/>
            <w:tcBorders>
              <w:top w:val="single" w:sz="4" w:space="0" w:color="293F5B"/>
            </w:tcBorders>
          </w:tcPr>
          <w:p w14:paraId="263773D1" w14:textId="77777777" w:rsidR="00BB2CB4" w:rsidRPr="00222C32" w:rsidRDefault="00BB2CB4">
            <w:pPr>
              <w:pStyle w:val="MeasureTableTextRightAlignedBefore6ptAfter1pt"/>
            </w:pPr>
          </w:p>
        </w:tc>
        <w:tc>
          <w:tcPr>
            <w:tcW w:w="850" w:type="dxa"/>
            <w:tcBorders>
              <w:top w:val="single" w:sz="4" w:space="0" w:color="293F5B"/>
            </w:tcBorders>
          </w:tcPr>
          <w:p w14:paraId="3862D877" w14:textId="77777777" w:rsidR="00BB2CB4" w:rsidRPr="00222C32" w:rsidRDefault="00BB2CB4">
            <w:pPr>
              <w:pStyle w:val="MeasureTableTextRightAlignedBefore6ptAfter1pt"/>
            </w:pPr>
          </w:p>
        </w:tc>
      </w:tr>
      <w:tr w:rsidR="00BB2CB4" w:rsidRPr="00222C32" w14:paraId="0A26288C" w14:textId="77777777" w:rsidTr="00825163">
        <w:tc>
          <w:tcPr>
            <w:tcW w:w="3471" w:type="dxa"/>
            <w:vAlign w:val="bottom"/>
          </w:tcPr>
          <w:p w14:paraId="6A70AD24" w14:textId="77777777" w:rsidR="00BB2CB4" w:rsidRPr="00222C32" w:rsidRDefault="000674DA">
            <w:pPr>
              <w:pStyle w:val="SummaryAgencyTitle-BP2"/>
            </w:pPr>
            <w:r w:rsidRPr="00222C32">
              <w:t>Department of Industry, Science and Resources</w:t>
            </w:r>
          </w:p>
        </w:tc>
        <w:tc>
          <w:tcPr>
            <w:tcW w:w="850" w:type="dxa"/>
          </w:tcPr>
          <w:p w14:paraId="7FAF2241" w14:textId="77777777" w:rsidR="00BB2CB4" w:rsidRPr="00222C32" w:rsidRDefault="00BB2CB4">
            <w:pPr>
              <w:pStyle w:val="SummaryAgencyTitle-BP2"/>
            </w:pPr>
          </w:p>
        </w:tc>
        <w:tc>
          <w:tcPr>
            <w:tcW w:w="850" w:type="dxa"/>
            <w:shd w:val="clear" w:color="auto" w:fill="E6F2FF"/>
          </w:tcPr>
          <w:p w14:paraId="7CC21231" w14:textId="77777777" w:rsidR="00BB2CB4" w:rsidRPr="00222C32" w:rsidRDefault="00BB2CB4">
            <w:pPr>
              <w:pStyle w:val="SummaryAgencyTitle-BP2"/>
            </w:pPr>
          </w:p>
        </w:tc>
        <w:tc>
          <w:tcPr>
            <w:tcW w:w="850" w:type="dxa"/>
          </w:tcPr>
          <w:p w14:paraId="3C40E84C" w14:textId="77777777" w:rsidR="00BB2CB4" w:rsidRPr="00222C32" w:rsidRDefault="00BB2CB4">
            <w:pPr>
              <w:pStyle w:val="SummaryAgencyTitle-BP2"/>
            </w:pPr>
          </w:p>
        </w:tc>
        <w:tc>
          <w:tcPr>
            <w:tcW w:w="850" w:type="dxa"/>
          </w:tcPr>
          <w:p w14:paraId="211C8740" w14:textId="77777777" w:rsidR="00BB2CB4" w:rsidRPr="00222C32" w:rsidRDefault="00BB2CB4">
            <w:pPr>
              <w:pStyle w:val="SummaryAgencyTitle-BP2"/>
            </w:pPr>
          </w:p>
        </w:tc>
        <w:tc>
          <w:tcPr>
            <w:tcW w:w="850" w:type="dxa"/>
          </w:tcPr>
          <w:p w14:paraId="5E7D5B58" w14:textId="77777777" w:rsidR="00BB2CB4" w:rsidRPr="00222C32" w:rsidRDefault="00BB2CB4">
            <w:pPr>
              <w:pStyle w:val="SummaryAgencyTitle-BP2"/>
            </w:pPr>
          </w:p>
        </w:tc>
      </w:tr>
      <w:tr w:rsidR="00BB2CB4" w:rsidRPr="00222C32" w14:paraId="1C0118E3" w14:textId="77777777" w:rsidTr="00825163">
        <w:tc>
          <w:tcPr>
            <w:tcW w:w="3471" w:type="dxa"/>
            <w:tcBorders>
              <w:bottom w:val="nil"/>
            </w:tcBorders>
            <w:vAlign w:val="bottom"/>
          </w:tcPr>
          <w:p w14:paraId="74EE33B6" w14:textId="77777777" w:rsidR="00BB2CB4" w:rsidRPr="00222C32" w:rsidRDefault="000674DA">
            <w:pPr>
              <w:pStyle w:val="SummaryMeasureTitlewithTheme"/>
            </w:pPr>
            <w:r w:rsidRPr="00222C32">
              <w:t>A Rapidly Transforming Energy System(b)</w:t>
            </w:r>
          </w:p>
        </w:tc>
        <w:tc>
          <w:tcPr>
            <w:tcW w:w="850" w:type="dxa"/>
            <w:tcBorders>
              <w:bottom w:val="nil"/>
            </w:tcBorders>
            <w:vAlign w:val="bottom"/>
          </w:tcPr>
          <w:p w14:paraId="7142B770"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27843A4D" w14:textId="77777777" w:rsidR="00BB2CB4" w:rsidRPr="00222C32" w:rsidRDefault="000674DA">
            <w:pPr>
              <w:pStyle w:val="Summarytabletextrightaligned"/>
            </w:pPr>
            <w:r w:rsidRPr="00222C32">
              <w:t>-3.5</w:t>
            </w:r>
          </w:p>
        </w:tc>
        <w:tc>
          <w:tcPr>
            <w:tcW w:w="850" w:type="dxa"/>
            <w:tcBorders>
              <w:bottom w:val="nil"/>
            </w:tcBorders>
            <w:vAlign w:val="bottom"/>
          </w:tcPr>
          <w:p w14:paraId="16BD6422" w14:textId="77777777" w:rsidR="00BB2CB4" w:rsidRPr="00222C32" w:rsidRDefault="000674DA">
            <w:pPr>
              <w:pStyle w:val="Summarytabletextrightaligned"/>
            </w:pPr>
            <w:r w:rsidRPr="00222C32">
              <w:t>-25.3</w:t>
            </w:r>
          </w:p>
        </w:tc>
        <w:tc>
          <w:tcPr>
            <w:tcW w:w="850" w:type="dxa"/>
            <w:tcBorders>
              <w:bottom w:val="nil"/>
            </w:tcBorders>
            <w:vAlign w:val="bottom"/>
          </w:tcPr>
          <w:p w14:paraId="7AB71CC1" w14:textId="77777777" w:rsidR="00BB2CB4" w:rsidRPr="00222C32" w:rsidRDefault="000674DA">
            <w:pPr>
              <w:pStyle w:val="Summarytabletextrightaligned"/>
            </w:pPr>
            <w:r w:rsidRPr="00222C32">
              <w:t>-18.4</w:t>
            </w:r>
          </w:p>
        </w:tc>
        <w:tc>
          <w:tcPr>
            <w:tcW w:w="850" w:type="dxa"/>
            <w:tcBorders>
              <w:bottom w:val="nil"/>
            </w:tcBorders>
            <w:vAlign w:val="bottom"/>
          </w:tcPr>
          <w:p w14:paraId="5DD6FEFD" w14:textId="77777777" w:rsidR="00BB2CB4" w:rsidRPr="00222C32" w:rsidRDefault="000674DA">
            <w:pPr>
              <w:pStyle w:val="Summarytabletextrightaligned"/>
            </w:pPr>
            <w:r w:rsidRPr="00222C32">
              <w:t>-0.2</w:t>
            </w:r>
          </w:p>
        </w:tc>
      </w:tr>
      <w:tr w:rsidR="00BB2CB4" w:rsidRPr="00222C32" w14:paraId="590783FE" w14:textId="77777777" w:rsidTr="00825163">
        <w:tc>
          <w:tcPr>
            <w:tcW w:w="3471" w:type="dxa"/>
            <w:tcBorders>
              <w:top w:val="nil"/>
              <w:bottom w:val="single" w:sz="4" w:space="0" w:color="293F5B"/>
            </w:tcBorders>
            <w:vAlign w:val="bottom"/>
          </w:tcPr>
          <w:p w14:paraId="7124824C" w14:textId="77777777" w:rsidR="00BB2CB4" w:rsidRPr="00222C32" w:rsidRDefault="000674DA">
            <w:pPr>
              <w:pStyle w:val="SummaryMeasureTitlewithTheme"/>
            </w:pPr>
            <w:r w:rsidRPr="00222C32">
              <w:t>Supporting Australia's Heavy Industry Transformation(b)</w:t>
            </w:r>
          </w:p>
        </w:tc>
        <w:tc>
          <w:tcPr>
            <w:tcW w:w="850" w:type="dxa"/>
            <w:tcBorders>
              <w:top w:val="nil"/>
              <w:bottom w:val="single" w:sz="4" w:space="0" w:color="293F5B"/>
            </w:tcBorders>
            <w:vAlign w:val="bottom"/>
          </w:tcPr>
          <w:p w14:paraId="20A7828A"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5547B562" w14:textId="77777777" w:rsidR="00BB2CB4" w:rsidRPr="00222C32" w:rsidRDefault="000674DA">
            <w:pPr>
              <w:pStyle w:val="Summarytabletextrightaligned"/>
            </w:pPr>
            <w:r w:rsidRPr="00222C32">
              <w:t>8.8</w:t>
            </w:r>
          </w:p>
        </w:tc>
        <w:tc>
          <w:tcPr>
            <w:tcW w:w="850" w:type="dxa"/>
            <w:tcBorders>
              <w:top w:val="nil"/>
              <w:bottom w:val="single" w:sz="4" w:space="0" w:color="293F5B"/>
            </w:tcBorders>
            <w:vAlign w:val="bottom"/>
          </w:tcPr>
          <w:p w14:paraId="3B0654DB"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7CF230BE"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7244EB65" w14:textId="77777777" w:rsidR="00BB2CB4" w:rsidRPr="00222C32" w:rsidRDefault="000674DA">
            <w:pPr>
              <w:pStyle w:val="Summarytabletextrightaligned"/>
            </w:pPr>
            <w:r w:rsidRPr="00222C32">
              <w:t>-</w:t>
            </w:r>
          </w:p>
        </w:tc>
      </w:tr>
    </w:tbl>
    <w:p w14:paraId="105F7C52" w14:textId="77777777" w:rsidR="000D63FB" w:rsidRDefault="000D63FB" w:rsidP="000D63FB">
      <w:pPr>
        <w:sectPr w:rsidR="000D63FB" w:rsidSect="00301ACF">
          <w:endnotePr>
            <w:numFmt w:val="lowerLetter"/>
            <w:numRestart w:val="eachSect"/>
          </w:endnotePr>
          <w:pgSz w:w="11906" w:h="16838" w:code="9"/>
          <w:pgMar w:top="2835" w:right="2098" w:bottom="2466" w:left="2098" w:header="1814" w:footer="1814" w:gutter="0"/>
          <w:cols w:space="720"/>
          <w:noEndnote/>
          <w:docGrid w:linePitch="272"/>
        </w:sectPr>
      </w:pPr>
    </w:p>
    <w:p w14:paraId="3A310F7C" w14:textId="588789D0" w:rsidR="000D63FB" w:rsidRDefault="000D63FB" w:rsidP="00B0077E">
      <w:pPr>
        <w:pStyle w:val="TableHeadingcontinued"/>
        <w:spacing w:before="0"/>
      </w:pPr>
      <w:r>
        <w:lastRenderedPageBreak/>
        <w:t xml:space="preserve">Table </w:t>
      </w:r>
      <w:r w:rsidR="002D3018" w:rsidRPr="002D3018">
        <w:t>A.1</w:t>
      </w:r>
      <w:r w:rsidR="002D3018">
        <w:t xml:space="preserve">: </w:t>
      </w:r>
      <w:r>
        <w:t>Receipt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1DE6FC9B" w14:textId="77777777" w:rsidTr="00825163">
        <w:tc>
          <w:tcPr>
            <w:tcW w:w="3471" w:type="dxa"/>
            <w:tcBorders>
              <w:top w:val="single" w:sz="4" w:space="0" w:color="293F5B"/>
              <w:bottom w:val="nil"/>
            </w:tcBorders>
            <w:vAlign w:val="bottom"/>
          </w:tcPr>
          <w:p w14:paraId="072BDCA5" w14:textId="77777777" w:rsidR="000D63FB" w:rsidRPr="00222C32" w:rsidRDefault="000D63FB" w:rsidP="000D63FB"/>
        </w:tc>
        <w:tc>
          <w:tcPr>
            <w:tcW w:w="850" w:type="dxa"/>
            <w:tcBorders>
              <w:top w:val="single" w:sz="4" w:space="0" w:color="293F5B"/>
              <w:bottom w:val="nil"/>
            </w:tcBorders>
          </w:tcPr>
          <w:p w14:paraId="38BC5C31"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2D298AC2"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2DBD0ED7"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48EF2A31"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1A327CB5" w14:textId="77777777" w:rsidR="000D63FB" w:rsidRPr="00222C32" w:rsidRDefault="000D63FB" w:rsidP="000D63FB">
            <w:pPr>
              <w:pStyle w:val="Summarytabletextrightaligned"/>
            </w:pPr>
            <w:r w:rsidRPr="00222C32">
              <w:t>2028-29</w:t>
            </w:r>
          </w:p>
        </w:tc>
      </w:tr>
      <w:tr w:rsidR="000D63FB" w:rsidRPr="00222C32" w14:paraId="0D447C1B" w14:textId="77777777" w:rsidTr="00825163">
        <w:tc>
          <w:tcPr>
            <w:tcW w:w="3471" w:type="dxa"/>
            <w:tcBorders>
              <w:top w:val="nil"/>
            </w:tcBorders>
            <w:vAlign w:val="bottom"/>
          </w:tcPr>
          <w:p w14:paraId="41757969" w14:textId="77777777" w:rsidR="000D63FB" w:rsidRPr="00222C32" w:rsidRDefault="000D63FB" w:rsidP="000D63FB"/>
        </w:tc>
        <w:tc>
          <w:tcPr>
            <w:tcW w:w="850" w:type="dxa"/>
            <w:tcBorders>
              <w:top w:val="nil"/>
              <w:bottom w:val="single" w:sz="4" w:space="0" w:color="293F5B"/>
            </w:tcBorders>
          </w:tcPr>
          <w:p w14:paraId="52BF8656"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18917F3D"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0CB1384"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9B865F4"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22C018E" w14:textId="77777777" w:rsidR="000D63FB" w:rsidRPr="00222C32" w:rsidRDefault="000D63FB" w:rsidP="000D63FB">
            <w:pPr>
              <w:pStyle w:val="Summarytabletextrightaligned"/>
            </w:pPr>
            <w:r w:rsidRPr="00222C32">
              <w:t>$m</w:t>
            </w:r>
          </w:p>
        </w:tc>
      </w:tr>
      <w:tr w:rsidR="000D63FB" w:rsidRPr="00222C32" w14:paraId="2B788EEF" w14:textId="77777777" w:rsidTr="00825163">
        <w:tc>
          <w:tcPr>
            <w:tcW w:w="3471" w:type="dxa"/>
            <w:tcBorders>
              <w:bottom w:val="nil"/>
            </w:tcBorders>
            <w:vAlign w:val="bottom"/>
          </w:tcPr>
          <w:p w14:paraId="1759D148" w14:textId="77777777" w:rsidR="000D63FB" w:rsidRPr="00222C32" w:rsidRDefault="000D63FB" w:rsidP="000D63FB">
            <w:pPr>
              <w:pStyle w:val="SummaryMeasureTitlewithTheme"/>
              <w:rPr>
                <w:b/>
              </w:rPr>
            </w:pPr>
            <w:r w:rsidRPr="00222C32">
              <w:rPr>
                <w:b/>
              </w:rPr>
              <w:t>INDUSTRY, SCIENCE AND RESOURCES (continued)</w:t>
            </w:r>
          </w:p>
        </w:tc>
        <w:tc>
          <w:tcPr>
            <w:tcW w:w="850" w:type="dxa"/>
            <w:tcBorders>
              <w:top w:val="single" w:sz="4" w:space="0" w:color="293F5B"/>
              <w:bottom w:val="nil"/>
            </w:tcBorders>
          </w:tcPr>
          <w:p w14:paraId="6BBE76D8" w14:textId="77777777" w:rsidR="000D63FB" w:rsidRPr="00222C32" w:rsidRDefault="000D63FB">
            <w:pPr>
              <w:pStyle w:val="SummaryAgencyTitle-BP2"/>
            </w:pPr>
          </w:p>
        </w:tc>
        <w:tc>
          <w:tcPr>
            <w:tcW w:w="850" w:type="dxa"/>
            <w:tcBorders>
              <w:top w:val="single" w:sz="4" w:space="0" w:color="293F5B"/>
              <w:bottom w:val="nil"/>
            </w:tcBorders>
            <w:shd w:val="clear" w:color="auto" w:fill="E6F2FF"/>
          </w:tcPr>
          <w:p w14:paraId="04E22572" w14:textId="77777777" w:rsidR="000D63FB" w:rsidRPr="00222C32" w:rsidRDefault="000D63FB">
            <w:pPr>
              <w:pStyle w:val="SummaryAgencyTitle-BP2"/>
            </w:pPr>
          </w:p>
        </w:tc>
        <w:tc>
          <w:tcPr>
            <w:tcW w:w="850" w:type="dxa"/>
            <w:tcBorders>
              <w:top w:val="single" w:sz="4" w:space="0" w:color="293F5B"/>
              <w:bottom w:val="nil"/>
            </w:tcBorders>
          </w:tcPr>
          <w:p w14:paraId="72C34C52" w14:textId="77777777" w:rsidR="000D63FB" w:rsidRPr="00222C32" w:rsidRDefault="000D63FB">
            <w:pPr>
              <w:pStyle w:val="SummaryAgencyTitle-BP2"/>
            </w:pPr>
          </w:p>
        </w:tc>
        <w:tc>
          <w:tcPr>
            <w:tcW w:w="850" w:type="dxa"/>
            <w:tcBorders>
              <w:top w:val="single" w:sz="4" w:space="0" w:color="293F5B"/>
              <w:bottom w:val="nil"/>
            </w:tcBorders>
          </w:tcPr>
          <w:p w14:paraId="4953D1B0" w14:textId="77777777" w:rsidR="000D63FB" w:rsidRPr="00222C32" w:rsidRDefault="000D63FB">
            <w:pPr>
              <w:pStyle w:val="SummaryAgencyTitle-BP2"/>
            </w:pPr>
          </w:p>
        </w:tc>
        <w:tc>
          <w:tcPr>
            <w:tcW w:w="850" w:type="dxa"/>
            <w:tcBorders>
              <w:top w:val="single" w:sz="4" w:space="0" w:color="293F5B"/>
              <w:bottom w:val="nil"/>
            </w:tcBorders>
          </w:tcPr>
          <w:p w14:paraId="2FA015FE" w14:textId="77777777" w:rsidR="000D63FB" w:rsidRPr="00222C32" w:rsidRDefault="000D63FB">
            <w:pPr>
              <w:pStyle w:val="SummaryAgencyTitle-BP2"/>
            </w:pPr>
          </w:p>
        </w:tc>
      </w:tr>
      <w:tr w:rsidR="00BB2CB4" w:rsidRPr="00222C32" w14:paraId="4560FCDD" w14:textId="77777777" w:rsidTr="00825163">
        <w:tc>
          <w:tcPr>
            <w:tcW w:w="3471" w:type="dxa"/>
            <w:tcBorders>
              <w:top w:val="nil"/>
            </w:tcBorders>
            <w:vAlign w:val="bottom"/>
          </w:tcPr>
          <w:p w14:paraId="4B10429C" w14:textId="77777777" w:rsidR="00BB2CB4" w:rsidRPr="00222C32" w:rsidRDefault="000674DA">
            <w:pPr>
              <w:pStyle w:val="SummaryAgencyTitle-BP2"/>
            </w:pPr>
            <w:r w:rsidRPr="00222C32">
              <w:t>National Reconstruction Fund Corporation</w:t>
            </w:r>
          </w:p>
        </w:tc>
        <w:tc>
          <w:tcPr>
            <w:tcW w:w="850" w:type="dxa"/>
            <w:tcBorders>
              <w:top w:val="nil"/>
            </w:tcBorders>
          </w:tcPr>
          <w:p w14:paraId="49D84811" w14:textId="77777777" w:rsidR="00BB2CB4" w:rsidRPr="00222C32" w:rsidRDefault="00BB2CB4">
            <w:pPr>
              <w:pStyle w:val="SummaryAgencyTitle-BP2"/>
            </w:pPr>
          </w:p>
        </w:tc>
        <w:tc>
          <w:tcPr>
            <w:tcW w:w="850" w:type="dxa"/>
            <w:tcBorders>
              <w:top w:val="nil"/>
            </w:tcBorders>
            <w:shd w:val="clear" w:color="auto" w:fill="E6F2FF"/>
          </w:tcPr>
          <w:p w14:paraId="09519583" w14:textId="77777777" w:rsidR="00BB2CB4" w:rsidRPr="00222C32" w:rsidRDefault="00BB2CB4">
            <w:pPr>
              <w:pStyle w:val="SummaryAgencyTitle-BP2"/>
            </w:pPr>
          </w:p>
        </w:tc>
        <w:tc>
          <w:tcPr>
            <w:tcW w:w="850" w:type="dxa"/>
            <w:tcBorders>
              <w:top w:val="nil"/>
            </w:tcBorders>
          </w:tcPr>
          <w:p w14:paraId="19E17432" w14:textId="77777777" w:rsidR="00BB2CB4" w:rsidRPr="00222C32" w:rsidRDefault="00BB2CB4">
            <w:pPr>
              <w:pStyle w:val="SummaryAgencyTitle-BP2"/>
            </w:pPr>
          </w:p>
        </w:tc>
        <w:tc>
          <w:tcPr>
            <w:tcW w:w="850" w:type="dxa"/>
            <w:tcBorders>
              <w:top w:val="nil"/>
            </w:tcBorders>
          </w:tcPr>
          <w:p w14:paraId="79335F14" w14:textId="77777777" w:rsidR="00BB2CB4" w:rsidRPr="00222C32" w:rsidRDefault="00BB2CB4">
            <w:pPr>
              <w:pStyle w:val="SummaryAgencyTitle-BP2"/>
            </w:pPr>
          </w:p>
        </w:tc>
        <w:tc>
          <w:tcPr>
            <w:tcW w:w="850" w:type="dxa"/>
            <w:tcBorders>
              <w:top w:val="nil"/>
            </w:tcBorders>
          </w:tcPr>
          <w:p w14:paraId="42D375F4" w14:textId="77777777" w:rsidR="00BB2CB4" w:rsidRPr="00222C32" w:rsidRDefault="00BB2CB4">
            <w:pPr>
              <w:pStyle w:val="SummaryAgencyTitle-BP2"/>
            </w:pPr>
          </w:p>
        </w:tc>
      </w:tr>
      <w:tr w:rsidR="00BB2CB4" w:rsidRPr="00222C32" w14:paraId="6A48E965" w14:textId="77777777" w:rsidTr="00825163">
        <w:tc>
          <w:tcPr>
            <w:tcW w:w="3471" w:type="dxa"/>
            <w:vAlign w:val="bottom"/>
          </w:tcPr>
          <w:p w14:paraId="34D1815A" w14:textId="77777777" w:rsidR="00BB2CB4" w:rsidRPr="00222C32" w:rsidRDefault="000674DA">
            <w:pPr>
              <w:pStyle w:val="SummaryMeasureTitlewithTheme"/>
            </w:pPr>
            <w:r w:rsidRPr="00222C32">
              <w:t>Building a Future Made in Australia(b)</w:t>
            </w:r>
          </w:p>
        </w:tc>
        <w:tc>
          <w:tcPr>
            <w:tcW w:w="850" w:type="dxa"/>
            <w:vAlign w:val="bottom"/>
          </w:tcPr>
          <w:p w14:paraId="645C3614" w14:textId="77777777" w:rsidR="00BB2CB4" w:rsidRPr="00222C32" w:rsidRDefault="000674DA">
            <w:pPr>
              <w:pStyle w:val="Summarytabletextrightaligned"/>
            </w:pPr>
            <w:r w:rsidRPr="00222C32">
              <w:t>-</w:t>
            </w:r>
          </w:p>
        </w:tc>
        <w:tc>
          <w:tcPr>
            <w:tcW w:w="850" w:type="dxa"/>
            <w:shd w:val="clear" w:color="auto" w:fill="E6F2FF"/>
            <w:vAlign w:val="bottom"/>
          </w:tcPr>
          <w:p w14:paraId="40939C0B" w14:textId="77777777" w:rsidR="00BB2CB4" w:rsidRPr="00222C32" w:rsidRDefault="000674DA">
            <w:pPr>
              <w:pStyle w:val="Summarytabletextrightaligned"/>
            </w:pPr>
            <w:r w:rsidRPr="00222C32">
              <w:t>-7.0</w:t>
            </w:r>
          </w:p>
        </w:tc>
        <w:tc>
          <w:tcPr>
            <w:tcW w:w="850" w:type="dxa"/>
            <w:vAlign w:val="bottom"/>
          </w:tcPr>
          <w:p w14:paraId="79D638B8" w14:textId="77777777" w:rsidR="00BB2CB4" w:rsidRPr="00222C32" w:rsidRDefault="000674DA">
            <w:pPr>
              <w:pStyle w:val="Summarytabletextrightaligned"/>
            </w:pPr>
            <w:r w:rsidRPr="00222C32">
              <w:t>-10.5</w:t>
            </w:r>
          </w:p>
        </w:tc>
        <w:tc>
          <w:tcPr>
            <w:tcW w:w="850" w:type="dxa"/>
            <w:vAlign w:val="bottom"/>
          </w:tcPr>
          <w:p w14:paraId="2A4AEC2C" w14:textId="77777777" w:rsidR="00BB2CB4" w:rsidRPr="00222C32" w:rsidRDefault="000674DA">
            <w:pPr>
              <w:pStyle w:val="Summarytabletextrightaligned"/>
            </w:pPr>
            <w:r w:rsidRPr="00222C32">
              <w:t>-14.9</w:t>
            </w:r>
          </w:p>
        </w:tc>
        <w:tc>
          <w:tcPr>
            <w:tcW w:w="850" w:type="dxa"/>
            <w:vAlign w:val="bottom"/>
          </w:tcPr>
          <w:p w14:paraId="17531B3E" w14:textId="77777777" w:rsidR="00BB2CB4" w:rsidRPr="00222C32" w:rsidRDefault="000674DA">
            <w:pPr>
              <w:pStyle w:val="Summarytabletextrightaligned"/>
            </w:pPr>
            <w:r w:rsidRPr="00222C32">
              <w:t>-20.2</w:t>
            </w:r>
          </w:p>
        </w:tc>
      </w:tr>
      <w:tr w:rsidR="00BB2CB4" w:rsidRPr="00222C32" w14:paraId="29610044" w14:textId="77777777" w:rsidTr="00825163">
        <w:tc>
          <w:tcPr>
            <w:tcW w:w="3471" w:type="dxa"/>
            <w:vAlign w:val="bottom"/>
          </w:tcPr>
          <w:p w14:paraId="0A2EB9A9" w14:textId="77777777" w:rsidR="00BB2CB4" w:rsidRPr="00222C32" w:rsidRDefault="000674DA">
            <w:pPr>
              <w:pStyle w:val="SummaryMeasureTitlewithTheme"/>
            </w:pPr>
            <w:r w:rsidRPr="00222C32">
              <w:t>Forestry Growth Fund(b)</w:t>
            </w:r>
          </w:p>
        </w:tc>
        <w:tc>
          <w:tcPr>
            <w:tcW w:w="850" w:type="dxa"/>
            <w:vAlign w:val="bottom"/>
          </w:tcPr>
          <w:p w14:paraId="3D954670" w14:textId="77777777" w:rsidR="00BB2CB4" w:rsidRPr="00222C32" w:rsidRDefault="000674DA">
            <w:pPr>
              <w:pStyle w:val="Summarytabletextrightaligned"/>
            </w:pPr>
            <w:r w:rsidRPr="00222C32">
              <w:t>-</w:t>
            </w:r>
          </w:p>
        </w:tc>
        <w:tc>
          <w:tcPr>
            <w:tcW w:w="850" w:type="dxa"/>
            <w:shd w:val="clear" w:color="auto" w:fill="E6F2FF"/>
            <w:vAlign w:val="bottom"/>
          </w:tcPr>
          <w:p w14:paraId="22BBF973" w14:textId="77777777" w:rsidR="00BB2CB4" w:rsidRPr="00222C32" w:rsidRDefault="000674DA">
            <w:pPr>
              <w:pStyle w:val="Summarytabletextrightaligned"/>
            </w:pPr>
            <w:r w:rsidRPr="00222C32">
              <w:t>-</w:t>
            </w:r>
          </w:p>
        </w:tc>
        <w:tc>
          <w:tcPr>
            <w:tcW w:w="850" w:type="dxa"/>
            <w:vAlign w:val="bottom"/>
          </w:tcPr>
          <w:p w14:paraId="205D848D" w14:textId="77777777" w:rsidR="00BB2CB4" w:rsidRPr="00222C32" w:rsidRDefault="000674DA">
            <w:pPr>
              <w:pStyle w:val="Summarytabletextrightaligned"/>
            </w:pPr>
            <w:r w:rsidRPr="00222C32">
              <w:t>-0.4</w:t>
            </w:r>
          </w:p>
        </w:tc>
        <w:tc>
          <w:tcPr>
            <w:tcW w:w="850" w:type="dxa"/>
            <w:vAlign w:val="bottom"/>
          </w:tcPr>
          <w:p w14:paraId="3EB2CB8C" w14:textId="77777777" w:rsidR="00BB2CB4" w:rsidRPr="00222C32" w:rsidRDefault="000674DA">
            <w:pPr>
              <w:pStyle w:val="Summarytabletextrightaligned"/>
            </w:pPr>
            <w:r w:rsidRPr="00222C32">
              <w:t>-0.7</w:t>
            </w:r>
          </w:p>
        </w:tc>
        <w:tc>
          <w:tcPr>
            <w:tcW w:w="850" w:type="dxa"/>
            <w:vAlign w:val="bottom"/>
          </w:tcPr>
          <w:p w14:paraId="6C3787C8" w14:textId="77777777" w:rsidR="00BB2CB4" w:rsidRPr="00222C32" w:rsidRDefault="000674DA">
            <w:pPr>
              <w:pStyle w:val="Summarytabletextrightaligned"/>
            </w:pPr>
            <w:r w:rsidRPr="00222C32">
              <w:t>-1.0</w:t>
            </w:r>
          </w:p>
        </w:tc>
      </w:tr>
      <w:tr w:rsidR="00BB2CB4" w:rsidRPr="00222C32" w14:paraId="44870680" w14:textId="77777777" w:rsidTr="00825163">
        <w:tc>
          <w:tcPr>
            <w:tcW w:w="3471" w:type="dxa"/>
            <w:vAlign w:val="bottom"/>
          </w:tcPr>
          <w:p w14:paraId="0953E6E1" w14:textId="77777777" w:rsidR="00BB2CB4" w:rsidRPr="00222C32" w:rsidRDefault="000674DA">
            <w:pPr>
              <w:pStyle w:val="SummaryMeasureTitlewithTheme"/>
            </w:pPr>
            <w:r w:rsidRPr="00222C32">
              <w:t>Support for the Net Zero Plan(b)</w:t>
            </w:r>
          </w:p>
        </w:tc>
        <w:tc>
          <w:tcPr>
            <w:tcW w:w="850" w:type="dxa"/>
            <w:tcBorders>
              <w:bottom w:val="single" w:sz="4" w:space="0" w:color="293F5B"/>
            </w:tcBorders>
            <w:vAlign w:val="bottom"/>
          </w:tcPr>
          <w:p w14:paraId="72CD05B9"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3E618F0E" w14:textId="77777777" w:rsidR="00BB2CB4" w:rsidRPr="00222C32" w:rsidRDefault="000674DA">
            <w:pPr>
              <w:pStyle w:val="Summarytabletextrightaligned"/>
            </w:pPr>
            <w:r w:rsidRPr="00222C32">
              <w:t>-2.8</w:t>
            </w:r>
          </w:p>
        </w:tc>
        <w:tc>
          <w:tcPr>
            <w:tcW w:w="850" w:type="dxa"/>
            <w:tcBorders>
              <w:bottom w:val="single" w:sz="4" w:space="0" w:color="293F5B"/>
            </w:tcBorders>
            <w:vAlign w:val="bottom"/>
          </w:tcPr>
          <w:p w14:paraId="3FB9E7E0" w14:textId="77777777" w:rsidR="00BB2CB4" w:rsidRPr="00222C32" w:rsidRDefault="000674DA">
            <w:pPr>
              <w:pStyle w:val="Summarytabletextrightaligned"/>
            </w:pPr>
            <w:r w:rsidRPr="00222C32">
              <w:t>-14.0</w:t>
            </w:r>
          </w:p>
        </w:tc>
        <w:tc>
          <w:tcPr>
            <w:tcW w:w="850" w:type="dxa"/>
            <w:tcBorders>
              <w:bottom w:val="single" w:sz="4" w:space="0" w:color="293F5B"/>
            </w:tcBorders>
            <w:vAlign w:val="bottom"/>
          </w:tcPr>
          <w:p w14:paraId="5A014368" w14:textId="77777777" w:rsidR="00BB2CB4" w:rsidRPr="00222C32" w:rsidRDefault="000674DA">
            <w:pPr>
              <w:pStyle w:val="Summarytabletextrightaligned"/>
            </w:pPr>
            <w:r w:rsidRPr="00222C32">
              <w:t>-22.8</w:t>
            </w:r>
          </w:p>
        </w:tc>
        <w:tc>
          <w:tcPr>
            <w:tcW w:w="850" w:type="dxa"/>
            <w:tcBorders>
              <w:bottom w:val="single" w:sz="4" w:space="0" w:color="293F5B"/>
            </w:tcBorders>
            <w:vAlign w:val="bottom"/>
          </w:tcPr>
          <w:p w14:paraId="7D83CE1C" w14:textId="77777777" w:rsidR="00BB2CB4" w:rsidRPr="00222C32" w:rsidRDefault="000674DA">
            <w:pPr>
              <w:pStyle w:val="Summarytabletextrightaligned"/>
            </w:pPr>
            <w:r w:rsidRPr="00222C32">
              <w:t>-33.1</w:t>
            </w:r>
          </w:p>
        </w:tc>
      </w:tr>
      <w:tr w:rsidR="00BB2CB4" w:rsidRPr="00222C32" w14:paraId="563B1A83" w14:textId="77777777" w:rsidTr="00825163">
        <w:tc>
          <w:tcPr>
            <w:tcW w:w="3471" w:type="dxa"/>
            <w:vAlign w:val="bottom"/>
          </w:tcPr>
          <w:p w14:paraId="0B113FEF"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2FCE68B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1C946431" w14:textId="77777777" w:rsidR="00BB2CB4" w:rsidRPr="00222C32" w:rsidRDefault="000674DA">
            <w:pPr>
              <w:pStyle w:val="Summarytabletextrightalignedbold"/>
            </w:pPr>
            <w:r w:rsidRPr="00222C32">
              <w:t>-4.5</w:t>
            </w:r>
          </w:p>
        </w:tc>
        <w:tc>
          <w:tcPr>
            <w:tcW w:w="850" w:type="dxa"/>
            <w:tcBorders>
              <w:top w:val="single" w:sz="4" w:space="0" w:color="293F5B"/>
              <w:bottom w:val="single" w:sz="4" w:space="0" w:color="293F5B"/>
            </w:tcBorders>
            <w:vAlign w:val="bottom"/>
          </w:tcPr>
          <w:p w14:paraId="03D45D42" w14:textId="77777777" w:rsidR="00BB2CB4" w:rsidRPr="00222C32" w:rsidRDefault="000674DA">
            <w:pPr>
              <w:pStyle w:val="Summarytabletextrightalignedbold"/>
            </w:pPr>
            <w:r w:rsidRPr="00222C32">
              <w:t>-50.3</w:t>
            </w:r>
          </w:p>
        </w:tc>
        <w:tc>
          <w:tcPr>
            <w:tcW w:w="850" w:type="dxa"/>
            <w:tcBorders>
              <w:top w:val="single" w:sz="4" w:space="0" w:color="293F5B"/>
              <w:bottom w:val="single" w:sz="4" w:space="0" w:color="293F5B"/>
            </w:tcBorders>
            <w:vAlign w:val="bottom"/>
          </w:tcPr>
          <w:p w14:paraId="050A5BF6" w14:textId="77777777" w:rsidR="00BB2CB4" w:rsidRPr="00222C32" w:rsidRDefault="000674DA">
            <w:pPr>
              <w:pStyle w:val="Summarytabletextrightalignedbold"/>
            </w:pPr>
            <w:r w:rsidRPr="00222C32">
              <w:t>-56.7</w:t>
            </w:r>
          </w:p>
        </w:tc>
        <w:tc>
          <w:tcPr>
            <w:tcW w:w="850" w:type="dxa"/>
            <w:tcBorders>
              <w:top w:val="single" w:sz="4" w:space="0" w:color="293F5B"/>
              <w:bottom w:val="single" w:sz="4" w:space="0" w:color="293F5B"/>
            </w:tcBorders>
            <w:vAlign w:val="bottom"/>
          </w:tcPr>
          <w:p w14:paraId="79769B92" w14:textId="77777777" w:rsidR="00BB2CB4" w:rsidRPr="00222C32" w:rsidRDefault="000674DA">
            <w:pPr>
              <w:pStyle w:val="Summarytabletextrightalignedbold"/>
            </w:pPr>
            <w:r w:rsidRPr="00222C32">
              <w:t>-54.4</w:t>
            </w:r>
          </w:p>
        </w:tc>
      </w:tr>
      <w:tr w:rsidR="00BB2CB4" w:rsidRPr="00222C32" w14:paraId="310120F3" w14:textId="77777777" w:rsidTr="007D69BE">
        <w:tc>
          <w:tcPr>
            <w:tcW w:w="3471" w:type="dxa"/>
            <w:tcMar>
              <w:right w:w="0" w:type="dxa"/>
            </w:tcMar>
            <w:vAlign w:val="bottom"/>
          </w:tcPr>
          <w:p w14:paraId="3474F1C7" w14:textId="18C5DBE1" w:rsidR="00BB2CB4" w:rsidRPr="00573284" w:rsidRDefault="000674DA">
            <w:pPr>
              <w:pStyle w:val="SummaryPortfolioTitle-BP2"/>
              <w:rPr>
                <w:rFonts w:ascii="Arial Bold" w:hAnsi="Arial Bold"/>
                <w:spacing w:val="-2"/>
              </w:rPr>
            </w:pPr>
            <w:r w:rsidRPr="00222C32">
              <w:t xml:space="preserve">INFRASTRUCTURE, TRANSPORT, REGIONAL DEVELOPMENT, </w:t>
            </w:r>
            <w:r w:rsidRPr="007D69BE">
              <w:rPr>
                <w:rFonts w:ascii="Arial Bold" w:hAnsi="Arial Bold"/>
                <w:spacing w:val="-2"/>
              </w:rPr>
              <w:t>COMMUNICATIONS, SPORT AND THE</w:t>
            </w:r>
            <w:r w:rsidR="007D69BE" w:rsidRPr="007D69BE">
              <w:rPr>
                <w:rFonts w:ascii="Arial Bold" w:hAnsi="Arial Bold"/>
                <w:spacing w:val="-2"/>
              </w:rPr>
              <w:t xml:space="preserve"> </w:t>
            </w:r>
            <w:r w:rsidRPr="007D69BE">
              <w:rPr>
                <w:rFonts w:ascii="Arial Bold" w:hAnsi="Arial Bold"/>
                <w:spacing w:val="-2"/>
              </w:rPr>
              <w:t>ARTS</w:t>
            </w:r>
          </w:p>
        </w:tc>
        <w:tc>
          <w:tcPr>
            <w:tcW w:w="850" w:type="dxa"/>
            <w:tcBorders>
              <w:top w:val="single" w:sz="4" w:space="0" w:color="293F5B"/>
            </w:tcBorders>
          </w:tcPr>
          <w:p w14:paraId="056C1F23"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FF32BE7" w14:textId="77777777" w:rsidR="00BB2CB4" w:rsidRPr="00222C32" w:rsidRDefault="00BB2CB4">
            <w:pPr>
              <w:pStyle w:val="MeasureTableTextRightAlignedBefore6ptAfter1pt"/>
            </w:pPr>
          </w:p>
        </w:tc>
        <w:tc>
          <w:tcPr>
            <w:tcW w:w="850" w:type="dxa"/>
            <w:tcBorders>
              <w:top w:val="single" w:sz="4" w:space="0" w:color="293F5B"/>
            </w:tcBorders>
          </w:tcPr>
          <w:p w14:paraId="4EE7FA82" w14:textId="77777777" w:rsidR="00BB2CB4" w:rsidRPr="00222C32" w:rsidRDefault="00BB2CB4">
            <w:pPr>
              <w:pStyle w:val="MeasureTableTextRightAlignedBefore6ptAfter1pt"/>
            </w:pPr>
          </w:p>
        </w:tc>
        <w:tc>
          <w:tcPr>
            <w:tcW w:w="850" w:type="dxa"/>
            <w:tcBorders>
              <w:top w:val="single" w:sz="4" w:space="0" w:color="293F5B"/>
            </w:tcBorders>
          </w:tcPr>
          <w:p w14:paraId="348232E8" w14:textId="77777777" w:rsidR="00BB2CB4" w:rsidRPr="00222C32" w:rsidRDefault="00BB2CB4">
            <w:pPr>
              <w:pStyle w:val="MeasureTableTextRightAlignedBefore6ptAfter1pt"/>
            </w:pPr>
          </w:p>
        </w:tc>
        <w:tc>
          <w:tcPr>
            <w:tcW w:w="850" w:type="dxa"/>
            <w:tcBorders>
              <w:top w:val="single" w:sz="4" w:space="0" w:color="293F5B"/>
            </w:tcBorders>
          </w:tcPr>
          <w:p w14:paraId="01E7B46B" w14:textId="77777777" w:rsidR="00BB2CB4" w:rsidRPr="00222C32" w:rsidRDefault="00BB2CB4">
            <w:pPr>
              <w:pStyle w:val="MeasureTableTextRightAlignedBefore6ptAfter1pt"/>
            </w:pPr>
          </w:p>
        </w:tc>
      </w:tr>
      <w:tr w:rsidR="00BB2CB4" w:rsidRPr="00222C32" w14:paraId="53EF3F92" w14:textId="77777777" w:rsidTr="00825163">
        <w:tc>
          <w:tcPr>
            <w:tcW w:w="3471" w:type="dxa"/>
            <w:vAlign w:val="bottom"/>
          </w:tcPr>
          <w:p w14:paraId="1359C6FA" w14:textId="77777777" w:rsidR="00BB2CB4" w:rsidRPr="00222C32" w:rsidRDefault="000674DA">
            <w:pPr>
              <w:pStyle w:val="SummaryAgencyTitle-BP2"/>
            </w:pPr>
            <w:r w:rsidRPr="00222C32">
              <w:t>Australian Communications and Media Authority</w:t>
            </w:r>
          </w:p>
        </w:tc>
        <w:tc>
          <w:tcPr>
            <w:tcW w:w="850" w:type="dxa"/>
          </w:tcPr>
          <w:p w14:paraId="76330DE1" w14:textId="77777777" w:rsidR="00BB2CB4" w:rsidRPr="00222C32" w:rsidRDefault="00BB2CB4">
            <w:pPr>
              <w:pStyle w:val="SummaryAgencyTitle-BP2"/>
            </w:pPr>
          </w:p>
        </w:tc>
        <w:tc>
          <w:tcPr>
            <w:tcW w:w="850" w:type="dxa"/>
            <w:shd w:val="clear" w:color="auto" w:fill="E6F2FF"/>
          </w:tcPr>
          <w:p w14:paraId="1FA85F43" w14:textId="77777777" w:rsidR="00BB2CB4" w:rsidRPr="00222C32" w:rsidRDefault="00BB2CB4">
            <w:pPr>
              <w:pStyle w:val="SummaryAgencyTitle-BP2"/>
            </w:pPr>
          </w:p>
        </w:tc>
        <w:tc>
          <w:tcPr>
            <w:tcW w:w="850" w:type="dxa"/>
          </w:tcPr>
          <w:p w14:paraId="195B3DD2" w14:textId="77777777" w:rsidR="00BB2CB4" w:rsidRPr="00222C32" w:rsidRDefault="00BB2CB4">
            <w:pPr>
              <w:pStyle w:val="SummaryAgencyTitle-BP2"/>
            </w:pPr>
          </w:p>
        </w:tc>
        <w:tc>
          <w:tcPr>
            <w:tcW w:w="850" w:type="dxa"/>
          </w:tcPr>
          <w:p w14:paraId="5C5F68C5" w14:textId="77777777" w:rsidR="00BB2CB4" w:rsidRPr="00222C32" w:rsidRDefault="00BB2CB4">
            <w:pPr>
              <w:pStyle w:val="SummaryAgencyTitle-BP2"/>
            </w:pPr>
          </w:p>
        </w:tc>
        <w:tc>
          <w:tcPr>
            <w:tcW w:w="850" w:type="dxa"/>
          </w:tcPr>
          <w:p w14:paraId="53433258" w14:textId="77777777" w:rsidR="00BB2CB4" w:rsidRPr="00222C32" w:rsidRDefault="00BB2CB4">
            <w:pPr>
              <w:pStyle w:val="SummaryAgencyTitle-BP2"/>
            </w:pPr>
          </w:p>
        </w:tc>
      </w:tr>
      <w:tr w:rsidR="00BB2CB4" w:rsidRPr="00222C32" w14:paraId="24A95B51" w14:textId="77777777" w:rsidTr="00825163">
        <w:tc>
          <w:tcPr>
            <w:tcW w:w="3471" w:type="dxa"/>
            <w:vAlign w:val="bottom"/>
          </w:tcPr>
          <w:p w14:paraId="1C66A992" w14:textId="77777777" w:rsidR="00BB2CB4" w:rsidRPr="00222C32" w:rsidRDefault="000674DA">
            <w:pPr>
              <w:pStyle w:val="SummaryMeasureTitlewithTheme"/>
            </w:pPr>
            <w:r w:rsidRPr="00222C32">
              <w:t>Regional Broadband Scheme(b)</w:t>
            </w:r>
          </w:p>
        </w:tc>
        <w:tc>
          <w:tcPr>
            <w:tcW w:w="850" w:type="dxa"/>
            <w:vAlign w:val="bottom"/>
          </w:tcPr>
          <w:p w14:paraId="2983FE3D" w14:textId="77777777" w:rsidR="00BB2CB4" w:rsidRPr="00222C32" w:rsidRDefault="000674DA">
            <w:pPr>
              <w:pStyle w:val="Summarytabletextrightaligned"/>
            </w:pPr>
            <w:r w:rsidRPr="00222C32">
              <w:t>-</w:t>
            </w:r>
          </w:p>
        </w:tc>
        <w:tc>
          <w:tcPr>
            <w:tcW w:w="850" w:type="dxa"/>
            <w:shd w:val="clear" w:color="auto" w:fill="E6F2FF"/>
            <w:vAlign w:val="bottom"/>
          </w:tcPr>
          <w:p w14:paraId="47BD267A" w14:textId="77777777" w:rsidR="00BB2CB4" w:rsidRPr="00222C32" w:rsidRDefault="000674DA">
            <w:pPr>
              <w:pStyle w:val="Summarytabletextrightaligned"/>
            </w:pPr>
            <w:r w:rsidRPr="00222C32">
              <w:t>-</w:t>
            </w:r>
          </w:p>
        </w:tc>
        <w:tc>
          <w:tcPr>
            <w:tcW w:w="850" w:type="dxa"/>
            <w:vAlign w:val="bottom"/>
          </w:tcPr>
          <w:p w14:paraId="3E79F8A0" w14:textId="77777777" w:rsidR="00BB2CB4" w:rsidRPr="00222C32" w:rsidRDefault="000674DA">
            <w:pPr>
              <w:pStyle w:val="Summarytabletextrightaligned"/>
            </w:pPr>
            <w:r w:rsidRPr="00222C32">
              <w:t>-34.1</w:t>
            </w:r>
          </w:p>
        </w:tc>
        <w:tc>
          <w:tcPr>
            <w:tcW w:w="850" w:type="dxa"/>
            <w:vAlign w:val="bottom"/>
          </w:tcPr>
          <w:p w14:paraId="6843F7F3" w14:textId="77777777" w:rsidR="00BB2CB4" w:rsidRPr="00222C32" w:rsidRDefault="000674DA">
            <w:pPr>
              <w:pStyle w:val="Summarytabletextrightaligned"/>
            </w:pPr>
            <w:r w:rsidRPr="00222C32">
              <w:t>-35.6</w:t>
            </w:r>
          </w:p>
        </w:tc>
        <w:tc>
          <w:tcPr>
            <w:tcW w:w="850" w:type="dxa"/>
            <w:vAlign w:val="bottom"/>
          </w:tcPr>
          <w:p w14:paraId="128C1FB7" w14:textId="77777777" w:rsidR="00BB2CB4" w:rsidRPr="00222C32" w:rsidRDefault="000674DA">
            <w:pPr>
              <w:pStyle w:val="Summarytabletextrightaligned"/>
            </w:pPr>
            <w:r w:rsidRPr="00222C32">
              <w:t>-37.1</w:t>
            </w:r>
          </w:p>
        </w:tc>
      </w:tr>
      <w:tr w:rsidR="00BB2CB4" w:rsidRPr="00222C32" w14:paraId="70A00058" w14:textId="77777777" w:rsidTr="00825163">
        <w:tc>
          <w:tcPr>
            <w:tcW w:w="3471" w:type="dxa"/>
            <w:vAlign w:val="bottom"/>
          </w:tcPr>
          <w:p w14:paraId="1020EFDF" w14:textId="77777777" w:rsidR="00BB2CB4" w:rsidRPr="00222C32" w:rsidRDefault="000674DA">
            <w:pPr>
              <w:pStyle w:val="SummaryMeasureTitlewithTheme"/>
            </w:pPr>
            <w:r w:rsidRPr="00222C32">
              <w:t>Supporting Connectivity(b)</w:t>
            </w:r>
          </w:p>
        </w:tc>
        <w:tc>
          <w:tcPr>
            <w:tcW w:w="850" w:type="dxa"/>
            <w:vAlign w:val="bottom"/>
          </w:tcPr>
          <w:p w14:paraId="5A9EEF63" w14:textId="77777777" w:rsidR="00BB2CB4" w:rsidRPr="00222C32" w:rsidRDefault="000674DA">
            <w:pPr>
              <w:pStyle w:val="Summarytabletextrightaligned"/>
            </w:pPr>
            <w:r w:rsidRPr="00222C32">
              <w:t>-</w:t>
            </w:r>
          </w:p>
        </w:tc>
        <w:tc>
          <w:tcPr>
            <w:tcW w:w="850" w:type="dxa"/>
            <w:shd w:val="clear" w:color="auto" w:fill="E6F2FF"/>
            <w:vAlign w:val="bottom"/>
          </w:tcPr>
          <w:p w14:paraId="1E529DB5" w14:textId="77777777" w:rsidR="00BB2CB4" w:rsidRPr="00222C32" w:rsidRDefault="000674DA">
            <w:pPr>
              <w:pStyle w:val="Summarytabletextrightaligned"/>
            </w:pPr>
            <w:r w:rsidRPr="00222C32">
              <w:t>-</w:t>
            </w:r>
          </w:p>
        </w:tc>
        <w:tc>
          <w:tcPr>
            <w:tcW w:w="850" w:type="dxa"/>
            <w:vAlign w:val="bottom"/>
          </w:tcPr>
          <w:p w14:paraId="6278DC14" w14:textId="77777777" w:rsidR="00BB2CB4" w:rsidRPr="00222C32" w:rsidRDefault="000674DA">
            <w:pPr>
              <w:pStyle w:val="Summarytabletextrightaligned"/>
            </w:pPr>
            <w:r w:rsidRPr="00222C32">
              <w:t>-</w:t>
            </w:r>
          </w:p>
        </w:tc>
        <w:tc>
          <w:tcPr>
            <w:tcW w:w="850" w:type="dxa"/>
            <w:vAlign w:val="bottom"/>
          </w:tcPr>
          <w:p w14:paraId="519FD55D" w14:textId="77777777" w:rsidR="00BB2CB4" w:rsidRPr="00222C32" w:rsidRDefault="000674DA">
            <w:pPr>
              <w:pStyle w:val="Summarytabletextrightaligned"/>
            </w:pPr>
            <w:r w:rsidRPr="00222C32">
              <w:t>2.3</w:t>
            </w:r>
          </w:p>
        </w:tc>
        <w:tc>
          <w:tcPr>
            <w:tcW w:w="850" w:type="dxa"/>
            <w:vAlign w:val="bottom"/>
          </w:tcPr>
          <w:p w14:paraId="7BC9326A" w14:textId="77777777" w:rsidR="00BB2CB4" w:rsidRPr="00222C32" w:rsidRDefault="000674DA">
            <w:pPr>
              <w:pStyle w:val="Summarytabletextrightaligned"/>
            </w:pPr>
            <w:r w:rsidRPr="00222C32">
              <w:t>6.7</w:t>
            </w:r>
          </w:p>
        </w:tc>
      </w:tr>
      <w:tr w:rsidR="00BB2CB4" w:rsidRPr="00222C32" w14:paraId="5972B150" w14:textId="77777777" w:rsidTr="00825163">
        <w:tc>
          <w:tcPr>
            <w:tcW w:w="3471" w:type="dxa"/>
            <w:vAlign w:val="bottom"/>
          </w:tcPr>
          <w:p w14:paraId="453A2947" w14:textId="77777777" w:rsidR="00BB2CB4" w:rsidRPr="00222C32" w:rsidRDefault="000674DA">
            <w:pPr>
              <w:pStyle w:val="SummaryAgencyTitle-BP2"/>
            </w:pPr>
            <w:r w:rsidRPr="00222C32">
              <w:t>Department of Infrastructure, Transport, Regional Development, Communications, Sport and the Arts</w:t>
            </w:r>
          </w:p>
        </w:tc>
        <w:tc>
          <w:tcPr>
            <w:tcW w:w="850" w:type="dxa"/>
          </w:tcPr>
          <w:p w14:paraId="634E65A1" w14:textId="77777777" w:rsidR="00BB2CB4" w:rsidRPr="00222C32" w:rsidRDefault="00BB2CB4">
            <w:pPr>
              <w:pStyle w:val="SummaryAgencyTitle-BP2"/>
            </w:pPr>
          </w:p>
        </w:tc>
        <w:tc>
          <w:tcPr>
            <w:tcW w:w="850" w:type="dxa"/>
            <w:shd w:val="clear" w:color="auto" w:fill="E6F2FF"/>
          </w:tcPr>
          <w:p w14:paraId="519DAD5A" w14:textId="77777777" w:rsidR="00BB2CB4" w:rsidRPr="00222C32" w:rsidRDefault="00BB2CB4">
            <w:pPr>
              <w:pStyle w:val="SummaryAgencyTitle-BP2"/>
            </w:pPr>
          </w:p>
        </w:tc>
        <w:tc>
          <w:tcPr>
            <w:tcW w:w="850" w:type="dxa"/>
          </w:tcPr>
          <w:p w14:paraId="291023B3" w14:textId="77777777" w:rsidR="00BB2CB4" w:rsidRPr="00222C32" w:rsidRDefault="00BB2CB4">
            <w:pPr>
              <w:pStyle w:val="SummaryAgencyTitle-BP2"/>
            </w:pPr>
          </w:p>
        </w:tc>
        <w:tc>
          <w:tcPr>
            <w:tcW w:w="850" w:type="dxa"/>
          </w:tcPr>
          <w:p w14:paraId="6B3640DF" w14:textId="77777777" w:rsidR="00BB2CB4" w:rsidRPr="00222C32" w:rsidRDefault="00BB2CB4">
            <w:pPr>
              <w:pStyle w:val="SummaryAgencyTitle-BP2"/>
            </w:pPr>
          </w:p>
        </w:tc>
        <w:tc>
          <w:tcPr>
            <w:tcW w:w="850" w:type="dxa"/>
          </w:tcPr>
          <w:p w14:paraId="1B63A9B8" w14:textId="77777777" w:rsidR="00BB2CB4" w:rsidRPr="00222C32" w:rsidRDefault="00BB2CB4">
            <w:pPr>
              <w:pStyle w:val="SummaryAgencyTitle-BP2"/>
            </w:pPr>
          </w:p>
        </w:tc>
      </w:tr>
      <w:tr w:rsidR="00BB2CB4" w:rsidRPr="00222C32" w14:paraId="531C92FB" w14:textId="77777777" w:rsidTr="00825163">
        <w:tc>
          <w:tcPr>
            <w:tcW w:w="3471" w:type="dxa"/>
            <w:vAlign w:val="bottom"/>
          </w:tcPr>
          <w:p w14:paraId="2009301E" w14:textId="77777777" w:rsidR="00BB2CB4" w:rsidRPr="00222C32" w:rsidRDefault="000674DA">
            <w:pPr>
              <w:pStyle w:val="SummaryMeasureTitlewithTheme"/>
            </w:pPr>
            <w:r w:rsidRPr="00222C32">
              <w:t>Future of the Northern Australia Infrastructure Facility(b)</w:t>
            </w:r>
          </w:p>
        </w:tc>
        <w:tc>
          <w:tcPr>
            <w:tcW w:w="850" w:type="dxa"/>
            <w:vAlign w:val="bottom"/>
          </w:tcPr>
          <w:p w14:paraId="1B87B183" w14:textId="77777777" w:rsidR="00BB2CB4" w:rsidRPr="00222C32" w:rsidRDefault="000674DA">
            <w:pPr>
              <w:pStyle w:val="Summarytabletextrightaligned"/>
            </w:pPr>
            <w:r w:rsidRPr="00222C32">
              <w:t>-</w:t>
            </w:r>
          </w:p>
        </w:tc>
        <w:tc>
          <w:tcPr>
            <w:tcW w:w="850" w:type="dxa"/>
            <w:shd w:val="clear" w:color="auto" w:fill="E6F2FF"/>
            <w:vAlign w:val="bottom"/>
          </w:tcPr>
          <w:p w14:paraId="3FB1B46C" w14:textId="77777777" w:rsidR="00BB2CB4" w:rsidRPr="00222C32" w:rsidRDefault="000674DA">
            <w:pPr>
              <w:pStyle w:val="Summarytabletextrightaligned"/>
            </w:pPr>
            <w:r w:rsidRPr="00222C32">
              <w:t>-</w:t>
            </w:r>
          </w:p>
        </w:tc>
        <w:tc>
          <w:tcPr>
            <w:tcW w:w="850" w:type="dxa"/>
            <w:vAlign w:val="bottom"/>
          </w:tcPr>
          <w:p w14:paraId="1F63782A" w14:textId="77777777" w:rsidR="00BB2CB4" w:rsidRPr="00222C32" w:rsidRDefault="000674DA">
            <w:pPr>
              <w:pStyle w:val="Summarytabletextrightaligned"/>
            </w:pPr>
            <w:r w:rsidRPr="00222C32">
              <w:t>-</w:t>
            </w:r>
          </w:p>
        </w:tc>
        <w:tc>
          <w:tcPr>
            <w:tcW w:w="850" w:type="dxa"/>
            <w:vAlign w:val="bottom"/>
          </w:tcPr>
          <w:p w14:paraId="4605B06F" w14:textId="77777777" w:rsidR="00BB2CB4" w:rsidRPr="00222C32" w:rsidRDefault="000674DA">
            <w:pPr>
              <w:pStyle w:val="Summarytabletextrightaligned"/>
            </w:pPr>
            <w:r w:rsidRPr="00222C32">
              <w:t>0.9</w:t>
            </w:r>
          </w:p>
        </w:tc>
        <w:tc>
          <w:tcPr>
            <w:tcW w:w="850" w:type="dxa"/>
            <w:vAlign w:val="bottom"/>
          </w:tcPr>
          <w:p w14:paraId="634E6F9C" w14:textId="77777777" w:rsidR="00BB2CB4" w:rsidRPr="00222C32" w:rsidRDefault="000674DA">
            <w:pPr>
              <w:pStyle w:val="Summarytabletextrightaligned"/>
            </w:pPr>
            <w:r w:rsidRPr="00222C32">
              <w:t>5.0</w:t>
            </w:r>
          </w:p>
        </w:tc>
      </w:tr>
      <w:tr w:rsidR="00BB2CB4" w:rsidRPr="00222C32" w14:paraId="1EEB858A" w14:textId="77777777" w:rsidTr="00825163">
        <w:tc>
          <w:tcPr>
            <w:tcW w:w="3471" w:type="dxa"/>
            <w:vAlign w:val="bottom"/>
          </w:tcPr>
          <w:p w14:paraId="0A3F82D3" w14:textId="77777777" w:rsidR="00BB2CB4" w:rsidRPr="00222C32" w:rsidRDefault="000674DA">
            <w:pPr>
              <w:pStyle w:val="SummaryMeasureTitlewithTheme"/>
            </w:pPr>
            <w:r w:rsidRPr="00222C32">
              <w:t>Rex Airlines(b)</w:t>
            </w:r>
          </w:p>
        </w:tc>
        <w:tc>
          <w:tcPr>
            <w:tcW w:w="850" w:type="dxa"/>
            <w:tcBorders>
              <w:bottom w:val="single" w:sz="4" w:space="0" w:color="293F5B"/>
            </w:tcBorders>
            <w:vAlign w:val="bottom"/>
          </w:tcPr>
          <w:p w14:paraId="418A91BF"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7C0635F5"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1550F596"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5DEA3F73" w14:textId="77777777" w:rsidR="00BB2CB4" w:rsidRPr="00222C32" w:rsidRDefault="000674DA">
            <w:pPr>
              <w:pStyle w:val="Summarytabletextrightaligned"/>
              <w:rPr>
                <w:lang w:val="en-US"/>
              </w:rPr>
            </w:pPr>
            <w:r w:rsidRPr="00222C32">
              <w:rPr>
                <w:lang w:val="en-US"/>
              </w:rPr>
              <w:t>nfp</w:t>
            </w:r>
          </w:p>
        </w:tc>
        <w:tc>
          <w:tcPr>
            <w:tcW w:w="850" w:type="dxa"/>
            <w:tcBorders>
              <w:bottom w:val="single" w:sz="4" w:space="0" w:color="293F5B"/>
            </w:tcBorders>
            <w:vAlign w:val="bottom"/>
          </w:tcPr>
          <w:p w14:paraId="7E91154F" w14:textId="77777777" w:rsidR="00BB2CB4" w:rsidRPr="00222C32" w:rsidRDefault="000674DA">
            <w:pPr>
              <w:pStyle w:val="Summarytabletextrightaligned"/>
              <w:rPr>
                <w:lang w:val="en-US"/>
              </w:rPr>
            </w:pPr>
            <w:r w:rsidRPr="00222C32">
              <w:rPr>
                <w:lang w:val="en-US"/>
              </w:rPr>
              <w:t>nfp</w:t>
            </w:r>
          </w:p>
        </w:tc>
      </w:tr>
      <w:tr w:rsidR="00BB2CB4" w:rsidRPr="00222C32" w14:paraId="57FDDC62" w14:textId="77777777" w:rsidTr="00825163">
        <w:tc>
          <w:tcPr>
            <w:tcW w:w="3471" w:type="dxa"/>
            <w:vAlign w:val="bottom"/>
          </w:tcPr>
          <w:p w14:paraId="4C6ED321"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52A66437"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545F79E8"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vAlign w:val="bottom"/>
          </w:tcPr>
          <w:p w14:paraId="6DD490A5" w14:textId="77777777" w:rsidR="00BB2CB4" w:rsidRPr="00222C32" w:rsidRDefault="000674DA">
            <w:pPr>
              <w:pStyle w:val="Summarytabletextrightalignedbold"/>
            </w:pPr>
            <w:r w:rsidRPr="00222C32">
              <w:t>-34.1</w:t>
            </w:r>
          </w:p>
        </w:tc>
        <w:tc>
          <w:tcPr>
            <w:tcW w:w="850" w:type="dxa"/>
            <w:tcBorders>
              <w:top w:val="single" w:sz="4" w:space="0" w:color="293F5B"/>
              <w:bottom w:val="single" w:sz="4" w:space="0" w:color="293F5B"/>
            </w:tcBorders>
            <w:vAlign w:val="bottom"/>
          </w:tcPr>
          <w:p w14:paraId="0EBE0234" w14:textId="77777777" w:rsidR="00BB2CB4" w:rsidRPr="00222C32" w:rsidRDefault="000674DA">
            <w:pPr>
              <w:pStyle w:val="Summarytabletextrightalignedbold"/>
            </w:pPr>
            <w:r w:rsidRPr="00222C32">
              <w:t>-32.4</w:t>
            </w:r>
          </w:p>
        </w:tc>
        <w:tc>
          <w:tcPr>
            <w:tcW w:w="850" w:type="dxa"/>
            <w:tcBorders>
              <w:top w:val="single" w:sz="4" w:space="0" w:color="293F5B"/>
              <w:bottom w:val="single" w:sz="4" w:space="0" w:color="293F5B"/>
            </w:tcBorders>
            <w:vAlign w:val="bottom"/>
          </w:tcPr>
          <w:p w14:paraId="2A674CE6" w14:textId="77777777" w:rsidR="00BB2CB4" w:rsidRPr="00222C32" w:rsidRDefault="000674DA">
            <w:pPr>
              <w:pStyle w:val="Summarytabletextrightalignedbold"/>
            </w:pPr>
            <w:r w:rsidRPr="00222C32">
              <w:t>-25.4</w:t>
            </w:r>
          </w:p>
        </w:tc>
      </w:tr>
      <w:tr w:rsidR="00BB2CB4" w:rsidRPr="00222C32" w14:paraId="3EA07C26" w14:textId="77777777" w:rsidTr="00825163">
        <w:tc>
          <w:tcPr>
            <w:tcW w:w="3471" w:type="dxa"/>
            <w:vAlign w:val="bottom"/>
          </w:tcPr>
          <w:p w14:paraId="40FC8AB8" w14:textId="77777777" w:rsidR="00BB2CB4" w:rsidRPr="00222C32" w:rsidRDefault="000674DA">
            <w:pPr>
              <w:pStyle w:val="SummaryPortfolioTitle-BP2"/>
            </w:pPr>
            <w:r w:rsidRPr="00222C32">
              <w:t>SOCIAL SERVICES</w:t>
            </w:r>
          </w:p>
        </w:tc>
        <w:tc>
          <w:tcPr>
            <w:tcW w:w="850" w:type="dxa"/>
            <w:tcBorders>
              <w:top w:val="single" w:sz="4" w:space="0" w:color="293F5B"/>
            </w:tcBorders>
          </w:tcPr>
          <w:p w14:paraId="33629CFF"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692DA88B" w14:textId="77777777" w:rsidR="00BB2CB4" w:rsidRPr="00222C32" w:rsidRDefault="00BB2CB4">
            <w:pPr>
              <w:pStyle w:val="MeasureTableTextRightAlignedBefore6ptAfter1pt"/>
            </w:pPr>
          </w:p>
        </w:tc>
        <w:tc>
          <w:tcPr>
            <w:tcW w:w="850" w:type="dxa"/>
            <w:tcBorders>
              <w:top w:val="single" w:sz="4" w:space="0" w:color="293F5B"/>
            </w:tcBorders>
          </w:tcPr>
          <w:p w14:paraId="17A7C865" w14:textId="77777777" w:rsidR="00BB2CB4" w:rsidRPr="00222C32" w:rsidRDefault="00BB2CB4">
            <w:pPr>
              <w:pStyle w:val="MeasureTableTextRightAlignedBefore6ptAfter1pt"/>
            </w:pPr>
          </w:p>
        </w:tc>
        <w:tc>
          <w:tcPr>
            <w:tcW w:w="850" w:type="dxa"/>
            <w:tcBorders>
              <w:top w:val="single" w:sz="4" w:space="0" w:color="293F5B"/>
            </w:tcBorders>
          </w:tcPr>
          <w:p w14:paraId="1ABF93C0" w14:textId="77777777" w:rsidR="00BB2CB4" w:rsidRPr="00222C32" w:rsidRDefault="00BB2CB4">
            <w:pPr>
              <w:pStyle w:val="MeasureTableTextRightAlignedBefore6ptAfter1pt"/>
            </w:pPr>
          </w:p>
        </w:tc>
        <w:tc>
          <w:tcPr>
            <w:tcW w:w="850" w:type="dxa"/>
            <w:tcBorders>
              <w:top w:val="single" w:sz="4" w:space="0" w:color="293F5B"/>
            </w:tcBorders>
          </w:tcPr>
          <w:p w14:paraId="4293E40C" w14:textId="77777777" w:rsidR="00BB2CB4" w:rsidRPr="00222C32" w:rsidRDefault="00BB2CB4">
            <w:pPr>
              <w:pStyle w:val="MeasureTableTextRightAlignedBefore6ptAfter1pt"/>
            </w:pPr>
          </w:p>
        </w:tc>
      </w:tr>
      <w:tr w:rsidR="00BB2CB4" w:rsidRPr="00222C32" w14:paraId="66E78097" w14:textId="77777777" w:rsidTr="00825163">
        <w:tc>
          <w:tcPr>
            <w:tcW w:w="3471" w:type="dxa"/>
            <w:vAlign w:val="bottom"/>
          </w:tcPr>
          <w:p w14:paraId="2DC784D7" w14:textId="77777777" w:rsidR="00BB2CB4" w:rsidRPr="00222C32" w:rsidRDefault="000674DA">
            <w:pPr>
              <w:pStyle w:val="SummaryAgencyTitle-BP2"/>
            </w:pPr>
            <w:r w:rsidRPr="00222C32">
              <w:t>Department of Social Services</w:t>
            </w:r>
          </w:p>
        </w:tc>
        <w:tc>
          <w:tcPr>
            <w:tcW w:w="850" w:type="dxa"/>
          </w:tcPr>
          <w:p w14:paraId="5A3FE713" w14:textId="77777777" w:rsidR="00BB2CB4" w:rsidRPr="00222C32" w:rsidRDefault="00BB2CB4">
            <w:pPr>
              <w:pStyle w:val="SummaryAgencyTitle-BP2"/>
            </w:pPr>
          </w:p>
        </w:tc>
        <w:tc>
          <w:tcPr>
            <w:tcW w:w="850" w:type="dxa"/>
            <w:shd w:val="clear" w:color="auto" w:fill="E6F2FF"/>
          </w:tcPr>
          <w:p w14:paraId="60909BDE" w14:textId="77777777" w:rsidR="00BB2CB4" w:rsidRPr="00222C32" w:rsidRDefault="00BB2CB4">
            <w:pPr>
              <w:pStyle w:val="SummaryAgencyTitle-BP2"/>
            </w:pPr>
          </w:p>
        </w:tc>
        <w:tc>
          <w:tcPr>
            <w:tcW w:w="850" w:type="dxa"/>
          </w:tcPr>
          <w:p w14:paraId="26B876EE" w14:textId="77777777" w:rsidR="00BB2CB4" w:rsidRPr="00222C32" w:rsidRDefault="00BB2CB4">
            <w:pPr>
              <w:pStyle w:val="SummaryAgencyTitle-BP2"/>
            </w:pPr>
          </w:p>
        </w:tc>
        <w:tc>
          <w:tcPr>
            <w:tcW w:w="850" w:type="dxa"/>
          </w:tcPr>
          <w:p w14:paraId="0DB755CA" w14:textId="77777777" w:rsidR="00BB2CB4" w:rsidRPr="00222C32" w:rsidRDefault="00BB2CB4">
            <w:pPr>
              <w:pStyle w:val="SummaryAgencyTitle-BP2"/>
            </w:pPr>
          </w:p>
        </w:tc>
        <w:tc>
          <w:tcPr>
            <w:tcW w:w="850" w:type="dxa"/>
          </w:tcPr>
          <w:p w14:paraId="4D62EB3E" w14:textId="77777777" w:rsidR="00BB2CB4" w:rsidRPr="00222C32" w:rsidRDefault="00BB2CB4">
            <w:pPr>
              <w:pStyle w:val="SummaryAgencyTitle-BP2"/>
            </w:pPr>
          </w:p>
        </w:tc>
      </w:tr>
      <w:tr w:rsidR="00BB2CB4" w:rsidRPr="00222C32" w14:paraId="79FFF914" w14:textId="77777777" w:rsidTr="00825163">
        <w:tc>
          <w:tcPr>
            <w:tcW w:w="3471" w:type="dxa"/>
            <w:vAlign w:val="bottom"/>
          </w:tcPr>
          <w:p w14:paraId="5A3CFD3E" w14:textId="77777777" w:rsidR="00BB2CB4" w:rsidRPr="00222C32" w:rsidRDefault="000674DA">
            <w:pPr>
              <w:pStyle w:val="SummaryMeasureTitlewithTheme"/>
            </w:pPr>
            <w:r w:rsidRPr="00222C32">
              <w:t>A Fairer More Efficient Social Security System(b)</w:t>
            </w:r>
          </w:p>
        </w:tc>
        <w:tc>
          <w:tcPr>
            <w:tcW w:w="850" w:type="dxa"/>
            <w:tcBorders>
              <w:bottom w:val="single" w:sz="4" w:space="0" w:color="293F5B"/>
            </w:tcBorders>
            <w:vAlign w:val="bottom"/>
          </w:tcPr>
          <w:p w14:paraId="70CC0BF0"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EF2DCEA" w14:textId="77777777" w:rsidR="00BB2CB4" w:rsidRPr="00222C32" w:rsidRDefault="000674DA">
            <w:pPr>
              <w:pStyle w:val="Summarytabletextrightaligned"/>
            </w:pPr>
            <w:r w:rsidRPr="00222C32">
              <w:t>-11.3</w:t>
            </w:r>
          </w:p>
        </w:tc>
        <w:tc>
          <w:tcPr>
            <w:tcW w:w="850" w:type="dxa"/>
            <w:tcBorders>
              <w:bottom w:val="single" w:sz="4" w:space="0" w:color="293F5B"/>
            </w:tcBorders>
            <w:vAlign w:val="bottom"/>
          </w:tcPr>
          <w:p w14:paraId="2611D80C" w14:textId="77777777" w:rsidR="00BB2CB4" w:rsidRPr="00222C32" w:rsidRDefault="000674DA">
            <w:pPr>
              <w:pStyle w:val="Summarytabletextrightaligned"/>
            </w:pPr>
            <w:r w:rsidRPr="00222C32">
              <w:t>-49.9</w:t>
            </w:r>
          </w:p>
        </w:tc>
        <w:tc>
          <w:tcPr>
            <w:tcW w:w="850" w:type="dxa"/>
            <w:tcBorders>
              <w:bottom w:val="single" w:sz="4" w:space="0" w:color="293F5B"/>
            </w:tcBorders>
            <w:vAlign w:val="bottom"/>
          </w:tcPr>
          <w:p w14:paraId="159A1270" w14:textId="77777777" w:rsidR="00BB2CB4" w:rsidRPr="00222C32" w:rsidRDefault="000674DA">
            <w:pPr>
              <w:pStyle w:val="Summarytabletextrightaligned"/>
            </w:pPr>
            <w:r w:rsidRPr="00222C32">
              <w:t>-28.3</w:t>
            </w:r>
          </w:p>
        </w:tc>
        <w:tc>
          <w:tcPr>
            <w:tcW w:w="850" w:type="dxa"/>
            <w:tcBorders>
              <w:bottom w:val="single" w:sz="4" w:space="0" w:color="293F5B"/>
            </w:tcBorders>
            <w:vAlign w:val="bottom"/>
          </w:tcPr>
          <w:p w14:paraId="52C21081" w14:textId="77777777" w:rsidR="00BB2CB4" w:rsidRPr="00222C32" w:rsidRDefault="000674DA">
            <w:pPr>
              <w:pStyle w:val="Summarytabletextrightaligned"/>
            </w:pPr>
            <w:r w:rsidRPr="00222C32">
              <w:t>-28.1</w:t>
            </w:r>
          </w:p>
        </w:tc>
      </w:tr>
      <w:tr w:rsidR="00BB2CB4" w:rsidRPr="00222C32" w14:paraId="5AF90F36" w14:textId="77777777" w:rsidTr="00825163">
        <w:tc>
          <w:tcPr>
            <w:tcW w:w="3471" w:type="dxa"/>
            <w:vAlign w:val="bottom"/>
          </w:tcPr>
          <w:p w14:paraId="6C037AC2"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5C89667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1E2D35DB" w14:textId="77777777" w:rsidR="00BB2CB4" w:rsidRPr="00222C32" w:rsidRDefault="000674DA">
            <w:pPr>
              <w:pStyle w:val="Summarytabletextrightalignedbold"/>
            </w:pPr>
            <w:r w:rsidRPr="00222C32">
              <w:t>-11.3</w:t>
            </w:r>
          </w:p>
        </w:tc>
        <w:tc>
          <w:tcPr>
            <w:tcW w:w="850" w:type="dxa"/>
            <w:tcBorders>
              <w:top w:val="single" w:sz="4" w:space="0" w:color="293F5B"/>
              <w:bottom w:val="single" w:sz="4" w:space="0" w:color="293F5B"/>
            </w:tcBorders>
            <w:vAlign w:val="bottom"/>
          </w:tcPr>
          <w:p w14:paraId="4777DCBD" w14:textId="77777777" w:rsidR="00BB2CB4" w:rsidRPr="00222C32" w:rsidRDefault="000674DA">
            <w:pPr>
              <w:pStyle w:val="Summarytabletextrightalignedbold"/>
            </w:pPr>
            <w:r w:rsidRPr="00222C32">
              <w:t>-49.9</w:t>
            </w:r>
          </w:p>
        </w:tc>
        <w:tc>
          <w:tcPr>
            <w:tcW w:w="850" w:type="dxa"/>
            <w:tcBorders>
              <w:top w:val="single" w:sz="4" w:space="0" w:color="293F5B"/>
              <w:bottom w:val="single" w:sz="4" w:space="0" w:color="293F5B"/>
            </w:tcBorders>
            <w:vAlign w:val="bottom"/>
          </w:tcPr>
          <w:p w14:paraId="5C5C11C1" w14:textId="77777777" w:rsidR="00BB2CB4" w:rsidRPr="00222C32" w:rsidRDefault="000674DA">
            <w:pPr>
              <w:pStyle w:val="Summarytabletextrightalignedbold"/>
            </w:pPr>
            <w:r w:rsidRPr="00222C32">
              <w:t>-28.3</w:t>
            </w:r>
          </w:p>
        </w:tc>
        <w:tc>
          <w:tcPr>
            <w:tcW w:w="850" w:type="dxa"/>
            <w:tcBorders>
              <w:top w:val="single" w:sz="4" w:space="0" w:color="293F5B"/>
              <w:bottom w:val="single" w:sz="4" w:space="0" w:color="293F5B"/>
            </w:tcBorders>
            <w:vAlign w:val="bottom"/>
          </w:tcPr>
          <w:p w14:paraId="532203CF" w14:textId="77777777" w:rsidR="00BB2CB4" w:rsidRPr="00222C32" w:rsidRDefault="000674DA">
            <w:pPr>
              <w:pStyle w:val="Summarytabletextrightalignedbold"/>
            </w:pPr>
            <w:r w:rsidRPr="00222C32">
              <w:t>-28.1</w:t>
            </w:r>
          </w:p>
        </w:tc>
      </w:tr>
      <w:tr w:rsidR="00BB2CB4" w:rsidRPr="00222C32" w14:paraId="47E22821" w14:textId="77777777" w:rsidTr="00825163">
        <w:tc>
          <w:tcPr>
            <w:tcW w:w="3471" w:type="dxa"/>
            <w:vAlign w:val="bottom"/>
          </w:tcPr>
          <w:p w14:paraId="1FC983DA" w14:textId="77777777" w:rsidR="00BB2CB4" w:rsidRPr="00222C32" w:rsidRDefault="000674DA">
            <w:pPr>
              <w:pStyle w:val="SummaryPortfolioTitle-BP2"/>
            </w:pPr>
            <w:r w:rsidRPr="00222C32">
              <w:t>TREASURY</w:t>
            </w:r>
          </w:p>
        </w:tc>
        <w:tc>
          <w:tcPr>
            <w:tcW w:w="850" w:type="dxa"/>
            <w:tcBorders>
              <w:top w:val="single" w:sz="4" w:space="0" w:color="293F5B"/>
            </w:tcBorders>
          </w:tcPr>
          <w:p w14:paraId="10D417FE"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33A91DED" w14:textId="77777777" w:rsidR="00BB2CB4" w:rsidRPr="00222C32" w:rsidRDefault="00BB2CB4">
            <w:pPr>
              <w:pStyle w:val="MeasureTableTextRightAlignedBefore6ptAfter1pt"/>
            </w:pPr>
          </w:p>
        </w:tc>
        <w:tc>
          <w:tcPr>
            <w:tcW w:w="850" w:type="dxa"/>
            <w:tcBorders>
              <w:top w:val="single" w:sz="4" w:space="0" w:color="293F5B"/>
            </w:tcBorders>
          </w:tcPr>
          <w:p w14:paraId="79EDDED7" w14:textId="77777777" w:rsidR="00BB2CB4" w:rsidRPr="00222C32" w:rsidRDefault="00BB2CB4">
            <w:pPr>
              <w:pStyle w:val="MeasureTableTextRightAlignedBefore6ptAfter1pt"/>
            </w:pPr>
          </w:p>
        </w:tc>
        <w:tc>
          <w:tcPr>
            <w:tcW w:w="850" w:type="dxa"/>
            <w:tcBorders>
              <w:top w:val="single" w:sz="4" w:space="0" w:color="293F5B"/>
            </w:tcBorders>
          </w:tcPr>
          <w:p w14:paraId="358AE4D4" w14:textId="77777777" w:rsidR="00BB2CB4" w:rsidRPr="00222C32" w:rsidRDefault="00BB2CB4">
            <w:pPr>
              <w:pStyle w:val="MeasureTableTextRightAlignedBefore6ptAfter1pt"/>
            </w:pPr>
          </w:p>
        </w:tc>
        <w:tc>
          <w:tcPr>
            <w:tcW w:w="850" w:type="dxa"/>
            <w:tcBorders>
              <w:top w:val="single" w:sz="4" w:space="0" w:color="293F5B"/>
            </w:tcBorders>
          </w:tcPr>
          <w:p w14:paraId="2C796345" w14:textId="77777777" w:rsidR="00BB2CB4" w:rsidRPr="00222C32" w:rsidRDefault="00BB2CB4">
            <w:pPr>
              <w:pStyle w:val="MeasureTableTextRightAlignedBefore6ptAfter1pt"/>
            </w:pPr>
          </w:p>
        </w:tc>
      </w:tr>
      <w:tr w:rsidR="00BB2CB4" w:rsidRPr="00222C32" w14:paraId="06FD1236" w14:textId="77777777" w:rsidTr="00825163">
        <w:tc>
          <w:tcPr>
            <w:tcW w:w="3471" w:type="dxa"/>
            <w:vAlign w:val="bottom"/>
          </w:tcPr>
          <w:p w14:paraId="4A2A6091" w14:textId="77777777" w:rsidR="00BB2CB4" w:rsidRPr="00222C32" w:rsidRDefault="000674DA">
            <w:pPr>
              <w:pStyle w:val="SummaryAgencyTitle-BP2"/>
            </w:pPr>
            <w:r w:rsidRPr="00222C32">
              <w:t>Australian Competition and Consumer Commission</w:t>
            </w:r>
          </w:p>
        </w:tc>
        <w:tc>
          <w:tcPr>
            <w:tcW w:w="850" w:type="dxa"/>
          </w:tcPr>
          <w:p w14:paraId="56C767B3" w14:textId="77777777" w:rsidR="00BB2CB4" w:rsidRPr="00222C32" w:rsidRDefault="00BB2CB4">
            <w:pPr>
              <w:pStyle w:val="SummaryAgencyTitle-BP2"/>
            </w:pPr>
          </w:p>
        </w:tc>
        <w:tc>
          <w:tcPr>
            <w:tcW w:w="850" w:type="dxa"/>
            <w:shd w:val="clear" w:color="auto" w:fill="E6F2FF"/>
          </w:tcPr>
          <w:p w14:paraId="3AE233BE" w14:textId="77777777" w:rsidR="00BB2CB4" w:rsidRPr="00222C32" w:rsidRDefault="00BB2CB4">
            <w:pPr>
              <w:pStyle w:val="SummaryAgencyTitle-BP2"/>
            </w:pPr>
          </w:p>
        </w:tc>
        <w:tc>
          <w:tcPr>
            <w:tcW w:w="850" w:type="dxa"/>
          </w:tcPr>
          <w:p w14:paraId="12E7C137" w14:textId="77777777" w:rsidR="00BB2CB4" w:rsidRPr="00222C32" w:rsidRDefault="00BB2CB4">
            <w:pPr>
              <w:pStyle w:val="SummaryAgencyTitle-BP2"/>
            </w:pPr>
          </w:p>
        </w:tc>
        <w:tc>
          <w:tcPr>
            <w:tcW w:w="850" w:type="dxa"/>
          </w:tcPr>
          <w:p w14:paraId="5FEC0F81" w14:textId="77777777" w:rsidR="00BB2CB4" w:rsidRPr="00222C32" w:rsidRDefault="00BB2CB4">
            <w:pPr>
              <w:pStyle w:val="SummaryAgencyTitle-BP2"/>
            </w:pPr>
          </w:p>
        </w:tc>
        <w:tc>
          <w:tcPr>
            <w:tcW w:w="850" w:type="dxa"/>
          </w:tcPr>
          <w:p w14:paraId="7E1BAE5D" w14:textId="77777777" w:rsidR="00BB2CB4" w:rsidRPr="00222C32" w:rsidRDefault="00BB2CB4">
            <w:pPr>
              <w:pStyle w:val="SummaryAgencyTitle-BP2"/>
            </w:pPr>
          </w:p>
        </w:tc>
      </w:tr>
      <w:tr w:rsidR="00BB2CB4" w:rsidRPr="00222C32" w14:paraId="21D7CA9E" w14:textId="77777777" w:rsidTr="00825163">
        <w:tc>
          <w:tcPr>
            <w:tcW w:w="3471" w:type="dxa"/>
            <w:vAlign w:val="bottom"/>
          </w:tcPr>
          <w:p w14:paraId="35B04ECD" w14:textId="77777777" w:rsidR="00BB2CB4" w:rsidRPr="00222C32" w:rsidRDefault="000674DA">
            <w:pPr>
              <w:pStyle w:val="SummaryMeasureTitlewithTheme"/>
            </w:pPr>
            <w:r w:rsidRPr="00222C32">
              <w:t>Supporting Consumers(b)</w:t>
            </w:r>
          </w:p>
        </w:tc>
        <w:tc>
          <w:tcPr>
            <w:tcW w:w="850" w:type="dxa"/>
            <w:vAlign w:val="bottom"/>
          </w:tcPr>
          <w:p w14:paraId="47CBD641" w14:textId="77777777" w:rsidR="00BB2CB4" w:rsidRPr="00222C32" w:rsidRDefault="000674DA">
            <w:pPr>
              <w:pStyle w:val="Summarytabletextrightaligned"/>
            </w:pPr>
            <w:r w:rsidRPr="00222C32">
              <w:t>-</w:t>
            </w:r>
          </w:p>
        </w:tc>
        <w:tc>
          <w:tcPr>
            <w:tcW w:w="850" w:type="dxa"/>
            <w:shd w:val="clear" w:color="auto" w:fill="E6F2FF"/>
            <w:vAlign w:val="bottom"/>
          </w:tcPr>
          <w:p w14:paraId="71E755E6" w14:textId="77777777" w:rsidR="00BB2CB4" w:rsidRPr="00222C32" w:rsidRDefault="000674DA">
            <w:pPr>
              <w:pStyle w:val="Summarytabletextrightaligned"/>
            </w:pPr>
            <w:r w:rsidRPr="00222C32">
              <w:t>4.0</w:t>
            </w:r>
          </w:p>
        </w:tc>
        <w:tc>
          <w:tcPr>
            <w:tcW w:w="850" w:type="dxa"/>
            <w:vAlign w:val="bottom"/>
          </w:tcPr>
          <w:p w14:paraId="52D75409" w14:textId="77777777" w:rsidR="00BB2CB4" w:rsidRPr="00222C32" w:rsidRDefault="000674DA">
            <w:pPr>
              <w:pStyle w:val="Summarytabletextrightaligned"/>
            </w:pPr>
            <w:r w:rsidRPr="00222C32">
              <w:t>9.5</w:t>
            </w:r>
          </w:p>
        </w:tc>
        <w:tc>
          <w:tcPr>
            <w:tcW w:w="850" w:type="dxa"/>
            <w:vAlign w:val="bottom"/>
          </w:tcPr>
          <w:p w14:paraId="29BFC44C" w14:textId="77777777" w:rsidR="00BB2CB4" w:rsidRPr="00222C32" w:rsidRDefault="000674DA">
            <w:pPr>
              <w:pStyle w:val="Summarytabletextrightaligned"/>
            </w:pPr>
            <w:r w:rsidRPr="00222C32">
              <w:t>10.4</w:t>
            </w:r>
          </w:p>
        </w:tc>
        <w:tc>
          <w:tcPr>
            <w:tcW w:w="850" w:type="dxa"/>
            <w:vAlign w:val="bottom"/>
          </w:tcPr>
          <w:p w14:paraId="3CDA6815" w14:textId="77777777" w:rsidR="00BB2CB4" w:rsidRPr="00222C32" w:rsidRDefault="000674DA">
            <w:pPr>
              <w:pStyle w:val="Summarytabletextrightaligned"/>
            </w:pPr>
            <w:r w:rsidRPr="00222C32">
              <w:t>11.1</w:t>
            </w:r>
          </w:p>
        </w:tc>
      </w:tr>
      <w:tr w:rsidR="00BB2CB4" w:rsidRPr="00222C32" w14:paraId="05B11899" w14:textId="77777777" w:rsidTr="00825163">
        <w:tc>
          <w:tcPr>
            <w:tcW w:w="3471" w:type="dxa"/>
            <w:vAlign w:val="bottom"/>
          </w:tcPr>
          <w:p w14:paraId="6E84D2D5" w14:textId="77777777" w:rsidR="00BB2CB4" w:rsidRPr="00222C32" w:rsidRDefault="000674DA">
            <w:pPr>
              <w:pStyle w:val="SummaryAgencyTitle-BP2"/>
            </w:pPr>
            <w:r w:rsidRPr="00222C32">
              <w:t>Australian Securities and Investments Commission</w:t>
            </w:r>
          </w:p>
        </w:tc>
        <w:tc>
          <w:tcPr>
            <w:tcW w:w="850" w:type="dxa"/>
          </w:tcPr>
          <w:p w14:paraId="7899217F" w14:textId="77777777" w:rsidR="00BB2CB4" w:rsidRPr="00222C32" w:rsidRDefault="00BB2CB4">
            <w:pPr>
              <w:pStyle w:val="SummaryAgencyTitle-BP2"/>
            </w:pPr>
          </w:p>
        </w:tc>
        <w:tc>
          <w:tcPr>
            <w:tcW w:w="850" w:type="dxa"/>
            <w:shd w:val="clear" w:color="auto" w:fill="E6F2FF"/>
          </w:tcPr>
          <w:p w14:paraId="25A70989" w14:textId="77777777" w:rsidR="00BB2CB4" w:rsidRPr="00222C32" w:rsidRDefault="00BB2CB4">
            <w:pPr>
              <w:pStyle w:val="SummaryAgencyTitle-BP2"/>
            </w:pPr>
          </w:p>
        </w:tc>
        <w:tc>
          <w:tcPr>
            <w:tcW w:w="850" w:type="dxa"/>
          </w:tcPr>
          <w:p w14:paraId="1425A51D" w14:textId="77777777" w:rsidR="00BB2CB4" w:rsidRPr="00222C32" w:rsidRDefault="00BB2CB4">
            <w:pPr>
              <w:pStyle w:val="SummaryAgencyTitle-BP2"/>
            </w:pPr>
          </w:p>
        </w:tc>
        <w:tc>
          <w:tcPr>
            <w:tcW w:w="850" w:type="dxa"/>
          </w:tcPr>
          <w:p w14:paraId="033C02EF" w14:textId="77777777" w:rsidR="00BB2CB4" w:rsidRPr="00222C32" w:rsidRDefault="00BB2CB4">
            <w:pPr>
              <w:pStyle w:val="SummaryAgencyTitle-BP2"/>
            </w:pPr>
          </w:p>
        </w:tc>
        <w:tc>
          <w:tcPr>
            <w:tcW w:w="850" w:type="dxa"/>
          </w:tcPr>
          <w:p w14:paraId="3049438C" w14:textId="77777777" w:rsidR="00BB2CB4" w:rsidRPr="00222C32" w:rsidRDefault="00BB2CB4">
            <w:pPr>
              <w:pStyle w:val="SummaryAgencyTitle-BP2"/>
            </w:pPr>
          </w:p>
        </w:tc>
      </w:tr>
      <w:tr w:rsidR="00BB2CB4" w:rsidRPr="00222C32" w14:paraId="5E5B12FC" w14:textId="77777777" w:rsidTr="00825163">
        <w:tc>
          <w:tcPr>
            <w:tcW w:w="3471" w:type="dxa"/>
            <w:vAlign w:val="bottom"/>
          </w:tcPr>
          <w:p w14:paraId="76095BAD" w14:textId="77777777" w:rsidR="00BB2CB4" w:rsidRPr="00222C32" w:rsidRDefault="000674DA">
            <w:pPr>
              <w:pStyle w:val="SummaryMeasureTitlewithTheme"/>
            </w:pPr>
            <w:r w:rsidRPr="00222C32">
              <w:t>Treasury Portfolio – additional resourcing(b)</w:t>
            </w:r>
          </w:p>
        </w:tc>
        <w:tc>
          <w:tcPr>
            <w:tcW w:w="850" w:type="dxa"/>
            <w:vAlign w:val="bottom"/>
          </w:tcPr>
          <w:p w14:paraId="600F0198" w14:textId="77777777" w:rsidR="00BB2CB4" w:rsidRPr="00222C32" w:rsidRDefault="000674DA">
            <w:pPr>
              <w:pStyle w:val="Summarytabletextrightaligned"/>
            </w:pPr>
            <w:r w:rsidRPr="00222C32">
              <w:t>-</w:t>
            </w:r>
          </w:p>
        </w:tc>
        <w:tc>
          <w:tcPr>
            <w:tcW w:w="850" w:type="dxa"/>
            <w:shd w:val="clear" w:color="auto" w:fill="E6F2FF"/>
            <w:vAlign w:val="bottom"/>
          </w:tcPr>
          <w:p w14:paraId="3ABD06E6" w14:textId="77777777" w:rsidR="00BB2CB4" w:rsidRPr="00222C32" w:rsidRDefault="000674DA">
            <w:pPr>
              <w:pStyle w:val="Summarytabletextrightaligned"/>
            </w:pPr>
            <w:r w:rsidRPr="00222C32">
              <w:t>-</w:t>
            </w:r>
          </w:p>
        </w:tc>
        <w:tc>
          <w:tcPr>
            <w:tcW w:w="850" w:type="dxa"/>
            <w:vAlign w:val="bottom"/>
          </w:tcPr>
          <w:p w14:paraId="00BE87DD" w14:textId="77777777" w:rsidR="00BB2CB4" w:rsidRPr="00222C32" w:rsidRDefault="000674DA">
            <w:pPr>
              <w:pStyle w:val="Summarytabletextrightaligned"/>
            </w:pPr>
            <w:r w:rsidRPr="00222C32">
              <w:t>-</w:t>
            </w:r>
          </w:p>
        </w:tc>
        <w:tc>
          <w:tcPr>
            <w:tcW w:w="850" w:type="dxa"/>
            <w:vAlign w:val="bottom"/>
          </w:tcPr>
          <w:p w14:paraId="286EE8C0" w14:textId="77777777" w:rsidR="00BB2CB4" w:rsidRPr="00222C32" w:rsidRDefault="000674DA">
            <w:pPr>
              <w:pStyle w:val="Summarytabletextrightaligned"/>
            </w:pPr>
            <w:r w:rsidRPr="00222C32">
              <w:t>6.4</w:t>
            </w:r>
          </w:p>
        </w:tc>
        <w:tc>
          <w:tcPr>
            <w:tcW w:w="850" w:type="dxa"/>
            <w:vAlign w:val="bottom"/>
          </w:tcPr>
          <w:p w14:paraId="41E3E1D2" w14:textId="77777777" w:rsidR="00BB2CB4" w:rsidRPr="00222C32" w:rsidRDefault="000674DA">
            <w:pPr>
              <w:pStyle w:val="Summarytabletextrightaligned"/>
            </w:pPr>
            <w:r w:rsidRPr="00222C32">
              <w:t>3.6</w:t>
            </w:r>
          </w:p>
        </w:tc>
      </w:tr>
      <w:tr w:rsidR="00BB2CB4" w:rsidRPr="00222C32" w14:paraId="100E8D7F" w14:textId="77777777" w:rsidTr="00825163">
        <w:tc>
          <w:tcPr>
            <w:tcW w:w="3471" w:type="dxa"/>
            <w:vAlign w:val="bottom"/>
          </w:tcPr>
          <w:p w14:paraId="66F44009" w14:textId="77777777" w:rsidR="00BB2CB4" w:rsidRPr="00222C32" w:rsidRDefault="000674DA">
            <w:pPr>
              <w:pStyle w:val="SummaryAgencyTitle-BP2"/>
            </w:pPr>
            <w:r w:rsidRPr="00222C32">
              <w:t>Australian Taxation Office</w:t>
            </w:r>
          </w:p>
        </w:tc>
        <w:tc>
          <w:tcPr>
            <w:tcW w:w="850" w:type="dxa"/>
          </w:tcPr>
          <w:p w14:paraId="43498817" w14:textId="77777777" w:rsidR="00BB2CB4" w:rsidRPr="00222C32" w:rsidRDefault="00BB2CB4">
            <w:pPr>
              <w:pStyle w:val="SummaryAgencyTitle-BP2"/>
            </w:pPr>
          </w:p>
        </w:tc>
        <w:tc>
          <w:tcPr>
            <w:tcW w:w="850" w:type="dxa"/>
            <w:shd w:val="clear" w:color="auto" w:fill="E6F2FF"/>
          </w:tcPr>
          <w:p w14:paraId="76F6A6A1" w14:textId="77777777" w:rsidR="00BB2CB4" w:rsidRPr="00222C32" w:rsidRDefault="00BB2CB4">
            <w:pPr>
              <w:pStyle w:val="SummaryAgencyTitle-BP2"/>
            </w:pPr>
          </w:p>
        </w:tc>
        <w:tc>
          <w:tcPr>
            <w:tcW w:w="850" w:type="dxa"/>
          </w:tcPr>
          <w:p w14:paraId="6F636B3E" w14:textId="77777777" w:rsidR="00BB2CB4" w:rsidRPr="00222C32" w:rsidRDefault="00BB2CB4">
            <w:pPr>
              <w:pStyle w:val="SummaryAgencyTitle-BP2"/>
            </w:pPr>
          </w:p>
        </w:tc>
        <w:tc>
          <w:tcPr>
            <w:tcW w:w="850" w:type="dxa"/>
          </w:tcPr>
          <w:p w14:paraId="541613FF" w14:textId="77777777" w:rsidR="00BB2CB4" w:rsidRPr="00222C32" w:rsidRDefault="00BB2CB4">
            <w:pPr>
              <w:pStyle w:val="SummaryAgencyTitle-BP2"/>
            </w:pPr>
          </w:p>
        </w:tc>
        <w:tc>
          <w:tcPr>
            <w:tcW w:w="850" w:type="dxa"/>
          </w:tcPr>
          <w:p w14:paraId="6E09FBD2" w14:textId="77777777" w:rsidR="00BB2CB4" w:rsidRPr="00222C32" w:rsidRDefault="00BB2CB4">
            <w:pPr>
              <w:pStyle w:val="SummaryAgencyTitle-BP2"/>
            </w:pPr>
          </w:p>
        </w:tc>
      </w:tr>
      <w:tr w:rsidR="00BB2CB4" w:rsidRPr="00222C32" w14:paraId="5F94686C" w14:textId="77777777" w:rsidTr="00825163">
        <w:tc>
          <w:tcPr>
            <w:tcW w:w="3471" w:type="dxa"/>
            <w:vAlign w:val="bottom"/>
          </w:tcPr>
          <w:p w14:paraId="1956EB53" w14:textId="77777777" w:rsidR="00BB2CB4" w:rsidRPr="00222C32" w:rsidRDefault="000674DA">
            <w:pPr>
              <w:pStyle w:val="SummaryMeasureTitlewithTheme"/>
            </w:pPr>
            <w:r w:rsidRPr="00222C32">
              <w:t>Indirect Tax Concession Scheme – diplomatic and consular concessions(b)</w:t>
            </w:r>
          </w:p>
        </w:tc>
        <w:tc>
          <w:tcPr>
            <w:tcW w:w="850" w:type="dxa"/>
            <w:vAlign w:val="bottom"/>
          </w:tcPr>
          <w:p w14:paraId="368E8CBF" w14:textId="22628919" w:rsidR="00BB2CB4" w:rsidRPr="00222C32" w:rsidRDefault="004E189C">
            <w:pPr>
              <w:pStyle w:val="Summarytabletextrightaligned"/>
            </w:pPr>
            <w:r>
              <w:t>..</w:t>
            </w:r>
          </w:p>
        </w:tc>
        <w:tc>
          <w:tcPr>
            <w:tcW w:w="850" w:type="dxa"/>
            <w:shd w:val="clear" w:color="auto" w:fill="E6F2FF"/>
            <w:vAlign w:val="bottom"/>
          </w:tcPr>
          <w:p w14:paraId="15BA3AB4" w14:textId="77777777" w:rsidR="00BB2CB4" w:rsidRPr="00222C32" w:rsidRDefault="000674DA">
            <w:pPr>
              <w:pStyle w:val="Summarytabletextrightaligned"/>
            </w:pPr>
            <w:r w:rsidRPr="00222C32">
              <w:t>..</w:t>
            </w:r>
          </w:p>
        </w:tc>
        <w:tc>
          <w:tcPr>
            <w:tcW w:w="850" w:type="dxa"/>
            <w:vAlign w:val="bottom"/>
          </w:tcPr>
          <w:p w14:paraId="246AD187" w14:textId="77777777" w:rsidR="00BB2CB4" w:rsidRPr="00222C32" w:rsidRDefault="000674DA">
            <w:pPr>
              <w:pStyle w:val="Summarytabletextrightaligned"/>
            </w:pPr>
            <w:r w:rsidRPr="00222C32">
              <w:t>..</w:t>
            </w:r>
          </w:p>
        </w:tc>
        <w:tc>
          <w:tcPr>
            <w:tcW w:w="850" w:type="dxa"/>
            <w:vAlign w:val="bottom"/>
          </w:tcPr>
          <w:p w14:paraId="30F4DC1F" w14:textId="77777777" w:rsidR="00BB2CB4" w:rsidRPr="00222C32" w:rsidRDefault="000674DA">
            <w:pPr>
              <w:pStyle w:val="Summarytabletextrightaligned"/>
            </w:pPr>
            <w:r w:rsidRPr="00222C32">
              <w:t>..</w:t>
            </w:r>
          </w:p>
        </w:tc>
        <w:tc>
          <w:tcPr>
            <w:tcW w:w="850" w:type="dxa"/>
            <w:vAlign w:val="bottom"/>
          </w:tcPr>
          <w:p w14:paraId="3CAD4DF4" w14:textId="77777777" w:rsidR="00BB2CB4" w:rsidRPr="00222C32" w:rsidRDefault="000674DA">
            <w:pPr>
              <w:pStyle w:val="Summarytabletextrightaligned"/>
            </w:pPr>
            <w:r w:rsidRPr="00222C32">
              <w:t>..</w:t>
            </w:r>
          </w:p>
        </w:tc>
      </w:tr>
      <w:tr w:rsidR="00BB2CB4" w:rsidRPr="00222C32" w14:paraId="4CF280D3" w14:textId="77777777" w:rsidTr="00825163">
        <w:tc>
          <w:tcPr>
            <w:tcW w:w="3471" w:type="dxa"/>
            <w:vAlign w:val="bottom"/>
          </w:tcPr>
          <w:p w14:paraId="5B76EED2" w14:textId="39323DDA" w:rsidR="00BB2CB4" w:rsidRPr="00222C32" w:rsidRDefault="000674DA">
            <w:pPr>
              <w:pStyle w:val="SummaryMeasureTitlewithTheme"/>
            </w:pPr>
            <w:r w:rsidRPr="00222C32">
              <w:t xml:space="preserve">International </w:t>
            </w:r>
            <w:r w:rsidR="0082386A">
              <w:t>T</w:t>
            </w:r>
            <w:r w:rsidRPr="00222C32">
              <w:t>ax – tax treaties with Ukraine and the Republic of Croatia</w:t>
            </w:r>
          </w:p>
        </w:tc>
        <w:tc>
          <w:tcPr>
            <w:tcW w:w="850" w:type="dxa"/>
            <w:vAlign w:val="bottom"/>
          </w:tcPr>
          <w:p w14:paraId="7CB4C43A" w14:textId="77777777" w:rsidR="00BB2CB4" w:rsidRPr="00222C32" w:rsidRDefault="000674DA">
            <w:pPr>
              <w:pStyle w:val="Summarytabletextrightaligned"/>
            </w:pPr>
            <w:r w:rsidRPr="00222C32">
              <w:t>-</w:t>
            </w:r>
          </w:p>
        </w:tc>
        <w:tc>
          <w:tcPr>
            <w:tcW w:w="850" w:type="dxa"/>
            <w:shd w:val="clear" w:color="auto" w:fill="E6F2FF"/>
            <w:vAlign w:val="bottom"/>
          </w:tcPr>
          <w:p w14:paraId="3DD8F263" w14:textId="77777777" w:rsidR="00BB2CB4" w:rsidRPr="00222C32" w:rsidRDefault="000674DA">
            <w:pPr>
              <w:pStyle w:val="Summarytabletextrightaligned"/>
            </w:pPr>
            <w:r w:rsidRPr="00222C32">
              <w:t>-1.0</w:t>
            </w:r>
          </w:p>
        </w:tc>
        <w:tc>
          <w:tcPr>
            <w:tcW w:w="850" w:type="dxa"/>
            <w:vAlign w:val="bottom"/>
          </w:tcPr>
          <w:p w14:paraId="46D7899F" w14:textId="77777777" w:rsidR="00BB2CB4" w:rsidRPr="00222C32" w:rsidRDefault="000674DA">
            <w:pPr>
              <w:pStyle w:val="Summarytabletextrightaligned"/>
            </w:pPr>
            <w:r w:rsidRPr="00222C32">
              <w:t>-2.0</w:t>
            </w:r>
          </w:p>
        </w:tc>
        <w:tc>
          <w:tcPr>
            <w:tcW w:w="850" w:type="dxa"/>
            <w:vAlign w:val="bottom"/>
          </w:tcPr>
          <w:p w14:paraId="55C76171" w14:textId="77777777" w:rsidR="00BB2CB4" w:rsidRPr="00222C32" w:rsidRDefault="000674DA">
            <w:pPr>
              <w:pStyle w:val="Summarytabletextrightaligned"/>
            </w:pPr>
            <w:r w:rsidRPr="00222C32">
              <w:t>-2.0</w:t>
            </w:r>
          </w:p>
        </w:tc>
        <w:tc>
          <w:tcPr>
            <w:tcW w:w="850" w:type="dxa"/>
            <w:vAlign w:val="bottom"/>
          </w:tcPr>
          <w:p w14:paraId="5CF20D3B" w14:textId="77777777" w:rsidR="00BB2CB4" w:rsidRPr="00222C32" w:rsidRDefault="000674DA">
            <w:pPr>
              <w:pStyle w:val="Summarytabletextrightaligned"/>
            </w:pPr>
            <w:r w:rsidRPr="00222C32">
              <w:t>-2.0</w:t>
            </w:r>
          </w:p>
        </w:tc>
      </w:tr>
      <w:tr w:rsidR="00BB2CB4" w:rsidRPr="00222C32" w14:paraId="130CD101" w14:textId="77777777" w:rsidTr="00825163">
        <w:tc>
          <w:tcPr>
            <w:tcW w:w="3471" w:type="dxa"/>
            <w:vAlign w:val="bottom"/>
          </w:tcPr>
          <w:p w14:paraId="0E450A2E" w14:textId="63F7F5D8" w:rsidR="00BB2CB4" w:rsidRPr="00222C32" w:rsidRDefault="000674DA">
            <w:pPr>
              <w:pStyle w:val="SummaryMeasureTitlewithTheme"/>
            </w:pPr>
            <w:r w:rsidRPr="00222C32">
              <w:t>Migration – uplift of Visa Application Charge for student visas(b)</w:t>
            </w:r>
          </w:p>
        </w:tc>
        <w:tc>
          <w:tcPr>
            <w:tcW w:w="850" w:type="dxa"/>
            <w:vAlign w:val="bottom"/>
          </w:tcPr>
          <w:p w14:paraId="09A42CEE" w14:textId="77777777" w:rsidR="00BB2CB4" w:rsidRPr="00222C32" w:rsidRDefault="000674DA">
            <w:pPr>
              <w:pStyle w:val="Summarytabletextrightaligned"/>
            </w:pPr>
            <w:r w:rsidRPr="00222C32">
              <w:t>-</w:t>
            </w:r>
          </w:p>
        </w:tc>
        <w:tc>
          <w:tcPr>
            <w:tcW w:w="850" w:type="dxa"/>
            <w:shd w:val="clear" w:color="auto" w:fill="E6F2FF"/>
            <w:vAlign w:val="bottom"/>
          </w:tcPr>
          <w:p w14:paraId="7A5C4BFF" w14:textId="77777777" w:rsidR="00BB2CB4" w:rsidRPr="00222C32" w:rsidRDefault="000674DA">
            <w:pPr>
              <w:pStyle w:val="Summarytabletextrightaligned"/>
            </w:pPr>
            <w:r w:rsidRPr="00222C32">
              <w:t>-5.0</w:t>
            </w:r>
          </w:p>
        </w:tc>
        <w:tc>
          <w:tcPr>
            <w:tcW w:w="850" w:type="dxa"/>
            <w:vAlign w:val="bottom"/>
          </w:tcPr>
          <w:p w14:paraId="41DC75EA" w14:textId="77777777" w:rsidR="00BB2CB4" w:rsidRPr="00222C32" w:rsidRDefault="000674DA">
            <w:pPr>
              <w:pStyle w:val="Summarytabletextrightaligned"/>
            </w:pPr>
            <w:r w:rsidRPr="00222C32">
              <w:t>-10.0</w:t>
            </w:r>
          </w:p>
        </w:tc>
        <w:tc>
          <w:tcPr>
            <w:tcW w:w="850" w:type="dxa"/>
            <w:vAlign w:val="bottom"/>
          </w:tcPr>
          <w:p w14:paraId="41A46AA6" w14:textId="77777777" w:rsidR="00BB2CB4" w:rsidRPr="00222C32" w:rsidRDefault="000674DA">
            <w:pPr>
              <w:pStyle w:val="Summarytabletextrightaligned"/>
            </w:pPr>
            <w:r w:rsidRPr="00222C32">
              <w:t>-15.0</w:t>
            </w:r>
          </w:p>
        </w:tc>
        <w:tc>
          <w:tcPr>
            <w:tcW w:w="850" w:type="dxa"/>
            <w:vAlign w:val="bottom"/>
          </w:tcPr>
          <w:p w14:paraId="5B9C3792" w14:textId="77777777" w:rsidR="00BB2CB4" w:rsidRPr="00222C32" w:rsidRDefault="000674DA">
            <w:pPr>
              <w:pStyle w:val="Summarytabletextrightaligned"/>
            </w:pPr>
            <w:r w:rsidRPr="00222C32">
              <w:t>-20.0</w:t>
            </w:r>
          </w:p>
        </w:tc>
      </w:tr>
      <w:tr w:rsidR="00BB2CB4" w:rsidRPr="00222C32" w14:paraId="7A69C543" w14:textId="77777777" w:rsidTr="00825163">
        <w:tc>
          <w:tcPr>
            <w:tcW w:w="3471" w:type="dxa"/>
            <w:tcBorders>
              <w:bottom w:val="nil"/>
            </w:tcBorders>
            <w:vAlign w:val="bottom"/>
          </w:tcPr>
          <w:p w14:paraId="6DBADB97" w14:textId="77777777" w:rsidR="00BB2CB4" w:rsidRPr="00222C32" w:rsidRDefault="000674DA">
            <w:pPr>
              <w:pStyle w:val="SummaryMeasureTitlewithTheme"/>
            </w:pPr>
            <w:r w:rsidRPr="00222C32">
              <w:t>OECD Crypto Asset Reporting Framework and domestic reporting(b)</w:t>
            </w:r>
          </w:p>
        </w:tc>
        <w:tc>
          <w:tcPr>
            <w:tcW w:w="850" w:type="dxa"/>
            <w:tcBorders>
              <w:bottom w:val="nil"/>
            </w:tcBorders>
            <w:vAlign w:val="bottom"/>
          </w:tcPr>
          <w:p w14:paraId="348733F4"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41E0FA79" w14:textId="77777777" w:rsidR="00BB2CB4" w:rsidRPr="00222C32" w:rsidRDefault="000674DA">
            <w:pPr>
              <w:pStyle w:val="Summarytabletextrightaligned"/>
            </w:pPr>
            <w:r w:rsidRPr="00222C32">
              <w:t>-</w:t>
            </w:r>
          </w:p>
        </w:tc>
        <w:tc>
          <w:tcPr>
            <w:tcW w:w="850" w:type="dxa"/>
            <w:tcBorders>
              <w:bottom w:val="nil"/>
            </w:tcBorders>
            <w:vAlign w:val="bottom"/>
          </w:tcPr>
          <w:p w14:paraId="6EF5BDD5" w14:textId="77777777" w:rsidR="00BB2CB4" w:rsidRPr="00222C32" w:rsidRDefault="000674DA">
            <w:pPr>
              <w:pStyle w:val="Summarytabletextrightaligned"/>
            </w:pPr>
            <w:r w:rsidRPr="00222C32">
              <w:t>-</w:t>
            </w:r>
          </w:p>
        </w:tc>
        <w:tc>
          <w:tcPr>
            <w:tcW w:w="850" w:type="dxa"/>
            <w:tcBorders>
              <w:bottom w:val="nil"/>
            </w:tcBorders>
            <w:vAlign w:val="bottom"/>
          </w:tcPr>
          <w:p w14:paraId="64809853" w14:textId="77777777" w:rsidR="00BB2CB4" w:rsidRPr="00222C32" w:rsidRDefault="000674DA">
            <w:pPr>
              <w:pStyle w:val="Summarytabletextrightaligned"/>
            </w:pPr>
            <w:r w:rsidRPr="00222C32">
              <w:t>50.0</w:t>
            </w:r>
          </w:p>
        </w:tc>
        <w:tc>
          <w:tcPr>
            <w:tcW w:w="850" w:type="dxa"/>
            <w:tcBorders>
              <w:bottom w:val="nil"/>
            </w:tcBorders>
            <w:vAlign w:val="bottom"/>
          </w:tcPr>
          <w:p w14:paraId="3460A369" w14:textId="77777777" w:rsidR="00BB2CB4" w:rsidRPr="00222C32" w:rsidRDefault="000674DA">
            <w:pPr>
              <w:pStyle w:val="Summarytabletextrightaligned"/>
            </w:pPr>
            <w:r w:rsidRPr="00222C32">
              <w:t>120.0</w:t>
            </w:r>
          </w:p>
        </w:tc>
      </w:tr>
      <w:tr w:rsidR="00BB2CB4" w:rsidRPr="00222C32" w14:paraId="79F771E7" w14:textId="77777777" w:rsidTr="00825163">
        <w:tc>
          <w:tcPr>
            <w:tcW w:w="3471" w:type="dxa"/>
            <w:tcBorders>
              <w:top w:val="nil"/>
              <w:bottom w:val="single" w:sz="4" w:space="0" w:color="293F5B"/>
            </w:tcBorders>
            <w:vAlign w:val="bottom"/>
          </w:tcPr>
          <w:p w14:paraId="46C19E8A" w14:textId="77777777" w:rsidR="00BB2CB4" w:rsidRPr="00222C32" w:rsidRDefault="000674DA">
            <w:pPr>
              <w:pStyle w:val="SummaryMeasureTitlewithTheme"/>
            </w:pPr>
            <w:r w:rsidRPr="00222C32">
              <w:t>Permanent Migration Program – 2025–26 planning levels(b)</w:t>
            </w:r>
          </w:p>
        </w:tc>
        <w:tc>
          <w:tcPr>
            <w:tcW w:w="850" w:type="dxa"/>
            <w:tcBorders>
              <w:top w:val="nil"/>
              <w:bottom w:val="single" w:sz="4" w:space="0" w:color="293F5B"/>
            </w:tcBorders>
            <w:vAlign w:val="bottom"/>
          </w:tcPr>
          <w:p w14:paraId="0CEBF013"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5265B782"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233DCF52"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15472F25"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66E85450" w14:textId="77777777" w:rsidR="00BB2CB4" w:rsidRPr="00222C32" w:rsidRDefault="000674DA">
            <w:pPr>
              <w:pStyle w:val="Summarytabletextrightaligned"/>
            </w:pPr>
            <w:r w:rsidRPr="00222C32">
              <w:t>..</w:t>
            </w:r>
          </w:p>
        </w:tc>
      </w:tr>
    </w:tbl>
    <w:p w14:paraId="24D999E4" w14:textId="77777777" w:rsidR="000D63FB" w:rsidRDefault="000D63FB" w:rsidP="000D63FB">
      <w:pPr>
        <w:sectPr w:rsidR="000D63FB" w:rsidSect="00301ACF">
          <w:endnotePr>
            <w:numFmt w:val="lowerLetter"/>
            <w:numRestart w:val="eachSect"/>
          </w:endnotePr>
          <w:pgSz w:w="11906" w:h="16838" w:code="9"/>
          <w:pgMar w:top="2835" w:right="2098" w:bottom="2466" w:left="2098" w:header="1814" w:footer="1814" w:gutter="0"/>
          <w:cols w:space="720"/>
          <w:noEndnote/>
          <w:docGrid w:linePitch="272"/>
        </w:sectPr>
      </w:pPr>
    </w:p>
    <w:p w14:paraId="4AF173C1" w14:textId="7E0B35E3" w:rsidR="000D63FB" w:rsidRDefault="000D63FB" w:rsidP="00B0077E">
      <w:pPr>
        <w:pStyle w:val="TableHeadingcontinued"/>
        <w:spacing w:before="0"/>
      </w:pPr>
      <w:r>
        <w:lastRenderedPageBreak/>
        <w:t xml:space="preserve">Table </w:t>
      </w:r>
      <w:r w:rsidR="002D3018" w:rsidRPr="002D3018">
        <w:t>A.1</w:t>
      </w:r>
      <w:r w:rsidR="002D3018">
        <w:t xml:space="preserve">: </w:t>
      </w:r>
      <w:r>
        <w:t>Receipt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69B1C26A" w14:textId="77777777" w:rsidTr="00825163">
        <w:tc>
          <w:tcPr>
            <w:tcW w:w="3471" w:type="dxa"/>
            <w:tcBorders>
              <w:top w:val="single" w:sz="4" w:space="0" w:color="293F5B"/>
              <w:bottom w:val="nil"/>
            </w:tcBorders>
            <w:vAlign w:val="bottom"/>
          </w:tcPr>
          <w:p w14:paraId="2BF2883C" w14:textId="77777777" w:rsidR="000D63FB" w:rsidRPr="00222C32" w:rsidRDefault="000D63FB" w:rsidP="000D63FB"/>
        </w:tc>
        <w:tc>
          <w:tcPr>
            <w:tcW w:w="850" w:type="dxa"/>
            <w:tcBorders>
              <w:top w:val="single" w:sz="4" w:space="0" w:color="293F5B"/>
              <w:bottom w:val="nil"/>
            </w:tcBorders>
            <w:vAlign w:val="bottom"/>
          </w:tcPr>
          <w:p w14:paraId="12612677"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vAlign w:val="bottom"/>
          </w:tcPr>
          <w:p w14:paraId="340D4D57"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vAlign w:val="bottom"/>
          </w:tcPr>
          <w:p w14:paraId="7D5CDF97"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vAlign w:val="bottom"/>
          </w:tcPr>
          <w:p w14:paraId="6EFA8DA7"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vAlign w:val="bottom"/>
          </w:tcPr>
          <w:p w14:paraId="1D192BCB" w14:textId="77777777" w:rsidR="000D63FB" w:rsidRPr="00222C32" w:rsidRDefault="000D63FB" w:rsidP="000D63FB">
            <w:pPr>
              <w:pStyle w:val="Summarytabletextrightaligned"/>
            </w:pPr>
            <w:r w:rsidRPr="00222C32">
              <w:t>2028-29</w:t>
            </w:r>
          </w:p>
        </w:tc>
      </w:tr>
      <w:tr w:rsidR="000D63FB" w:rsidRPr="00222C32" w14:paraId="766C9CAA" w14:textId="77777777" w:rsidTr="00825163">
        <w:tc>
          <w:tcPr>
            <w:tcW w:w="3471" w:type="dxa"/>
            <w:tcBorders>
              <w:top w:val="nil"/>
            </w:tcBorders>
            <w:vAlign w:val="bottom"/>
          </w:tcPr>
          <w:p w14:paraId="637C5B23" w14:textId="77777777" w:rsidR="000D63FB" w:rsidRPr="00222C32" w:rsidRDefault="000D63FB" w:rsidP="000D63FB"/>
        </w:tc>
        <w:tc>
          <w:tcPr>
            <w:tcW w:w="850" w:type="dxa"/>
            <w:tcBorders>
              <w:top w:val="nil"/>
              <w:bottom w:val="single" w:sz="4" w:space="0" w:color="293F5B"/>
            </w:tcBorders>
            <w:vAlign w:val="bottom"/>
          </w:tcPr>
          <w:p w14:paraId="34C12682"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vAlign w:val="bottom"/>
          </w:tcPr>
          <w:p w14:paraId="70EF0611"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1CC8A6E6"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58B78E9C"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14E6D456" w14:textId="77777777" w:rsidR="000D63FB" w:rsidRPr="00222C32" w:rsidRDefault="000D63FB" w:rsidP="000D63FB">
            <w:pPr>
              <w:pStyle w:val="Summarytabletextrightaligned"/>
            </w:pPr>
            <w:r w:rsidRPr="00222C32">
              <w:t>$m</w:t>
            </w:r>
          </w:p>
        </w:tc>
      </w:tr>
      <w:tr w:rsidR="000D63FB" w:rsidRPr="00222C32" w14:paraId="7675A063" w14:textId="77777777" w:rsidTr="00825163">
        <w:tc>
          <w:tcPr>
            <w:tcW w:w="3471" w:type="dxa"/>
            <w:tcBorders>
              <w:bottom w:val="nil"/>
            </w:tcBorders>
            <w:vAlign w:val="bottom"/>
          </w:tcPr>
          <w:p w14:paraId="3FC31327" w14:textId="77777777" w:rsidR="000D63FB" w:rsidRPr="00222C32" w:rsidRDefault="000D63FB" w:rsidP="000D63FB">
            <w:pPr>
              <w:pStyle w:val="SummaryMeasureTitlewithTheme"/>
              <w:rPr>
                <w:b/>
              </w:rPr>
            </w:pPr>
            <w:r w:rsidRPr="00222C32">
              <w:rPr>
                <w:b/>
              </w:rPr>
              <w:t>TREASURY (continued)</w:t>
            </w:r>
          </w:p>
        </w:tc>
        <w:tc>
          <w:tcPr>
            <w:tcW w:w="850" w:type="dxa"/>
            <w:tcBorders>
              <w:top w:val="single" w:sz="4" w:space="0" w:color="293F5B"/>
              <w:bottom w:val="nil"/>
            </w:tcBorders>
            <w:vAlign w:val="bottom"/>
          </w:tcPr>
          <w:p w14:paraId="39C2A080" w14:textId="77777777" w:rsidR="000D63FB" w:rsidRPr="00222C32" w:rsidRDefault="000D63FB">
            <w:pPr>
              <w:pStyle w:val="Summarytabletextrightaligned"/>
            </w:pPr>
          </w:p>
        </w:tc>
        <w:tc>
          <w:tcPr>
            <w:tcW w:w="850" w:type="dxa"/>
            <w:tcBorders>
              <w:top w:val="single" w:sz="4" w:space="0" w:color="293F5B"/>
              <w:bottom w:val="nil"/>
            </w:tcBorders>
            <w:shd w:val="clear" w:color="auto" w:fill="E6F2FF"/>
            <w:vAlign w:val="bottom"/>
          </w:tcPr>
          <w:p w14:paraId="7A942676" w14:textId="77777777" w:rsidR="000D63FB" w:rsidRPr="00222C32" w:rsidRDefault="000D63FB">
            <w:pPr>
              <w:pStyle w:val="Summarytabletextrightaligned"/>
            </w:pPr>
          </w:p>
        </w:tc>
        <w:tc>
          <w:tcPr>
            <w:tcW w:w="850" w:type="dxa"/>
            <w:tcBorders>
              <w:top w:val="single" w:sz="4" w:space="0" w:color="293F5B"/>
              <w:bottom w:val="nil"/>
            </w:tcBorders>
            <w:vAlign w:val="bottom"/>
          </w:tcPr>
          <w:p w14:paraId="20948683" w14:textId="77777777" w:rsidR="000D63FB" w:rsidRPr="00222C32" w:rsidRDefault="000D63FB">
            <w:pPr>
              <w:pStyle w:val="Summarytabletextrightaligned"/>
            </w:pPr>
          </w:p>
        </w:tc>
        <w:tc>
          <w:tcPr>
            <w:tcW w:w="850" w:type="dxa"/>
            <w:tcBorders>
              <w:top w:val="single" w:sz="4" w:space="0" w:color="293F5B"/>
              <w:bottom w:val="nil"/>
            </w:tcBorders>
            <w:vAlign w:val="bottom"/>
          </w:tcPr>
          <w:p w14:paraId="7CF91CFD" w14:textId="77777777" w:rsidR="000D63FB" w:rsidRPr="00222C32" w:rsidRDefault="000D63FB">
            <w:pPr>
              <w:pStyle w:val="Summarytabletextrightaligned"/>
            </w:pPr>
          </w:p>
        </w:tc>
        <w:tc>
          <w:tcPr>
            <w:tcW w:w="850" w:type="dxa"/>
            <w:tcBorders>
              <w:top w:val="single" w:sz="4" w:space="0" w:color="293F5B"/>
              <w:bottom w:val="nil"/>
            </w:tcBorders>
            <w:vAlign w:val="bottom"/>
          </w:tcPr>
          <w:p w14:paraId="7BDA0819" w14:textId="77777777" w:rsidR="000D63FB" w:rsidRPr="00222C32" w:rsidRDefault="000D63FB">
            <w:pPr>
              <w:pStyle w:val="Summarytabletextrightaligned"/>
            </w:pPr>
          </w:p>
        </w:tc>
      </w:tr>
      <w:tr w:rsidR="00BB2CB4" w:rsidRPr="00222C32" w14:paraId="7F8F4B87" w14:textId="77777777" w:rsidTr="00825163">
        <w:tc>
          <w:tcPr>
            <w:tcW w:w="3471" w:type="dxa"/>
            <w:tcBorders>
              <w:top w:val="nil"/>
            </w:tcBorders>
            <w:vAlign w:val="bottom"/>
          </w:tcPr>
          <w:p w14:paraId="1996F92B" w14:textId="77777777" w:rsidR="00BB2CB4" w:rsidRPr="00222C32" w:rsidRDefault="000674DA">
            <w:pPr>
              <w:pStyle w:val="SummaryMeasureTitlewithTheme"/>
            </w:pPr>
            <w:r w:rsidRPr="00222C32">
              <w:t>Resetting Social Security Deeming Rates(b)</w:t>
            </w:r>
          </w:p>
        </w:tc>
        <w:tc>
          <w:tcPr>
            <w:tcW w:w="850" w:type="dxa"/>
            <w:tcBorders>
              <w:top w:val="nil"/>
            </w:tcBorders>
            <w:vAlign w:val="bottom"/>
          </w:tcPr>
          <w:p w14:paraId="4FE19C32" w14:textId="77777777" w:rsidR="00BB2CB4" w:rsidRPr="00222C32" w:rsidRDefault="000674DA">
            <w:pPr>
              <w:pStyle w:val="Summarytabletextrightaligned"/>
            </w:pPr>
            <w:r w:rsidRPr="00222C32">
              <w:t>-</w:t>
            </w:r>
          </w:p>
        </w:tc>
        <w:tc>
          <w:tcPr>
            <w:tcW w:w="850" w:type="dxa"/>
            <w:tcBorders>
              <w:top w:val="nil"/>
            </w:tcBorders>
            <w:shd w:val="clear" w:color="auto" w:fill="E6F2FF"/>
            <w:vAlign w:val="bottom"/>
          </w:tcPr>
          <w:p w14:paraId="1D31FF23" w14:textId="77777777" w:rsidR="00BB2CB4" w:rsidRPr="00222C32" w:rsidRDefault="000674DA">
            <w:pPr>
              <w:pStyle w:val="Summarytabletextrightaligned"/>
            </w:pPr>
            <w:r w:rsidRPr="00222C32">
              <w:t>-1.0</w:t>
            </w:r>
          </w:p>
        </w:tc>
        <w:tc>
          <w:tcPr>
            <w:tcW w:w="850" w:type="dxa"/>
            <w:tcBorders>
              <w:top w:val="nil"/>
            </w:tcBorders>
            <w:vAlign w:val="bottom"/>
          </w:tcPr>
          <w:p w14:paraId="22159472" w14:textId="77777777" w:rsidR="00BB2CB4" w:rsidRPr="00222C32" w:rsidRDefault="000674DA">
            <w:pPr>
              <w:pStyle w:val="Summarytabletextrightaligned"/>
            </w:pPr>
            <w:r w:rsidRPr="00222C32">
              <w:t>-15.0</w:t>
            </w:r>
          </w:p>
        </w:tc>
        <w:tc>
          <w:tcPr>
            <w:tcW w:w="850" w:type="dxa"/>
            <w:tcBorders>
              <w:top w:val="nil"/>
            </w:tcBorders>
            <w:vAlign w:val="bottom"/>
          </w:tcPr>
          <w:p w14:paraId="30EC8BC4" w14:textId="77777777" w:rsidR="00BB2CB4" w:rsidRPr="00222C32" w:rsidRDefault="000674DA">
            <w:pPr>
              <w:pStyle w:val="Summarytabletextrightaligned"/>
            </w:pPr>
            <w:r w:rsidRPr="00222C32">
              <w:t>-29.0</w:t>
            </w:r>
          </w:p>
        </w:tc>
        <w:tc>
          <w:tcPr>
            <w:tcW w:w="850" w:type="dxa"/>
            <w:tcBorders>
              <w:top w:val="nil"/>
            </w:tcBorders>
            <w:vAlign w:val="bottom"/>
          </w:tcPr>
          <w:p w14:paraId="7DBABA70" w14:textId="77777777" w:rsidR="00BB2CB4" w:rsidRPr="00222C32" w:rsidRDefault="000674DA">
            <w:pPr>
              <w:pStyle w:val="Summarytabletextrightaligned"/>
            </w:pPr>
            <w:r w:rsidRPr="00222C32">
              <w:t>-32.0</w:t>
            </w:r>
          </w:p>
        </w:tc>
      </w:tr>
      <w:tr w:rsidR="00BB2CB4" w:rsidRPr="00222C32" w14:paraId="26C1482A" w14:textId="77777777" w:rsidTr="00825163">
        <w:tc>
          <w:tcPr>
            <w:tcW w:w="3471" w:type="dxa"/>
            <w:vAlign w:val="bottom"/>
          </w:tcPr>
          <w:p w14:paraId="3751692A" w14:textId="77777777" w:rsidR="00BB2CB4" w:rsidRPr="00222C32" w:rsidRDefault="000674DA">
            <w:pPr>
              <w:pStyle w:val="SummaryMeasureTitlewithTheme"/>
            </w:pPr>
            <w:r w:rsidRPr="00222C32">
              <w:t>Superannuation reforms – Boosting the Low Income Superannuation Tax Offset and practical changes to Better Targeted Superannuation Concessions(b)</w:t>
            </w:r>
          </w:p>
        </w:tc>
        <w:tc>
          <w:tcPr>
            <w:tcW w:w="850" w:type="dxa"/>
            <w:vAlign w:val="bottom"/>
          </w:tcPr>
          <w:p w14:paraId="493C321F" w14:textId="77777777" w:rsidR="00BB2CB4" w:rsidRPr="00222C32" w:rsidRDefault="000674DA">
            <w:pPr>
              <w:pStyle w:val="Summarytabletextrightaligned"/>
            </w:pPr>
            <w:r w:rsidRPr="00222C32">
              <w:t>-</w:t>
            </w:r>
          </w:p>
        </w:tc>
        <w:tc>
          <w:tcPr>
            <w:tcW w:w="850" w:type="dxa"/>
            <w:shd w:val="clear" w:color="auto" w:fill="E6F2FF"/>
            <w:vAlign w:val="bottom"/>
          </w:tcPr>
          <w:p w14:paraId="255B9C24" w14:textId="77777777" w:rsidR="00BB2CB4" w:rsidRPr="00222C32" w:rsidRDefault="000674DA">
            <w:pPr>
              <w:pStyle w:val="Summarytabletextrightaligned"/>
            </w:pPr>
            <w:r w:rsidRPr="00222C32">
              <w:t>-300.0</w:t>
            </w:r>
          </w:p>
        </w:tc>
        <w:tc>
          <w:tcPr>
            <w:tcW w:w="850" w:type="dxa"/>
            <w:vAlign w:val="bottom"/>
          </w:tcPr>
          <w:p w14:paraId="4681D27E" w14:textId="77777777" w:rsidR="00BB2CB4" w:rsidRPr="00222C32" w:rsidRDefault="000674DA">
            <w:pPr>
              <w:pStyle w:val="Summarytabletextrightaligned"/>
            </w:pPr>
            <w:r w:rsidRPr="00222C32">
              <w:t>-600.0</w:t>
            </w:r>
          </w:p>
        </w:tc>
        <w:tc>
          <w:tcPr>
            <w:tcW w:w="850" w:type="dxa"/>
            <w:vAlign w:val="bottom"/>
          </w:tcPr>
          <w:p w14:paraId="7D74F533" w14:textId="77777777" w:rsidR="00BB2CB4" w:rsidRPr="00222C32" w:rsidRDefault="000674DA">
            <w:pPr>
              <w:pStyle w:val="Summarytabletextrightaligned"/>
            </w:pPr>
            <w:r w:rsidRPr="00222C32">
              <w:t>-2,200.0</w:t>
            </w:r>
          </w:p>
        </w:tc>
        <w:tc>
          <w:tcPr>
            <w:tcW w:w="850" w:type="dxa"/>
            <w:vAlign w:val="bottom"/>
          </w:tcPr>
          <w:p w14:paraId="0AEFA608" w14:textId="77777777" w:rsidR="00BB2CB4" w:rsidRPr="00222C32" w:rsidRDefault="000674DA">
            <w:pPr>
              <w:pStyle w:val="Summarytabletextrightaligned"/>
            </w:pPr>
            <w:r w:rsidRPr="00222C32">
              <w:t>-650.0</w:t>
            </w:r>
          </w:p>
        </w:tc>
      </w:tr>
      <w:tr w:rsidR="00BB2CB4" w:rsidRPr="00222C32" w14:paraId="721E0B24" w14:textId="77777777" w:rsidTr="00825163">
        <w:tc>
          <w:tcPr>
            <w:tcW w:w="3471" w:type="dxa"/>
            <w:vAlign w:val="bottom"/>
          </w:tcPr>
          <w:p w14:paraId="5FFA4321" w14:textId="77777777" w:rsidR="00BB2CB4" w:rsidRPr="00222C32" w:rsidRDefault="000674DA">
            <w:pPr>
              <w:pStyle w:val="SummaryMeasureTitlewithTheme"/>
            </w:pPr>
            <w:r w:rsidRPr="00222C32">
              <w:t>Supporting International Sporting Events(b)</w:t>
            </w:r>
          </w:p>
        </w:tc>
        <w:tc>
          <w:tcPr>
            <w:tcW w:w="850" w:type="dxa"/>
            <w:vAlign w:val="bottom"/>
          </w:tcPr>
          <w:p w14:paraId="1EEE3AF5" w14:textId="77777777" w:rsidR="00BB2CB4" w:rsidRPr="00222C32" w:rsidRDefault="000674DA">
            <w:pPr>
              <w:pStyle w:val="Summarytabletextrightaligned"/>
            </w:pPr>
            <w:r w:rsidRPr="00222C32">
              <w:t>-</w:t>
            </w:r>
          </w:p>
        </w:tc>
        <w:tc>
          <w:tcPr>
            <w:tcW w:w="850" w:type="dxa"/>
            <w:shd w:val="clear" w:color="auto" w:fill="E6F2FF"/>
            <w:vAlign w:val="bottom"/>
          </w:tcPr>
          <w:p w14:paraId="3458870C" w14:textId="77777777" w:rsidR="00BB2CB4" w:rsidRPr="00222C32" w:rsidRDefault="000674DA">
            <w:pPr>
              <w:pStyle w:val="Summarytabletextrightaligned"/>
            </w:pPr>
            <w:r w:rsidRPr="00222C32">
              <w:t>*</w:t>
            </w:r>
          </w:p>
        </w:tc>
        <w:tc>
          <w:tcPr>
            <w:tcW w:w="850" w:type="dxa"/>
            <w:vAlign w:val="bottom"/>
          </w:tcPr>
          <w:p w14:paraId="43419A1F" w14:textId="77777777" w:rsidR="00BB2CB4" w:rsidRPr="00222C32" w:rsidRDefault="000674DA">
            <w:pPr>
              <w:pStyle w:val="Summarytabletextrightaligned"/>
            </w:pPr>
            <w:r w:rsidRPr="00222C32">
              <w:t>*</w:t>
            </w:r>
          </w:p>
        </w:tc>
        <w:tc>
          <w:tcPr>
            <w:tcW w:w="850" w:type="dxa"/>
            <w:vAlign w:val="bottom"/>
          </w:tcPr>
          <w:p w14:paraId="46C26B08" w14:textId="77777777" w:rsidR="00BB2CB4" w:rsidRPr="00222C32" w:rsidRDefault="000674DA">
            <w:pPr>
              <w:pStyle w:val="Summarytabletextrightaligned"/>
            </w:pPr>
            <w:r w:rsidRPr="00222C32">
              <w:t>*</w:t>
            </w:r>
          </w:p>
        </w:tc>
        <w:tc>
          <w:tcPr>
            <w:tcW w:w="850" w:type="dxa"/>
            <w:vAlign w:val="bottom"/>
          </w:tcPr>
          <w:p w14:paraId="2B90EE98" w14:textId="77777777" w:rsidR="00BB2CB4" w:rsidRPr="00222C32" w:rsidRDefault="000674DA">
            <w:pPr>
              <w:pStyle w:val="Summarytabletextrightaligned"/>
            </w:pPr>
            <w:r w:rsidRPr="00222C32">
              <w:t>*</w:t>
            </w:r>
          </w:p>
        </w:tc>
      </w:tr>
      <w:tr w:rsidR="00BB2CB4" w:rsidRPr="00222C32" w14:paraId="17AF8EC6" w14:textId="77777777" w:rsidTr="00825163">
        <w:tc>
          <w:tcPr>
            <w:tcW w:w="3471" w:type="dxa"/>
            <w:vAlign w:val="bottom"/>
          </w:tcPr>
          <w:p w14:paraId="059E60B0" w14:textId="77777777" w:rsidR="00BB2CB4" w:rsidRPr="00222C32" w:rsidRDefault="000674DA">
            <w:pPr>
              <w:pStyle w:val="SummaryMeasureTitlewithTheme"/>
            </w:pPr>
            <w:r w:rsidRPr="00222C32">
              <w:t>Supporting Philanthropy</w:t>
            </w:r>
          </w:p>
        </w:tc>
        <w:tc>
          <w:tcPr>
            <w:tcW w:w="850" w:type="dxa"/>
            <w:vAlign w:val="bottom"/>
          </w:tcPr>
          <w:p w14:paraId="27EFF61D" w14:textId="77777777" w:rsidR="00BB2CB4" w:rsidRPr="00222C32" w:rsidRDefault="000674DA">
            <w:pPr>
              <w:pStyle w:val="Summarytabletextrightaligned"/>
            </w:pPr>
            <w:r w:rsidRPr="00222C32">
              <w:t>-</w:t>
            </w:r>
          </w:p>
        </w:tc>
        <w:tc>
          <w:tcPr>
            <w:tcW w:w="850" w:type="dxa"/>
            <w:shd w:val="clear" w:color="auto" w:fill="E6F2FF"/>
            <w:vAlign w:val="bottom"/>
          </w:tcPr>
          <w:p w14:paraId="3BC17686" w14:textId="77777777" w:rsidR="00BB2CB4" w:rsidRPr="00222C32" w:rsidRDefault="000674DA">
            <w:pPr>
              <w:pStyle w:val="Summarytabletextrightaligned"/>
            </w:pPr>
            <w:r w:rsidRPr="00222C32">
              <w:t>-</w:t>
            </w:r>
          </w:p>
        </w:tc>
        <w:tc>
          <w:tcPr>
            <w:tcW w:w="850" w:type="dxa"/>
            <w:vAlign w:val="bottom"/>
          </w:tcPr>
          <w:p w14:paraId="07ECD12B" w14:textId="77777777" w:rsidR="00BB2CB4" w:rsidRPr="00222C32" w:rsidRDefault="000674DA">
            <w:pPr>
              <w:pStyle w:val="Summarytabletextrightaligned"/>
            </w:pPr>
            <w:r w:rsidRPr="00222C32">
              <w:t>*</w:t>
            </w:r>
          </w:p>
        </w:tc>
        <w:tc>
          <w:tcPr>
            <w:tcW w:w="850" w:type="dxa"/>
            <w:vAlign w:val="bottom"/>
          </w:tcPr>
          <w:p w14:paraId="232113F9" w14:textId="77777777" w:rsidR="00BB2CB4" w:rsidRPr="00222C32" w:rsidRDefault="000674DA">
            <w:pPr>
              <w:pStyle w:val="Summarytabletextrightaligned"/>
            </w:pPr>
            <w:r w:rsidRPr="00222C32">
              <w:t>-0.1</w:t>
            </w:r>
          </w:p>
        </w:tc>
        <w:tc>
          <w:tcPr>
            <w:tcW w:w="850" w:type="dxa"/>
            <w:vAlign w:val="bottom"/>
          </w:tcPr>
          <w:p w14:paraId="4707F785" w14:textId="77777777" w:rsidR="00BB2CB4" w:rsidRPr="00222C32" w:rsidRDefault="000674DA">
            <w:pPr>
              <w:pStyle w:val="Summarytabletextrightaligned"/>
            </w:pPr>
            <w:r w:rsidRPr="00222C32">
              <w:t>-0.1</w:t>
            </w:r>
          </w:p>
        </w:tc>
      </w:tr>
      <w:tr w:rsidR="00BB2CB4" w:rsidRPr="00222C32" w14:paraId="634CFAC4" w14:textId="77777777" w:rsidTr="00825163">
        <w:tc>
          <w:tcPr>
            <w:tcW w:w="3471" w:type="dxa"/>
            <w:vAlign w:val="bottom"/>
          </w:tcPr>
          <w:p w14:paraId="4504F328" w14:textId="77777777" w:rsidR="00BB2CB4" w:rsidRPr="00222C32" w:rsidRDefault="000674DA">
            <w:pPr>
              <w:pStyle w:val="SummaryAgencyTitle-BP2"/>
            </w:pPr>
            <w:r w:rsidRPr="00222C32">
              <w:t>Housing Australia</w:t>
            </w:r>
          </w:p>
        </w:tc>
        <w:tc>
          <w:tcPr>
            <w:tcW w:w="850" w:type="dxa"/>
          </w:tcPr>
          <w:p w14:paraId="69F12C55" w14:textId="77777777" w:rsidR="00BB2CB4" w:rsidRPr="00222C32" w:rsidRDefault="00BB2CB4">
            <w:pPr>
              <w:pStyle w:val="SummaryAgencyTitle-BP2"/>
            </w:pPr>
          </w:p>
        </w:tc>
        <w:tc>
          <w:tcPr>
            <w:tcW w:w="850" w:type="dxa"/>
            <w:shd w:val="clear" w:color="auto" w:fill="E6F2FF"/>
          </w:tcPr>
          <w:p w14:paraId="643E9ACF" w14:textId="77777777" w:rsidR="00BB2CB4" w:rsidRPr="00222C32" w:rsidRDefault="00BB2CB4">
            <w:pPr>
              <w:pStyle w:val="SummaryAgencyTitle-BP2"/>
            </w:pPr>
          </w:p>
        </w:tc>
        <w:tc>
          <w:tcPr>
            <w:tcW w:w="850" w:type="dxa"/>
          </w:tcPr>
          <w:p w14:paraId="50C5E08C" w14:textId="77777777" w:rsidR="00BB2CB4" w:rsidRPr="00222C32" w:rsidRDefault="00BB2CB4">
            <w:pPr>
              <w:pStyle w:val="SummaryAgencyTitle-BP2"/>
            </w:pPr>
          </w:p>
        </w:tc>
        <w:tc>
          <w:tcPr>
            <w:tcW w:w="850" w:type="dxa"/>
          </w:tcPr>
          <w:p w14:paraId="52444389" w14:textId="77777777" w:rsidR="00BB2CB4" w:rsidRPr="00222C32" w:rsidRDefault="00BB2CB4">
            <w:pPr>
              <w:pStyle w:val="SummaryAgencyTitle-BP2"/>
            </w:pPr>
          </w:p>
        </w:tc>
        <w:tc>
          <w:tcPr>
            <w:tcW w:w="850" w:type="dxa"/>
          </w:tcPr>
          <w:p w14:paraId="1FDFAF18" w14:textId="77777777" w:rsidR="00BB2CB4" w:rsidRPr="00222C32" w:rsidRDefault="00BB2CB4">
            <w:pPr>
              <w:pStyle w:val="SummaryAgencyTitle-BP2"/>
            </w:pPr>
          </w:p>
        </w:tc>
      </w:tr>
      <w:tr w:rsidR="00BB2CB4" w:rsidRPr="00222C32" w14:paraId="39A77E36" w14:textId="77777777" w:rsidTr="00825163">
        <w:tc>
          <w:tcPr>
            <w:tcW w:w="3471" w:type="dxa"/>
            <w:vAlign w:val="bottom"/>
          </w:tcPr>
          <w:p w14:paraId="1B3D233F" w14:textId="77777777" w:rsidR="00BB2CB4" w:rsidRPr="00222C32" w:rsidRDefault="000674DA">
            <w:pPr>
              <w:pStyle w:val="SummaryMeasureTitlewithTheme"/>
            </w:pPr>
            <w:r w:rsidRPr="00222C32">
              <w:t>Housing Australia Future Fund Round 3(b)</w:t>
            </w:r>
          </w:p>
        </w:tc>
        <w:tc>
          <w:tcPr>
            <w:tcW w:w="850" w:type="dxa"/>
            <w:tcBorders>
              <w:bottom w:val="single" w:sz="4" w:space="0" w:color="293F5B"/>
            </w:tcBorders>
            <w:vAlign w:val="bottom"/>
          </w:tcPr>
          <w:p w14:paraId="137DECE6"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60F5F231" w14:textId="77777777" w:rsidR="00BB2CB4" w:rsidRPr="00222C32" w:rsidRDefault="000674DA">
            <w:pPr>
              <w:pStyle w:val="Summarytabletextrightaligned"/>
            </w:pPr>
            <w:r w:rsidRPr="00222C32">
              <w:t>10.5</w:t>
            </w:r>
          </w:p>
        </w:tc>
        <w:tc>
          <w:tcPr>
            <w:tcW w:w="850" w:type="dxa"/>
            <w:tcBorders>
              <w:bottom w:val="single" w:sz="4" w:space="0" w:color="293F5B"/>
            </w:tcBorders>
            <w:vAlign w:val="bottom"/>
          </w:tcPr>
          <w:p w14:paraId="56593C4F" w14:textId="77777777" w:rsidR="00BB2CB4" w:rsidRPr="00222C32" w:rsidRDefault="000674DA">
            <w:pPr>
              <w:pStyle w:val="Summarytabletextrightaligned"/>
            </w:pPr>
            <w:r w:rsidRPr="00222C32">
              <w:t>28.0</w:t>
            </w:r>
          </w:p>
        </w:tc>
        <w:tc>
          <w:tcPr>
            <w:tcW w:w="850" w:type="dxa"/>
            <w:tcBorders>
              <w:bottom w:val="single" w:sz="4" w:space="0" w:color="293F5B"/>
            </w:tcBorders>
            <w:vAlign w:val="bottom"/>
          </w:tcPr>
          <w:p w14:paraId="386B7BDD" w14:textId="77777777" w:rsidR="00BB2CB4" w:rsidRPr="00222C32" w:rsidRDefault="000674DA">
            <w:pPr>
              <w:pStyle w:val="Summarytabletextrightaligned"/>
            </w:pPr>
            <w:r w:rsidRPr="00222C32">
              <w:t>39.5</w:t>
            </w:r>
          </w:p>
        </w:tc>
        <w:tc>
          <w:tcPr>
            <w:tcW w:w="850" w:type="dxa"/>
            <w:tcBorders>
              <w:bottom w:val="single" w:sz="4" w:space="0" w:color="293F5B"/>
            </w:tcBorders>
            <w:vAlign w:val="bottom"/>
          </w:tcPr>
          <w:p w14:paraId="0E7BACF9" w14:textId="77777777" w:rsidR="00BB2CB4" w:rsidRPr="00222C32" w:rsidRDefault="000674DA">
            <w:pPr>
              <w:pStyle w:val="Summarytabletextrightaligned"/>
            </w:pPr>
            <w:r w:rsidRPr="00222C32">
              <w:t>48.3</w:t>
            </w:r>
          </w:p>
        </w:tc>
      </w:tr>
      <w:tr w:rsidR="00BB2CB4" w:rsidRPr="00222C32" w14:paraId="488C33FC" w14:textId="77777777" w:rsidTr="00825163">
        <w:tc>
          <w:tcPr>
            <w:tcW w:w="3471" w:type="dxa"/>
            <w:vAlign w:val="bottom"/>
          </w:tcPr>
          <w:p w14:paraId="69A1A878"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9C8EF0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2C873E9B" w14:textId="77777777" w:rsidR="00BB2CB4" w:rsidRPr="00222C32" w:rsidRDefault="000674DA">
            <w:pPr>
              <w:pStyle w:val="Summarytabletextrightalignedbold"/>
            </w:pPr>
            <w:r w:rsidRPr="00222C32">
              <w:t>-292.5</w:t>
            </w:r>
          </w:p>
        </w:tc>
        <w:tc>
          <w:tcPr>
            <w:tcW w:w="850" w:type="dxa"/>
            <w:tcBorders>
              <w:top w:val="single" w:sz="4" w:space="0" w:color="293F5B"/>
              <w:bottom w:val="single" w:sz="4" w:space="0" w:color="293F5B"/>
            </w:tcBorders>
            <w:vAlign w:val="bottom"/>
          </w:tcPr>
          <w:p w14:paraId="5B799068" w14:textId="77777777" w:rsidR="00BB2CB4" w:rsidRPr="00222C32" w:rsidRDefault="000674DA">
            <w:pPr>
              <w:pStyle w:val="Summarytabletextrightalignedbold"/>
            </w:pPr>
            <w:r w:rsidRPr="00222C32">
              <w:t>-589.6</w:t>
            </w:r>
          </w:p>
        </w:tc>
        <w:tc>
          <w:tcPr>
            <w:tcW w:w="850" w:type="dxa"/>
            <w:tcBorders>
              <w:top w:val="single" w:sz="4" w:space="0" w:color="293F5B"/>
              <w:bottom w:val="single" w:sz="4" w:space="0" w:color="293F5B"/>
            </w:tcBorders>
            <w:vAlign w:val="bottom"/>
          </w:tcPr>
          <w:p w14:paraId="61A5C64A" w14:textId="77777777" w:rsidR="00BB2CB4" w:rsidRPr="00222C32" w:rsidRDefault="000674DA">
            <w:pPr>
              <w:pStyle w:val="Summarytabletextrightalignedbold"/>
            </w:pPr>
            <w:r w:rsidRPr="00222C32">
              <w:t>-2,139.8</w:t>
            </w:r>
          </w:p>
        </w:tc>
        <w:tc>
          <w:tcPr>
            <w:tcW w:w="850" w:type="dxa"/>
            <w:tcBorders>
              <w:top w:val="single" w:sz="4" w:space="0" w:color="293F5B"/>
              <w:bottom w:val="single" w:sz="4" w:space="0" w:color="293F5B"/>
            </w:tcBorders>
            <w:vAlign w:val="bottom"/>
          </w:tcPr>
          <w:p w14:paraId="2FB4DCED" w14:textId="77777777" w:rsidR="00BB2CB4" w:rsidRPr="00222C32" w:rsidRDefault="000674DA">
            <w:pPr>
              <w:pStyle w:val="Summarytabletextrightalignedbold"/>
            </w:pPr>
            <w:r w:rsidRPr="00222C32">
              <w:t>-521.1</w:t>
            </w:r>
          </w:p>
        </w:tc>
      </w:tr>
      <w:tr w:rsidR="00BB2CB4" w:rsidRPr="00222C32" w14:paraId="55C3600E" w14:textId="77777777" w:rsidTr="00825163">
        <w:tc>
          <w:tcPr>
            <w:tcW w:w="3471" w:type="dxa"/>
            <w:vAlign w:val="bottom"/>
          </w:tcPr>
          <w:p w14:paraId="45B313C0" w14:textId="27BEE42B" w:rsidR="00BB2CB4" w:rsidRPr="00222C32" w:rsidRDefault="000674DA">
            <w:pPr>
              <w:pStyle w:val="Summarytabletextleftalignedbold"/>
            </w:pPr>
            <w:r w:rsidRPr="00222C32">
              <w:t>Decisions taken but not yet announced</w:t>
            </w:r>
            <w:r w:rsidR="005075F1">
              <w:t xml:space="preserve"> and not for publication</w:t>
            </w:r>
          </w:p>
        </w:tc>
        <w:tc>
          <w:tcPr>
            <w:tcW w:w="850" w:type="dxa"/>
            <w:tcBorders>
              <w:top w:val="single" w:sz="4" w:space="0" w:color="293F5B"/>
              <w:bottom w:val="single" w:sz="4" w:space="0" w:color="293F5B"/>
            </w:tcBorders>
            <w:vAlign w:val="bottom"/>
          </w:tcPr>
          <w:p w14:paraId="0209985A"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52661E1" w14:textId="77777777" w:rsidR="00BB2CB4" w:rsidRPr="00222C32" w:rsidRDefault="000674DA">
            <w:pPr>
              <w:pStyle w:val="Summarytabletextrightalignedbold"/>
            </w:pPr>
            <w:r w:rsidRPr="00222C32">
              <w:t>-36.6</w:t>
            </w:r>
          </w:p>
        </w:tc>
        <w:tc>
          <w:tcPr>
            <w:tcW w:w="850" w:type="dxa"/>
            <w:tcBorders>
              <w:top w:val="single" w:sz="4" w:space="0" w:color="293F5B"/>
              <w:bottom w:val="single" w:sz="4" w:space="0" w:color="293F5B"/>
            </w:tcBorders>
            <w:vAlign w:val="bottom"/>
          </w:tcPr>
          <w:p w14:paraId="6C85BC85" w14:textId="77777777" w:rsidR="00BB2CB4" w:rsidRPr="00222C32" w:rsidRDefault="000674DA">
            <w:pPr>
              <w:pStyle w:val="Summarytabletextrightalignedbold"/>
            </w:pPr>
            <w:r w:rsidRPr="00222C32">
              <w:t>402.1</w:t>
            </w:r>
          </w:p>
        </w:tc>
        <w:tc>
          <w:tcPr>
            <w:tcW w:w="850" w:type="dxa"/>
            <w:tcBorders>
              <w:top w:val="single" w:sz="4" w:space="0" w:color="293F5B"/>
              <w:bottom w:val="single" w:sz="4" w:space="0" w:color="293F5B"/>
            </w:tcBorders>
            <w:vAlign w:val="bottom"/>
          </w:tcPr>
          <w:p w14:paraId="619E2B9B" w14:textId="77777777" w:rsidR="00BB2CB4" w:rsidRPr="00222C32" w:rsidRDefault="000674DA">
            <w:pPr>
              <w:pStyle w:val="Summarytabletextrightalignedbold"/>
            </w:pPr>
            <w:r w:rsidRPr="00222C32">
              <w:t>1,186.2</w:t>
            </w:r>
          </w:p>
        </w:tc>
        <w:tc>
          <w:tcPr>
            <w:tcW w:w="850" w:type="dxa"/>
            <w:tcBorders>
              <w:top w:val="single" w:sz="4" w:space="0" w:color="293F5B"/>
              <w:bottom w:val="single" w:sz="4" w:space="0" w:color="293F5B"/>
            </w:tcBorders>
            <w:vAlign w:val="bottom"/>
          </w:tcPr>
          <w:p w14:paraId="0BFBCBBA" w14:textId="77777777" w:rsidR="00BB2CB4" w:rsidRPr="00222C32" w:rsidRDefault="000674DA">
            <w:pPr>
              <w:pStyle w:val="Summarytabletextrightalignedbold"/>
            </w:pPr>
            <w:r w:rsidRPr="00222C32">
              <w:t>-160.6</w:t>
            </w:r>
          </w:p>
        </w:tc>
      </w:tr>
      <w:tr w:rsidR="00BB2CB4" w:rsidRPr="00222C32" w14:paraId="6FBDCCE1" w14:textId="77777777" w:rsidTr="00825163">
        <w:tc>
          <w:tcPr>
            <w:tcW w:w="3471" w:type="dxa"/>
            <w:tcBorders>
              <w:bottom w:val="single" w:sz="4" w:space="0" w:color="293F5B"/>
            </w:tcBorders>
            <w:vAlign w:val="bottom"/>
          </w:tcPr>
          <w:p w14:paraId="4348EFD9" w14:textId="6143FDBE" w:rsidR="00BB2CB4" w:rsidRPr="00222C32" w:rsidRDefault="000674DA">
            <w:pPr>
              <w:pStyle w:val="Summarytabletextleftalignedbold"/>
            </w:pPr>
            <w:r w:rsidRPr="00222C32">
              <w:t>Total impact of receipt measures(</w:t>
            </w:r>
            <w:r w:rsidR="005075F1">
              <w:t>c</w:t>
            </w:r>
            <w:r w:rsidRPr="00222C32">
              <w:t>)</w:t>
            </w:r>
          </w:p>
        </w:tc>
        <w:tc>
          <w:tcPr>
            <w:tcW w:w="850" w:type="dxa"/>
            <w:tcBorders>
              <w:top w:val="single" w:sz="4" w:space="0" w:color="293F5B"/>
              <w:bottom w:val="single" w:sz="4" w:space="0" w:color="293F5B"/>
            </w:tcBorders>
            <w:vAlign w:val="bottom"/>
          </w:tcPr>
          <w:p w14:paraId="60262DD9" w14:textId="30993D19" w:rsidR="00BB2CB4" w:rsidRPr="00222C32" w:rsidRDefault="001B399D">
            <w:pPr>
              <w:pStyle w:val="Summarytabletextrightalignedbold"/>
            </w:pPr>
            <w:r w:rsidRPr="001B399D">
              <w:t>-</w:t>
            </w:r>
          </w:p>
        </w:tc>
        <w:tc>
          <w:tcPr>
            <w:tcW w:w="850" w:type="dxa"/>
            <w:tcBorders>
              <w:top w:val="single" w:sz="4" w:space="0" w:color="293F5B"/>
              <w:bottom w:val="single" w:sz="4" w:space="0" w:color="293F5B"/>
            </w:tcBorders>
            <w:shd w:val="clear" w:color="auto" w:fill="E6F2FF"/>
            <w:vAlign w:val="bottom"/>
          </w:tcPr>
          <w:p w14:paraId="33B9CBC1" w14:textId="77777777" w:rsidR="00BB2CB4" w:rsidRPr="00222C32" w:rsidRDefault="000674DA">
            <w:pPr>
              <w:pStyle w:val="Summarytabletextrightalignedbold"/>
            </w:pPr>
            <w:r w:rsidRPr="00222C32">
              <w:t>-151.3</w:t>
            </w:r>
          </w:p>
        </w:tc>
        <w:tc>
          <w:tcPr>
            <w:tcW w:w="850" w:type="dxa"/>
            <w:tcBorders>
              <w:top w:val="single" w:sz="4" w:space="0" w:color="293F5B"/>
              <w:bottom w:val="single" w:sz="4" w:space="0" w:color="293F5B"/>
            </w:tcBorders>
            <w:vAlign w:val="bottom"/>
          </w:tcPr>
          <w:p w14:paraId="79CA707E" w14:textId="77777777" w:rsidR="00BB2CB4" w:rsidRPr="00222C32" w:rsidRDefault="000674DA">
            <w:pPr>
              <w:pStyle w:val="Summarytabletextrightalignedbold"/>
            </w:pPr>
            <w:r w:rsidRPr="00222C32">
              <w:t>-102.6</w:t>
            </w:r>
          </w:p>
        </w:tc>
        <w:tc>
          <w:tcPr>
            <w:tcW w:w="850" w:type="dxa"/>
            <w:tcBorders>
              <w:top w:val="single" w:sz="4" w:space="0" w:color="293F5B"/>
              <w:bottom w:val="single" w:sz="4" w:space="0" w:color="293F5B"/>
            </w:tcBorders>
            <w:vAlign w:val="bottom"/>
          </w:tcPr>
          <w:p w14:paraId="664A999E" w14:textId="77777777" w:rsidR="00BB2CB4" w:rsidRPr="00222C32" w:rsidRDefault="000674DA">
            <w:pPr>
              <w:pStyle w:val="Summarytabletextrightalignedbold"/>
            </w:pPr>
            <w:r w:rsidRPr="00222C32">
              <w:t>-818.8</w:t>
            </w:r>
          </w:p>
        </w:tc>
        <w:tc>
          <w:tcPr>
            <w:tcW w:w="850" w:type="dxa"/>
            <w:tcBorders>
              <w:top w:val="single" w:sz="4" w:space="0" w:color="293F5B"/>
              <w:bottom w:val="single" w:sz="4" w:space="0" w:color="293F5B"/>
            </w:tcBorders>
            <w:vAlign w:val="bottom"/>
          </w:tcPr>
          <w:p w14:paraId="56F42860" w14:textId="77777777" w:rsidR="00BB2CB4" w:rsidRPr="00222C32" w:rsidRDefault="000674DA">
            <w:pPr>
              <w:pStyle w:val="Summarytabletextrightalignedbold"/>
            </w:pPr>
            <w:r w:rsidRPr="00222C32">
              <w:t>-511.3</w:t>
            </w:r>
          </w:p>
        </w:tc>
      </w:tr>
    </w:tbl>
    <w:p w14:paraId="779331B6" w14:textId="77777777" w:rsidR="00BB2CB4" w:rsidRDefault="000674DA">
      <w:pPr>
        <w:pStyle w:val="ChartandTableFootnote"/>
      </w:pPr>
      <w:r>
        <w:t>*</w:t>
      </w:r>
      <w:r>
        <w:tab/>
        <w:t>The nature of the measure is such that a reliable estimate cannot be provided.</w:t>
      </w:r>
    </w:p>
    <w:p w14:paraId="64E71125" w14:textId="77777777" w:rsidR="00BB2CB4" w:rsidRDefault="000674DA">
      <w:pPr>
        <w:pStyle w:val="ChartandTableFootnote"/>
      </w:pPr>
      <w:r w:rsidRPr="42F5CE43">
        <w:rPr>
          <w:lang w:val="en-US"/>
        </w:rPr>
        <w:t>..</w:t>
      </w:r>
      <w:r>
        <w:tab/>
      </w:r>
      <w:r w:rsidRPr="42F5CE43">
        <w:rPr>
          <w:lang w:val="en-US"/>
        </w:rPr>
        <w:t>Not zero,</w:t>
      </w:r>
      <w:r w:rsidR="00892A38">
        <w:rPr>
          <w:lang w:val="en-US"/>
        </w:rPr>
        <w:t xml:space="preserve"> </w:t>
      </w:r>
      <w:r w:rsidRPr="42F5CE43">
        <w:rPr>
          <w:lang w:val="en-US"/>
        </w:rPr>
        <w:t>but rounded to zero.</w:t>
      </w:r>
    </w:p>
    <w:p w14:paraId="0F89A65D" w14:textId="2CD5B5F8" w:rsidR="00BB2CB4" w:rsidRDefault="00222C32">
      <w:pPr>
        <w:pStyle w:val="ChartandTableFootnote"/>
      </w:pPr>
      <w:r>
        <w:noBreakHyphen/>
      </w:r>
      <w:r w:rsidR="000674DA">
        <w:tab/>
        <w:t>Nil.</w:t>
      </w:r>
    </w:p>
    <w:p w14:paraId="2EC0032C" w14:textId="77777777" w:rsidR="00BB2CB4" w:rsidRDefault="000674DA">
      <w:pPr>
        <w:pStyle w:val="ChartandTableFootnote"/>
      </w:pPr>
      <w:r w:rsidRPr="42F5CE43">
        <w:rPr>
          <w:lang w:val="en-US"/>
        </w:rPr>
        <w:t>nfp</w:t>
      </w:r>
      <w:r>
        <w:tab/>
      </w:r>
      <w:r w:rsidRPr="42F5CE43">
        <w:rPr>
          <w:lang w:val="en-US"/>
        </w:rPr>
        <w:t>not for publication.</w:t>
      </w:r>
    </w:p>
    <w:p w14:paraId="17466A1B" w14:textId="77777777" w:rsidR="00BB2CB4" w:rsidRDefault="000674DA">
      <w:pPr>
        <w:pStyle w:val="ChartandTableFootnoteAlpha"/>
      </w:pPr>
      <w:r w:rsidRPr="42F5CE43">
        <w:rPr>
          <w:lang w:val="en-US"/>
        </w:rPr>
        <w:t>A minus sign before an estimate indicates a reduction in receipts, no sign before an estimate indicates a gain in receipts.</w:t>
      </w:r>
    </w:p>
    <w:p w14:paraId="03614D5A" w14:textId="77777777" w:rsidR="00BB2CB4" w:rsidRDefault="000674DA">
      <w:pPr>
        <w:pStyle w:val="ChartandTableFootnoteAlpha"/>
      </w:pPr>
      <w:r>
        <w:t>These measures can also be found in the payment measures summary table.</w:t>
      </w:r>
    </w:p>
    <w:p w14:paraId="47234C96" w14:textId="77777777" w:rsidR="00BB2CB4" w:rsidRDefault="000674DA">
      <w:pPr>
        <w:pStyle w:val="ChartandTableFootnoteAlpha"/>
        <w:rPr>
          <w:lang w:val="en-US"/>
        </w:rPr>
      </w:pPr>
      <w:r w:rsidRPr="42F5CE43">
        <w:rPr>
          <w:lang w:val="en-US"/>
        </w:rPr>
        <w:t>Measures may not add due to rounding.</w:t>
      </w:r>
    </w:p>
    <w:p w14:paraId="25AFE4C0" w14:textId="77777777" w:rsidR="00FB30CE" w:rsidRPr="002A7AA5" w:rsidRDefault="00FB30CE" w:rsidP="00FB30CE">
      <w:pPr>
        <w:pBdr>
          <w:bottom w:val="single" w:sz="4" w:space="2" w:color="626A77"/>
        </w:pBdr>
        <w:autoSpaceDE/>
        <w:autoSpaceDN/>
        <w:adjustRightInd/>
        <w:spacing w:after="240"/>
        <w:rPr>
          <w:rFonts w:ascii="Book Antiqua" w:hAnsi="Book Antiqua" w:cs="Times New Roman"/>
          <w:noProof/>
          <w:sz w:val="4"/>
          <w:szCs w:val="4"/>
          <w:lang w:val="en-AU"/>
        </w:rPr>
      </w:pPr>
      <w:bookmarkStart w:id="0" w:name="_Hlk184918697"/>
    </w:p>
    <w:bookmarkEnd w:id="0"/>
    <w:p w14:paraId="5EAC0DC3" w14:textId="77777777" w:rsidR="00151341" w:rsidRPr="00151341" w:rsidRDefault="00151341" w:rsidP="00151341">
      <w:pPr>
        <w:rPr>
          <w:lang w:eastAsia="en-US"/>
        </w:rPr>
      </w:pPr>
    </w:p>
    <w:p w14:paraId="303DFAAC" w14:textId="77777777" w:rsidR="00BB2CB4" w:rsidRDefault="00BB2CB4">
      <w:pPr>
        <w:sectPr w:rsidR="00BB2CB4" w:rsidSect="00301ACF">
          <w:endnotePr>
            <w:numFmt w:val="lowerLetter"/>
            <w:numRestart w:val="eachSect"/>
          </w:endnotePr>
          <w:pgSz w:w="11906" w:h="16838" w:code="9"/>
          <w:pgMar w:top="2835" w:right="2098" w:bottom="2466" w:left="2098" w:header="1814" w:footer="1814" w:gutter="0"/>
          <w:cols w:space="720"/>
          <w:noEndnote/>
          <w:docGrid w:linePitch="272"/>
        </w:sectPr>
      </w:pPr>
    </w:p>
    <w:p w14:paraId="54C66CB4" w14:textId="77777777" w:rsidR="00BB2CB4" w:rsidRDefault="000674DA" w:rsidP="00B0077E">
      <w:pPr>
        <w:pStyle w:val="PortfolioName"/>
        <w:spacing w:before="0"/>
      </w:pPr>
      <w:r>
        <w:lastRenderedPageBreak/>
        <w:t>Agriculture, Fisheries and Forestry</w:t>
      </w:r>
    </w:p>
    <w:p w14:paraId="5B451586" w14:textId="676B090B" w:rsidR="00BB2CB4" w:rsidRDefault="000674DA">
      <w:pPr>
        <w:pStyle w:val="MeasureTitle"/>
      </w:pPr>
      <w:r>
        <w:t xml:space="preserve">Primary Industries – </w:t>
      </w:r>
      <w:r w:rsidR="008B35F4">
        <w:t>c</w:t>
      </w:r>
      <w:r>
        <w:t xml:space="preserve">hanges to </w:t>
      </w:r>
      <w:r w:rsidR="008B35F4">
        <w:t>a</w:t>
      </w:r>
      <w:r>
        <w:t xml:space="preserve">gricultural </w:t>
      </w:r>
      <w:r w:rsidR="008B35F4">
        <w:t>l</w:t>
      </w:r>
      <w:r>
        <w:t>evies</w:t>
      </w:r>
    </w:p>
    <w:p w14:paraId="0457913F"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B9DD7C2" w14:textId="77777777" w:rsidTr="00825163">
        <w:tc>
          <w:tcPr>
            <w:tcW w:w="2501" w:type="dxa"/>
            <w:tcBorders>
              <w:top w:val="single" w:sz="4" w:space="0" w:color="293F5B"/>
              <w:bottom w:val="single" w:sz="4" w:space="0" w:color="293F5B"/>
            </w:tcBorders>
          </w:tcPr>
          <w:p w14:paraId="2E6BD00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917F0C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67D25DD"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A2256D8"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26A61DB"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638C9AD" w14:textId="77777777" w:rsidR="00BB2CB4" w:rsidRPr="00222C32" w:rsidRDefault="000674DA">
            <w:pPr>
              <w:pStyle w:val="MeasureTableYearHeadings"/>
              <w:keepNext/>
            </w:pPr>
            <w:r w:rsidRPr="00222C32">
              <w:t>2028-29</w:t>
            </w:r>
          </w:p>
        </w:tc>
      </w:tr>
      <w:tr w:rsidR="00BB2CB4" w:rsidRPr="00222C32" w14:paraId="567B62E1" w14:textId="77777777" w:rsidTr="00825163">
        <w:tc>
          <w:tcPr>
            <w:tcW w:w="2501" w:type="dxa"/>
            <w:tcBorders>
              <w:top w:val="single" w:sz="4" w:space="0" w:color="293F5B"/>
              <w:bottom w:val="single" w:sz="4" w:space="0" w:color="293F5B"/>
            </w:tcBorders>
          </w:tcPr>
          <w:p w14:paraId="416AD2CB"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3A257AC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AE3231E" w14:textId="77777777" w:rsidR="00BB2CB4" w:rsidRPr="00222C32" w:rsidRDefault="000674DA">
            <w:pPr>
              <w:pStyle w:val="MeasureTableDataRightAlignedwith2ptsspacing"/>
              <w:keepNext/>
            </w:pPr>
            <w:r w:rsidRPr="00222C32">
              <w:t>4.5</w:t>
            </w:r>
          </w:p>
        </w:tc>
        <w:tc>
          <w:tcPr>
            <w:tcW w:w="1044" w:type="dxa"/>
            <w:tcBorders>
              <w:top w:val="single" w:sz="4" w:space="0" w:color="293F5B"/>
              <w:bottom w:val="single" w:sz="4" w:space="0" w:color="293F5B"/>
            </w:tcBorders>
          </w:tcPr>
          <w:p w14:paraId="06C70A0C" w14:textId="77777777" w:rsidR="00BB2CB4" w:rsidRPr="00222C32" w:rsidRDefault="000674DA">
            <w:pPr>
              <w:pStyle w:val="MeasureTableDataRightAlignedwith2ptsspacing"/>
              <w:keepNext/>
            </w:pPr>
            <w:r w:rsidRPr="00222C32">
              <w:t>4.6</w:t>
            </w:r>
          </w:p>
        </w:tc>
        <w:tc>
          <w:tcPr>
            <w:tcW w:w="1044" w:type="dxa"/>
            <w:tcBorders>
              <w:top w:val="single" w:sz="4" w:space="0" w:color="293F5B"/>
              <w:bottom w:val="single" w:sz="4" w:space="0" w:color="293F5B"/>
            </w:tcBorders>
          </w:tcPr>
          <w:p w14:paraId="1CD9212A" w14:textId="77777777" w:rsidR="00BB2CB4" w:rsidRPr="00222C32" w:rsidRDefault="000674DA">
            <w:pPr>
              <w:pStyle w:val="MeasureTableDataRightAlignedwith2ptsspacing"/>
              <w:keepNext/>
            </w:pPr>
            <w:r w:rsidRPr="00222C32">
              <w:t>4.7</w:t>
            </w:r>
          </w:p>
        </w:tc>
        <w:tc>
          <w:tcPr>
            <w:tcW w:w="1044" w:type="dxa"/>
            <w:tcBorders>
              <w:top w:val="single" w:sz="4" w:space="0" w:color="293F5B"/>
              <w:bottom w:val="single" w:sz="4" w:space="0" w:color="293F5B"/>
            </w:tcBorders>
          </w:tcPr>
          <w:p w14:paraId="50DA0194" w14:textId="77777777" w:rsidR="00BB2CB4" w:rsidRPr="00222C32" w:rsidRDefault="000674DA">
            <w:pPr>
              <w:pStyle w:val="MeasureTableDataRightAlignedwith2ptsspacing"/>
              <w:keepNext/>
            </w:pPr>
            <w:r w:rsidRPr="00222C32">
              <w:t>4.7</w:t>
            </w:r>
          </w:p>
        </w:tc>
      </w:tr>
      <w:tr w:rsidR="00BB2CB4" w:rsidRPr="00222C32" w14:paraId="6832B9E3" w14:textId="77777777" w:rsidTr="00825163">
        <w:tc>
          <w:tcPr>
            <w:tcW w:w="2501" w:type="dxa"/>
            <w:tcBorders>
              <w:top w:val="single" w:sz="4" w:space="0" w:color="293F5B"/>
              <w:bottom w:val="nil"/>
            </w:tcBorders>
          </w:tcPr>
          <w:p w14:paraId="568D42F4"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044E7617" w14:textId="77777777" w:rsidR="00BB2CB4" w:rsidRPr="00222C32" w:rsidRDefault="00BB2CB4">
            <w:pPr>
              <w:pStyle w:val="AgencyName"/>
              <w:keepNext/>
            </w:pPr>
          </w:p>
        </w:tc>
        <w:tc>
          <w:tcPr>
            <w:tcW w:w="1044" w:type="dxa"/>
            <w:tcBorders>
              <w:top w:val="single" w:sz="4" w:space="0" w:color="293F5B"/>
              <w:bottom w:val="nil"/>
            </w:tcBorders>
          </w:tcPr>
          <w:p w14:paraId="511515F7" w14:textId="77777777" w:rsidR="00BB2CB4" w:rsidRPr="00222C32" w:rsidRDefault="00BB2CB4">
            <w:pPr>
              <w:pStyle w:val="AgencyName"/>
              <w:keepNext/>
            </w:pPr>
          </w:p>
        </w:tc>
        <w:tc>
          <w:tcPr>
            <w:tcW w:w="1044" w:type="dxa"/>
            <w:tcBorders>
              <w:top w:val="single" w:sz="4" w:space="0" w:color="293F5B"/>
              <w:bottom w:val="nil"/>
            </w:tcBorders>
          </w:tcPr>
          <w:p w14:paraId="30F874C1" w14:textId="77777777" w:rsidR="00BB2CB4" w:rsidRPr="00222C32" w:rsidRDefault="00BB2CB4">
            <w:pPr>
              <w:pStyle w:val="AgencyName"/>
              <w:keepNext/>
            </w:pPr>
          </w:p>
        </w:tc>
        <w:tc>
          <w:tcPr>
            <w:tcW w:w="1044" w:type="dxa"/>
            <w:tcBorders>
              <w:top w:val="single" w:sz="4" w:space="0" w:color="293F5B"/>
              <w:bottom w:val="nil"/>
            </w:tcBorders>
          </w:tcPr>
          <w:p w14:paraId="46A3E9A7" w14:textId="77777777" w:rsidR="00BB2CB4" w:rsidRPr="00222C32" w:rsidRDefault="00BB2CB4">
            <w:pPr>
              <w:pStyle w:val="AgencyName"/>
              <w:keepNext/>
            </w:pPr>
          </w:p>
        </w:tc>
        <w:tc>
          <w:tcPr>
            <w:tcW w:w="1044" w:type="dxa"/>
            <w:tcBorders>
              <w:top w:val="single" w:sz="4" w:space="0" w:color="293F5B"/>
              <w:bottom w:val="nil"/>
            </w:tcBorders>
          </w:tcPr>
          <w:p w14:paraId="194787D5" w14:textId="77777777" w:rsidR="00BB2CB4" w:rsidRPr="00222C32" w:rsidRDefault="00BB2CB4">
            <w:pPr>
              <w:pStyle w:val="AgencyName"/>
              <w:keepNext/>
            </w:pPr>
          </w:p>
        </w:tc>
      </w:tr>
      <w:tr w:rsidR="00BB2CB4" w:rsidRPr="00222C32" w14:paraId="2B4AEA11" w14:textId="77777777" w:rsidTr="00825163">
        <w:tc>
          <w:tcPr>
            <w:tcW w:w="2501" w:type="dxa"/>
            <w:tcBorders>
              <w:top w:val="nil"/>
              <w:bottom w:val="single" w:sz="4" w:space="0" w:color="293F5B"/>
            </w:tcBorders>
          </w:tcPr>
          <w:p w14:paraId="7D122C8D" w14:textId="77777777" w:rsidR="00BB2CB4" w:rsidRPr="00222C32" w:rsidRDefault="000674DA">
            <w:pPr>
              <w:pStyle w:val="AgencyNamewith2ptsspacing"/>
              <w:keepNext/>
            </w:pPr>
            <w:r w:rsidRPr="00222C32">
              <w:t>Department of Agriculture, Fisheries and Forestry</w:t>
            </w:r>
          </w:p>
        </w:tc>
        <w:tc>
          <w:tcPr>
            <w:tcW w:w="1044" w:type="dxa"/>
            <w:tcBorders>
              <w:top w:val="nil"/>
              <w:bottom w:val="single" w:sz="4" w:space="0" w:color="293F5B"/>
            </w:tcBorders>
          </w:tcPr>
          <w:p w14:paraId="3D441D6D"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929B057" w14:textId="77777777" w:rsidR="00BB2CB4" w:rsidRPr="00222C32" w:rsidRDefault="000674DA">
            <w:pPr>
              <w:pStyle w:val="Measuretabledatarightaligneditalics"/>
              <w:keepNext/>
            </w:pPr>
            <w:r w:rsidRPr="00222C32">
              <w:t>4.1</w:t>
            </w:r>
          </w:p>
        </w:tc>
        <w:tc>
          <w:tcPr>
            <w:tcW w:w="1044" w:type="dxa"/>
            <w:tcBorders>
              <w:top w:val="nil"/>
              <w:bottom w:val="single" w:sz="4" w:space="0" w:color="293F5B"/>
            </w:tcBorders>
          </w:tcPr>
          <w:p w14:paraId="4F5F0053" w14:textId="77777777" w:rsidR="00BB2CB4" w:rsidRPr="00222C32" w:rsidRDefault="000674DA">
            <w:pPr>
              <w:pStyle w:val="Measuretabledatarightaligneditalics"/>
              <w:keepNext/>
            </w:pPr>
            <w:r w:rsidRPr="00222C32">
              <w:t>4.2</w:t>
            </w:r>
          </w:p>
        </w:tc>
        <w:tc>
          <w:tcPr>
            <w:tcW w:w="1044" w:type="dxa"/>
            <w:tcBorders>
              <w:top w:val="nil"/>
              <w:bottom w:val="single" w:sz="4" w:space="0" w:color="293F5B"/>
            </w:tcBorders>
          </w:tcPr>
          <w:p w14:paraId="0A9C60C6" w14:textId="77777777" w:rsidR="00BB2CB4" w:rsidRPr="00222C32" w:rsidRDefault="000674DA">
            <w:pPr>
              <w:pStyle w:val="Measuretabledatarightaligneditalics"/>
              <w:keepNext/>
            </w:pPr>
            <w:r w:rsidRPr="00222C32">
              <w:t>4.3</w:t>
            </w:r>
          </w:p>
        </w:tc>
        <w:tc>
          <w:tcPr>
            <w:tcW w:w="1044" w:type="dxa"/>
            <w:tcBorders>
              <w:top w:val="nil"/>
              <w:bottom w:val="single" w:sz="4" w:space="0" w:color="293F5B"/>
            </w:tcBorders>
          </w:tcPr>
          <w:p w14:paraId="2C393FA2" w14:textId="77777777" w:rsidR="00BB2CB4" w:rsidRPr="00222C32" w:rsidRDefault="000674DA">
            <w:pPr>
              <w:pStyle w:val="Measuretabledatarightaligneditalics"/>
              <w:keepNext/>
            </w:pPr>
            <w:r w:rsidRPr="00222C32">
              <w:t>4.3</w:t>
            </w:r>
          </w:p>
        </w:tc>
      </w:tr>
    </w:tbl>
    <w:p w14:paraId="01B0AAA1" w14:textId="77777777" w:rsidR="00FD4461" w:rsidRDefault="00FD4461" w:rsidP="00FD4461">
      <w:pPr>
        <w:pStyle w:val="SingleParagraph"/>
      </w:pPr>
    </w:p>
    <w:p w14:paraId="1971A93E" w14:textId="77777777" w:rsidR="00BB2CB4" w:rsidRDefault="000674DA">
      <w:pPr>
        <w:pStyle w:val="Normal2"/>
      </w:pPr>
      <w:r>
        <w:t>The Government has made changes to the following agricultural levies and associated charges at the request of industry to better reflect the current needs of the sector:</w:t>
      </w:r>
    </w:p>
    <w:p w14:paraId="387670C9" w14:textId="77777777" w:rsidR="00BB2CB4" w:rsidRDefault="000674DA" w:rsidP="00C55743">
      <w:pPr>
        <w:pStyle w:val="Bullet"/>
      </w:pPr>
      <w:r>
        <w:t>Almond levy and charge: On 1 July 2025, the Government increased the biosecurity response component of the almond levy and charge from 0.10 to 0.37 cents per kilogram for in shell, and from 0.13 to 0.52 cents per kilogram for shelled varieties. The total levy increased from 1.10 to 1.37, 1.60 to 1.87 and 2.13 to 2.52 cents per kilogram, respectively, for in shell other than nonpareil, nonpareil and shelled varieties.</w:t>
      </w:r>
    </w:p>
    <w:p w14:paraId="32D1B0E1" w14:textId="77777777" w:rsidR="00BB2CB4" w:rsidRDefault="000674DA">
      <w:pPr>
        <w:pStyle w:val="Bullet"/>
      </w:pPr>
      <w:r>
        <w:t>Avocados levy and charge: On 1 July 2025, the Government activated the biosecurity response component of the levy and charge of 0.25 cents per kilogram for fresh avocados. Activation of this component has been offset by an equivalent decrease in the research and development component of the levy and charge, leaving the total levy and charge unchanged at 7.50 cents per kilogram.</w:t>
      </w:r>
    </w:p>
    <w:p w14:paraId="317B63C2" w14:textId="77777777" w:rsidR="00BB2CB4" w:rsidRDefault="000674DA">
      <w:pPr>
        <w:pStyle w:val="Bullet"/>
      </w:pPr>
      <w:r>
        <w:t>Honey levy and charge: On 1 July 2025, the Government increased the biosecurity activity component of the honey levy and charge from 0.10 to 2.80 cents per kilogram and reduced the biosecurity response component from 2.70 to 1.00 cent per kilogram. The total levy and charge increased from 4.60 to 5.60 cents per kilogram.</w:t>
      </w:r>
    </w:p>
    <w:p w14:paraId="65AECFE8" w14:textId="77777777" w:rsidR="00BB2CB4" w:rsidRDefault="000674DA">
      <w:pPr>
        <w:pStyle w:val="Bullet"/>
      </w:pPr>
      <w:r>
        <w:t>Laying chickens levy: On 1 July 2025, the Government increased the biosecurity response component of the laying chickens levy from 1.10 to 11.90 cents per laying chicken. The total levy increased from 15.27 to 26.07 cents per laying chicken.</w:t>
      </w:r>
    </w:p>
    <w:p w14:paraId="7E6AED97" w14:textId="77777777" w:rsidR="00BB2CB4" w:rsidRDefault="000674DA">
      <w:pPr>
        <w:pStyle w:val="Bullet"/>
      </w:pPr>
      <w:r>
        <w:t>Meat chickens levy: On 1 July 2025, the Government increased the biosecurity response component of the meat chickens levy from 0.0300 to 0.1716 cents per meat chicken. The total levy increased from 0.2644 to 0.4060 cents per meat chicken.</w:t>
      </w:r>
    </w:p>
    <w:p w14:paraId="6729B2CA" w14:textId="77777777" w:rsidR="00BB2CB4" w:rsidRDefault="000674DA">
      <w:pPr>
        <w:pStyle w:val="Normal2"/>
      </w:pPr>
      <w:r>
        <w:t>This measure is estimated to increase receipts by $18.5 million and increase payments by $16.9 million over five years from 2024–‍25.</w:t>
      </w:r>
    </w:p>
    <w:p w14:paraId="45BCCFD1" w14:textId="77777777" w:rsidR="00BB2CB4" w:rsidRDefault="00BB2CB4">
      <w:pPr>
        <w:sectPr w:rsidR="00BB2CB4" w:rsidSect="00301ACF">
          <w:headerReference w:type="even" r:id="rId13"/>
          <w:headerReference w:type="default" r:id="rId14"/>
          <w:footerReference w:type="even" r:id="rId15"/>
          <w:footerReference w:type="default" r:id="rId16"/>
          <w:headerReference w:type="first" r:id="rId17"/>
          <w:footerReference w:type="first" r:id="rId18"/>
          <w:pgSz w:w="11906" w:h="16838" w:code="9"/>
          <w:pgMar w:top="2835" w:right="2098" w:bottom="2466" w:left="2098" w:header="1814" w:footer="1814" w:gutter="0"/>
          <w:cols w:space="720"/>
          <w:docGrid w:linePitch="272"/>
        </w:sectPr>
      </w:pPr>
    </w:p>
    <w:p w14:paraId="777D55FF" w14:textId="77777777" w:rsidR="00BB2CB4" w:rsidRDefault="000674DA" w:rsidP="00B0077E">
      <w:pPr>
        <w:pStyle w:val="PortfolioName"/>
        <w:spacing w:before="0"/>
      </w:pPr>
      <w:r>
        <w:lastRenderedPageBreak/>
        <w:t>Climate Change, Energy, the Environment and Water</w:t>
      </w:r>
    </w:p>
    <w:p w14:paraId="1E590602" w14:textId="77777777" w:rsidR="00BB2CB4" w:rsidRDefault="000674DA">
      <w:pPr>
        <w:pStyle w:val="MeasureTitle"/>
      </w:pPr>
      <w:r w:rsidRPr="42F5CE43">
        <w:rPr>
          <w:lang w:val="en-US"/>
        </w:rPr>
        <w:t>Finalising Fixed Delivery Carbon Contract Exit Arrangements</w:t>
      </w:r>
    </w:p>
    <w:p w14:paraId="584843A1"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7A133AE" w14:textId="77777777" w:rsidTr="00825163">
        <w:tc>
          <w:tcPr>
            <w:tcW w:w="2501" w:type="dxa"/>
            <w:tcBorders>
              <w:top w:val="single" w:sz="4" w:space="0" w:color="293F5B"/>
              <w:bottom w:val="single" w:sz="4" w:space="0" w:color="293F5B"/>
            </w:tcBorders>
          </w:tcPr>
          <w:p w14:paraId="67576D9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013846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7CC5C9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6098EA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7B3AA6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29C777F" w14:textId="77777777" w:rsidR="00BB2CB4" w:rsidRPr="00222C32" w:rsidRDefault="000674DA">
            <w:pPr>
              <w:pStyle w:val="MeasureTableYearHeadings"/>
              <w:keepNext/>
            </w:pPr>
            <w:r w:rsidRPr="00222C32">
              <w:t>2028-29</w:t>
            </w:r>
          </w:p>
        </w:tc>
      </w:tr>
      <w:tr w:rsidR="00BB2CB4" w:rsidRPr="00222C32" w14:paraId="223919B6" w14:textId="77777777" w:rsidTr="00825163">
        <w:tc>
          <w:tcPr>
            <w:tcW w:w="2501" w:type="dxa"/>
            <w:tcBorders>
              <w:top w:val="single" w:sz="4" w:space="0" w:color="293F5B"/>
              <w:bottom w:val="single" w:sz="4" w:space="0" w:color="293F5B"/>
            </w:tcBorders>
          </w:tcPr>
          <w:p w14:paraId="6E486D4E" w14:textId="77777777" w:rsidR="00BB2CB4" w:rsidRPr="00222C32" w:rsidRDefault="000674DA">
            <w:pPr>
              <w:pStyle w:val="MeasureTableHeadingleftalignedwith2ptsspacing"/>
              <w:keepNext/>
            </w:pPr>
            <w:r w:rsidRPr="00222C32">
              <w:t>Clean Energy Regulator</w:t>
            </w:r>
          </w:p>
        </w:tc>
        <w:tc>
          <w:tcPr>
            <w:tcW w:w="1044" w:type="dxa"/>
            <w:tcBorders>
              <w:top w:val="single" w:sz="4" w:space="0" w:color="293F5B"/>
              <w:bottom w:val="single" w:sz="4" w:space="0" w:color="293F5B"/>
            </w:tcBorders>
          </w:tcPr>
          <w:p w14:paraId="6B96340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C5709EB"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322475AE"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3BC3710C"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53D4B538" w14:textId="77777777" w:rsidR="00BB2CB4" w:rsidRPr="00222C32" w:rsidRDefault="000674DA">
            <w:pPr>
              <w:pStyle w:val="MeasureTableDataRightAlignedwith2ptsspacing"/>
              <w:keepNext/>
            </w:pPr>
            <w:r w:rsidRPr="00222C32">
              <w:t>nfp</w:t>
            </w:r>
          </w:p>
        </w:tc>
      </w:tr>
      <w:tr w:rsidR="00BB2CB4" w:rsidRPr="00222C32" w14:paraId="2989BC0B" w14:textId="77777777" w:rsidTr="00825163">
        <w:tc>
          <w:tcPr>
            <w:tcW w:w="2501" w:type="dxa"/>
            <w:tcBorders>
              <w:top w:val="single" w:sz="4" w:space="0" w:color="293F5B"/>
              <w:bottom w:val="nil"/>
            </w:tcBorders>
          </w:tcPr>
          <w:p w14:paraId="039C11F8"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156A0913" w14:textId="77777777" w:rsidR="00BB2CB4" w:rsidRPr="00222C32" w:rsidRDefault="00BB2CB4">
            <w:pPr>
              <w:pStyle w:val="AgencyName"/>
              <w:keepNext/>
            </w:pPr>
          </w:p>
        </w:tc>
        <w:tc>
          <w:tcPr>
            <w:tcW w:w="1044" w:type="dxa"/>
            <w:tcBorders>
              <w:top w:val="single" w:sz="4" w:space="0" w:color="293F5B"/>
              <w:bottom w:val="nil"/>
            </w:tcBorders>
          </w:tcPr>
          <w:p w14:paraId="1FEAD74D" w14:textId="77777777" w:rsidR="00BB2CB4" w:rsidRPr="00222C32" w:rsidRDefault="00BB2CB4">
            <w:pPr>
              <w:pStyle w:val="AgencyName"/>
              <w:keepNext/>
            </w:pPr>
          </w:p>
        </w:tc>
        <w:tc>
          <w:tcPr>
            <w:tcW w:w="1044" w:type="dxa"/>
            <w:tcBorders>
              <w:top w:val="single" w:sz="4" w:space="0" w:color="293F5B"/>
              <w:bottom w:val="nil"/>
            </w:tcBorders>
          </w:tcPr>
          <w:p w14:paraId="0F525DB2" w14:textId="77777777" w:rsidR="00BB2CB4" w:rsidRPr="00222C32" w:rsidRDefault="00BB2CB4">
            <w:pPr>
              <w:pStyle w:val="AgencyName"/>
              <w:keepNext/>
            </w:pPr>
          </w:p>
        </w:tc>
        <w:tc>
          <w:tcPr>
            <w:tcW w:w="1044" w:type="dxa"/>
            <w:tcBorders>
              <w:top w:val="single" w:sz="4" w:space="0" w:color="293F5B"/>
              <w:bottom w:val="nil"/>
            </w:tcBorders>
          </w:tcPr>
          <w:p w14:paraId="65E13C65" w14:textId="77777777" w:rsidR="00BB2CB4" w:rsidRPr="00222C32" w:rsidRDefault="00BB2CB4">
            <w:pPr>
              <w:pStyle w:val="AgencyName"/>
              <w:keepNext/>
            </w:pPr>
          </w:p>
        </w:tc>
        <w:tc>
          <w:tcPr>
            <w:tcW w:w="1044" w:type="dxa"/>
            <w:tcBorders>
              <w:top w:val="single" w:sz="4" w:space="0" w:color="293F5B"/>
              <w:bottom w:val="nil"/>
            </w:tcBorders>
          </w:tcPr>
          <w:p w14:paraId="0CD6DA84" w14:textId="77777777" w:rsidR="00BB2CB4" w:rsidRPr="00222C32" w:rsidRDefault="00BB2CB4">
            <w:pPr>
              <w:pStyle w:val="AgencyName"/>
              <w:keepNext/>
            </w:pPr>
          </w:p>
        </w:tc>
      </w:tr>
      <w:tr w:rsidR="00BB2CB4" w:rsidRPr="00222C32" w14:paraId="40B1116F" w14:textId="77777777" w:rsidTr="00825163">
        <w:tc>
          <w:tcPr>
            <w:tcW w:w="2501" w:type="dxa"/>
            <w:tcBorders>
              <w:top w:val="nil"/>
              <w:bottom w:val="single" w:sz="4" w:space="0" w:color="293F5B"/>
            </w:tcBorders>
          </w:tcPr>
          <w:p w14:paraId="23FFAD6B" w14:textId="77777777" w:rsidR="00BB2CB4" w:rsidRPr="00222C32" w:rsidRDefault="000674DA">
            <w:pPr>
              <w:pStyle w:val="AgencyNamewith2ptsspacing"/>
              <w:keepNext/>
            </w:pPr>
            <w:r w:rsidRPr="00222C32">
              <w:t>Department of Climate Change, Energy, the Environment and Water</w:t>
            </w:r>
          </w:p>
        </w:tc>
        <w:tc>
          <w:tcPr>
            <w:tcW w:w="1044" w:type="dxa"/>
            <w:tcBorders>
              <w:top w:val="nil"/>
              <w:bottom w:val="single" w:sz="4" w:space="0" w:color="293F5B"/>
            </w:tcBorders>
          </w:tcPr>
          <w:p w14:paraId="22AC96EC"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226A64A" w14:textId="1046D519" w:rsidR="00BB2CB4" w:rsidRPr="00222C32" w:rsidRDefault="001773A8">
            <w:pPr>
              <w:pStyle w:val="Measuretabledatarightaligneditalics"/>
              <w:keepNext/>
            </w:pPr>
            <w:r>
              <w:t>-</w:t>
            </w:r>
          </w:p>
        </w:tc>
        <w:tc>
          <w:tcPr>
            <w:tcW w:w="1044" w:type="dxa"/>
            <w:tcBorders>
              <w:top w:val="nil"/>
              <w:bottom w:val="single" w:sz="4" w:space="0" w:color="293F5B"/>
            </w:tcBorders>
          </w:tcPr>
          <w:p w14:paraId="2FC63475" w14:textId="77777777" w:rsidR="00BB2CB4" w:rsidRPr="00222C32" w:rsidRDefault="000674DA">
            <w:pPr>
              <w:pStyle w:val="Measuretabledatarightaligneditalics"/>
              <w:keepNext/>
            </w:pPr>
            <w:r w:rsidRPr="00222C32">
              <w:t>nfp</w:t>
            </w:r>
          </w:p>
        </w:tc>
        <w:tc>
          <w:tcPr>
            <w:tcW w:w="1044" w:type="dxa"/>
            <w:tcBorders>
              <w:top w:val="nil"/>
              <w:bottom w:val="single" w:sz="4" w:space="0" w:color="293F5B"/>
            </w:tcBorders>
          </w:tcPr>
          <w:p w14:paraId="61D74298" w14:textId="77777777" w:rsidR="00BB2CB4" w:rsidRPr="00222C32" w:rsidRDefault="000674DA">
            <w:pPr>
              <w:pStyle w:val="Measuretabledatarightaligneditalics"/>
              <w:keepNext/>
            </w:pPr>
            <w:r w:rsidRPr="00222C32">
              <w:t>nfp</w:t>
            </w:r>
          </w:p>
        </w:tc>
        <w:tc>
          <w:tcPr>
            <w:tcW w:w="1044" w:type="dxa"/>
            <w:tcBorders>
              <w:top w:val="nil"/>
              <w:bottom w:val="single" w:sz="4" w:space="0" w:color="293F5B"/>
            </w:tcBorders>
          </w:tcPr>
          <w:p w14:paraId="1A22B61C" w14:textId="77777777" w:rsidR="00BB2CB4" w:rsidRPr="00222C32" w:rsidRDefault="000674DA">
            <w:pPr>
              <w:pStyle w:val="Measuretabledatarightaligneditalics"/>
              <w:keepNext/>
            </w:pPr>
            <w:r w:rsidRPr="00222C32">
              <w:t>nfp</w:t>
            </w:r>
          </w:p>
        </w:tc>
      </w:tr>
    </w:tbl>
    <w:p w14:paraId="31B1AFA3" w14:textId="77777777" w:rsidR="00FD4461" w:rsidRDefault="00FD4461" w:rsidP="00FD4461">
      <w:pPr>
        <w:pStyle w:val="SingleParagraph"/>
      </w:pPr>
    </w:p>
    <w:p w14:paraId="09F81418" w14:textId="77777777" w:rsidR="00BB2CB4" w:rsidRDefault="000674DA">
      <w:pPr>
        <w:pStyle w:val="Normal2"/>
      </w:pPr>
      <w:r>
        <w:t>The Government will implement an exit fee discount alongside a partial delivery requirement as part of permanent exit arrangements for fixed delivery carbon abatement contracts under the Australian Carbon Credit Unit Scheme.</w:t>
      </w:r>
    </w:p>
    <w:p w14:paraId="0D27A328" w14:textId="77777777" w:rsidR="00BB2CB4" w:rsidRDefault="000674DA">
      <w:pPr>
        <w:pStyle w:val="Normal2"/>
      </w:pPr>
      <w:r w:rsidRPr="42F5CE43">
        <w:rPr>
          <w:lang w:val="en-US"/>
        </w:rPr>
        <w:t>The financial implications of this measure are not for publication (nfp) due to commercial sensitivities arising from required carbon abatement contract negotiations for the permanent exit window.</w:t>
      </w:r>
    </w:p>
    <w:p w14:paraId="44AADF1E" w14:textId="77777777" w:rsidR="00BB2CB4" w:rsidRDefault="000674DA">
      <w:pPr>
        <w:pStyle w:val="Normal2"/>
      </w:pPr>
      <w:r w:rsidRPr="42F5CE43">
        <w:rPr>
          <w:lang w:val="en-US"/>
        </w:rPr>
        <w:t>The cost of this measure will be met from a reprioritisation of funding from the Powering the Regions Fund</w:t>
      </w:r>
      <w:r w:rsidRPr="42F5CE43">
        <w:rPr>
          <w:i/>
          <w:lang w:val="en-US"/>
        </w:rPr>
        <w:t>.</w:t>
      </w:r>
    </w:p>
    <w:p w14:paraId="6A3E5478" w14:textId="77777777" w:rsidR="00BB2CB4" w:rsidRDefault="000674DA">
      <w:pPr>
        <w:pStyle w:val="Normal2"/>
      </w:pPr>
      <w:r>
        <w:t xml:space="preserve">This measure builds on the 2024–‍25 Budget measure titled </w:t>
      </w:r>
      <w:r w:rsidRPr="000674DA">
        <w:rPr>
          <w:i/>
        </w:rPr>
        <w:t>Improving the Australian Carbon Credit Unit Scheme.</w:t>
      </w:r>
    </w:p>
    <w:p w14:paraId="01AED5A2" w14:textId="77777777" w:rsidR="00BB2CB4" w:rsidRDefault="00BB2CB4" w:rsidP="00667818">
      <w:pPr>
        <w:pStyle w:val="Normal2"/>
      </w:pPr>
    </w:p>
    <w:p w14:paraId="743B5FE0" w14:textId="77777777" w:rsidR="00667818" w:rsidRDefault="00667818" w:rsidP="00667818">
      <w:pPr>
        <w:pStyle w:val="Normal2"/>
        <w:sectPr w:rsidR="00667818" w:rsidSect="00301ACF">
          <w:headerReference w:type="even" r:id="rId19"/>
          <w:headerReference w:type="default" r:id="rId20"/>
          <w:footerReference w:type="even" r:id="rId21"/>
          <w:footerReference w:type="default" r:id="rId22"/>
          <w:headerReference w:type="first" r:id="rId23"/>
          <w:footerReference w:type="first" r:id="rId24"/>
          <w:pgSz w:w="11906" w:h="16838" w:code="9"/>
          <w:pgMar w:top="2835" w:right="2098" w:bottom="2466" w:left="2098" w:header="1814" w:footer="1814" w:gutter="0"/>
          <w:cols w:space="720"/>
          <w:docGrid w:linePitch="272"/>
        </w:sectPr>
      </w:pPr>
    </w:p>
    <w:p w14:paraId="24D9FDE0" w14:textId="77777777" w:rsidR="00BB2CB4" w:rsidRDefault="000674DA" w:rsidP="00B0077E">
      <w:pPr>
        <w:pStyle w:val="PortfolioName"/>
        <w:spacing w:before="0"/>
      </w:pPr>
      <w:r>
        <w:lastRenderedPageBreak/>
        <w:t>Home Affairs</w:t>
      </w:r>
    </w:p>
    <w:p w14:paraId="59ED4A9F" w14:textId="577BAFC2" w:rsidR="00BB2CB4" w:rsidRDefault="00E0547B">
      <w:pPr>
        <w:pStyle w:val="MeasureTitle"/>
      </w:pPr>
      <w:r>
        <w:t>Migration</w:t>
      </w:r>
      <w:r w:rsidR="008B35F4">
        <w:t xml:space="preserve"> </w:t>
      </w:r>
      <w:r w:rsidR="000674DA">
        <w:t>– uplift of Visa Application Charge for student visas</w:t>
      </w:r>
    </w:p>
    <w:p w14:paraId="7F54A434"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F80CF77" w14:textId="77777777" w:rsidTr="00825163">
        <w:tc>
          <w:tcPr>
            <w:tcW w:w="2501" w:type="dxa"/>
            <w:tcBorders>
              <w:top w:val="single" w:sz="4" w:space="0" w:color="293F5B"/>
              <w:bottom w:val="single" w:sz="4" w:space="0" w:color="293F5B"/>
            </w:tcBorders>
          </w:tcPr>
          <w:p w14:paraId="6D2C550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8C7BEC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1EF615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77525A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43297F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3FBD755" w14:textId="77777777" w:rsidR="00BB2CB4" w:rsidRPr="00222C32" w:rsidRDefault="000674DA">
            <w:pPr>
              <w:pStyle w:val="MeasureTableYearHeadings"/>
              <w:keepNext/>
            </w:pPr>
            <w:r w:rsidRPr="00222C32">
              <w:t>2028-29</w:t>
            </w:r>
          </w:p>
        </w:tc>
      </w:tr>
      <w:tr w:rsidR="00BB2CB4" w:rsidRPr="00222C32" w14:paraId="54F2042C" w14:textId="77777777" w:rsidTr="00825163">
        <w:tc>
          <w:tcPr>
            <w:tcW w:w="2501" w:type="dxa"/>
            <w:tcBorders>
              <w:top w:val="single" w:sz="4" w:space="0" w:color="293F5B"/>
              <w:bottom w:val="single" w:sz="4" w:space="0" w:color="293F5B"/>
            </w:tcBorders>
          </w:tcPr>
          <w:p w14:paraId="1BA3DE2D"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788F24E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688D4B2" w14:textId="77777777" w:rsidR="00BB2CB4" w:rsidRPr="00222C32" w:rsidRDefault="000674DA">
            <w:pPr>
              <w:pStyle w:val="MeasureTableDataRightAlignedwith2ptsspacing"/>
              <w:keepNext/>
            </w:pPr>
            <w:r w:rsidRPr="00222C32">
              <w:t>185.0</w:t>
            </w:r>
          </w:p>
        </w:tc>
        <w:tc>
          <w:tcPr>
            <w:tcW w:w="1044" w:type="dxa"/>
            <w:tcBorders>
              <w:top w:val="single" w:sz="4" w:space="0" w:color="293F5B"/>
              <w:bottom w:val="single" w:sz="4" w:space="0" w:color="293F5B"/>
            </w:tcBorders>
          </w:tcPr>
          <w:p w14:paraId="6A546B7B" w14:textId="77777777" w:rsidR="00BB2CB4" w:rsidRPr="00222C32" w:rsidRDefault="000674DA">
            <w:pPr>
              <w:pStyle w:val="MeasureTableDataRightAlignedwith2ptsspacing"/>
              <w:keepNext/>
            </w:pPr>
            <w:r w:rsidRPr="00222C32">
              <w:t>195.0</w:t>
            </w:r>
          </w:p>
        </w:tc>
        <w:tc>
          <w:tcPr>
            <w:tcW w:w="1044" w:type="dxa"/>
            <w:tcBorders>
              <w:top w:val="single" w:sz="4" w:space="0" w:color="293F5B"/>
              <w:bottom w:val="single" w:sz="4" w:space="0" w:color="293F5B"/>
            </w:tcBorders>
          </w:tcPr>
          <w:p w14:paraId="43AC3E13" w14:textId="77777777" w:rsidR="00BB2CB4" w:rsidRPr="00222C32" w:rsidRDefault="000674DA">
            <w:pPr>
              <w:pStyle w:val="MeasureTableDataRightAlignedwith2ptsspacing"/>
              <w:keepNext/>
            </w:pPr>
            <w:r w:rsidRPr="00222C32">
              <w:t>200.0</w:t>
            </w:r>
          </w:p>
        </w:tc>
        <w:tc>
          <w:tcPr>
            <w:tcW w:w="1044" w:type="dxa"/>
            <w:tcBorders>
              <w:top w:val="single" w:sz="4" w:space="0" w:color="293F5B"/>
              <w:bottom w:val="single" w:sz="4" w:space="0" w:color="293F5B"/>
            </w:tcBorders>
          </w:tcPr>
          <w:p w14:paraId="41D64A6D" w14:textId="77777777" w:rsidR="00BB2CB4" w:rsidRPr="00222C32" w:rsidRDefault="000674DA">
            <w:pPr>
              <w:pStyle w:val="MeasureTableDataRightAlignedwith2ptsspacing"/>
              <w:keepNext/>
            </w:pPr>
            <w:r w:rsidRPr="00222C32">
              <w:t>210.0</w:t>
            </w:r>
          </w:p>
        </w:tc>
      </w:tr>
      <w:tr w:rsidR="00BB2CB4" w:rsidRPr="00222C32" w14:paraId="23E36FFD" w14:textId="77777777" w:rsidTr="00825163">
        <w:tc>
          <w:tcPr>
            <w:tcW w:w="2501" w:type="dxa"/>
            <w:tcBorders>
              <w:top w:val="single" w:sz="4" w:space="0" w:color="293F5B"/>
              <w:bottom w:val="single" w:sz="4" w:space="0" w:color="293F5B"/>
            </w:tcBorders>
          </w:tcPr>
          <w:p w14:paraId="6396FE40"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32A4B72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4139EE5" w14:textId="77777777" w:rsidR="00BB2CB4" w:rsidRPr="00222C32" w:rsidRDefault="000674DA">
            <w:pPr>
              <w:pStyle w:val="MeasureTableDataRightAlignedwith2ptsspacing"/>
              <w:keepNext/>
            </w:pPr>
            <w:r w:rsidRPr="00222C32">
              <w:t>-5.0</w:t>
            </w:r>
          </w:p>
        </w:tc>
        <w:tc>
          <w:tcPr>
            <w:tcW w:w="1044" w:type="dxa"/>
            <w:tcBorders>
              <w:top w:val="single" w:sz="4" w:space="0" w:color="293F5B"/>
              <w:bottom w:val="single" w:sz="4" w:space="0" w:color="293F5B"/>
            </w:tcBorders>
          </w:tcPr>
          <w:p w14:paraId="2FC3B2D3" w14:textId="77777777" w:rsidR="00BB2CB4" w:rsidRPr="00222C32" w:rsidRDefault="000674DA">
            <w:pPr>
              <w:pStyle w:val="MeasureTableDataRightAlignedwith2ptsspacing"/>
              <w:keepNext/>
            </w:pPr>
            <w:r w:rsidRPr="00222C32">
              <w:t>-10.0</w:t>
            </w:r>
          </w:p>
        </w:tc>
        <w:tc>
          <w:tcPr>
            <w:tcW w:w="1044" w:type="dxa"/>
            <w:tcBorders>
              <w:top w:val="single" w:sz="4" w:space="0" w:color="293F5B"/>
              <w:bottom w:val="single" w:sz="4" w:space="0" w:color="293F5B"/>
            </w:tcBorders>
          </w:tcPr>
          <w:p w14:paraId="01B01768" w14:textId="77777777" w:rsidR="00BB2CB4" w:rsidRPr="00222C32" w:rsidRDefault="000674DA">
            <w:pPr>
              <w:pStyle w:val="MeasureTableDataRightAlignedwith2ptsspacing"/>
              <w:keepNext/>
            </w:pPr>
            <w:r w:rsidRPr="00222C32">
              <w:t>-15.0</w:t>
            </w:r>
          </w:p>
        </w:tc>
        <w:tc>
          <w:tcPr>
            <w:tcW w:w="1044" w:type="dxa"/>
            <w:tcBorders>
              <w:top w:val="single" w:sz="4" w:space="0" w:color="293F5B"/>
              <w:bottom w:val="single" w:sz="4" w:space="0" w:color="293F5B"/>
            </w:tcBorders>
          </w:tcPr>
          <w:p w14:paraId="5B7EA096" w14:textId="77777777" w:rsidR="00BB2CB4" w:rsidRPr="00222C32" w:rsidRDefault="000674DA">
            <w:pPr>
              <w:pStyle w:val="MeasureTableDataRightAlignedwith2ptsspacing"/>
              <w:keepNext/>
            </w:pPr>
            <w:r w:rsidRPr="00222C32">
              <w:t>-20.0</w:t>
            </w:r>
          </w:p>
        </w:tc>
      </w:tr>
      <w:tr w:rsidR="00BB2CB4" w:rsidRPr="00222C32" w14:paraId="5FA08575" w14:textId="77777777" w:rsidTr="00825163">
        <w:tc>
          <w:tcPr>
            <w:tcW w:w="2501" w:type="dxa"/>
            <w:tcBorders>
              <w:top w:val="single" w:sz="4" w:space="0" w:color="293F5B"/>
              <w:bottom w:val="single" w:sz="4" w:space="0" w:color="293F5B"/>
            </w:tcBorders>
          </w:tcPr>
          <w:p w14:paraId="674C110D" w14:textId="77777777" w:rsidR="00BB2CB4" w:rsidRPr="00222C32" w:rsidRDefault="000674DA">
            <w:pPr>
              <w:pStyle w:val="Totalrowleftaligned"/>
              <w:keepNext/>
            </w:pPr>
            <w:r w:rsidRPr="00222C32">
              <w:t>Total – Receipts</w:t>
            </w:r>
          </w:p>
        </w:tc>
        <w:tc>
          <w:tcPr>
            <w:tcW w:w="1044" w:type="dxa"/>
            <w:tcBorders>
              <w:top w:val="single" w:sz="4" w:space="0" w:color="293F5B"/>
              <w:bottom w:val="single" w:sz="4" w:space="0" w:color="293F5B"/>
            </w:tcBorders>
          </w:tcPr>
          <w:p w14:paraId="6C371F40"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9B6B9F0" w14:textId="77777777" w:rsidR="00BB2CB4" w:rsidRPr="00222C32" w:rsidRDefault="000674DA">
            <w:pPr>
              <w:pStyle w:val="Totaldatarowrightaligned"/>
              <w:keepNext/>
            </w:pPr>
            <w:r w:rsidRPr="00222C32">
              <w:t>180.0</w:t>
            </w:r>
          </w:p>
        </w:tc>
        <w:tc>
          <w:tcPr>
            <w:tcW w:w="1044" w:type="dxa"/>
            <w:tcBorders>
              <w:top w:val="single" w:sz="4" w:space="0" w:color="293F5B"/>
              <w:bottom w:val="single" w:sz="4" w:space="0" w:color="293F5B"/>
            </w:tcBorders>
          </w:tcPr>
          <w:p w14:paraId="1207DE05" w14:textId="77777777" w:rsidR="00BB2CB4" w:rsidRPr="00222C32" w:rsidRDefault="000674DA">
            <w:pPr>
              <w:pStyle w:val="Totaldatarowrightaligned"/>
              <w:keepNext/>
            </w:pPr>
            <w:r w:rsidRPr="00222C32">
              <w:t>185.0</w:t>
            </w:r>
          </w:p>
        </w:tc>
        <w:tc>
          <w:tcPr>
            <w:tcW w:w="1044" w:type="dxa"/>
            <w:tcBorders>
              <w:top w:val="single" w:sz="4" w:space="0" w:color="293F5B"/>
              <w:bottom w:val="single" w:sz="4" w:space="0" w:color="293F5B"/>
            </w:tcBorders>
          </w:tcPr>
          <w:p w14:paraId="52DD1146" w14:textId="77777777" w:rsidR="00BB2CB4" w:rsidRPr="00222C32" w:rsidRDefault="000674DA">
            <w:pPr>
              <w:pStyle w:val="Totaldatarowrightaligned"/>
              <w:keepNext/>
            </w:pPr>
            <w:r w:rsidRPr="00222C32">
              <w:t>185.0</w:t>
            </w:r>
          </w:p>
        </w:tc>
        <w:tc>
          <w:tcPr>
            <w:tcW w:w="1044" w:type="dxa"/>
            <w:tcBorders>
              <w:top w:val="single" w:sz="4" w:space="0" w:color="293F5B"/>
              <w:bottom w:val="single" w:sz="4" w:space="0" w:color="293F5B"/>
            </w:tcBorders>
          </w:tcPr>
          <w:p w14:paraId="05EC91C2" w14:textId="77777777" w:rsidR="00BB2CB4" w:rsidRPr="00222C32" w:rsidRDefault="000674DA">
            <w:pPr>
              <w:pStyle w:val="Totaldatarowrightaligned"/>
              <w:keepNext/>
            </w:pPr>
            <w:r w:rsidRPr="00222C32">
              <w:t>190.0</w:t>
            </w:r>
          </w:p>
        </w:tc>
      </w:tr>
      <w:tr w:rsidR="00BB2CB4" w:rsidRPr="00222C32" w14:paraId="0C3F9336" w14:textId="77777777" w:rsidTr="00825163">
        <w:tc>
          <w:tcPr>
            <w:tcW w:w="2501" w:type="dxa"/>
            <w:tcBorders>
              <w:top w:val="single" w:sz="4" w:space="0" w:color="293F5B"/>
              <w:bottom w:val="nil"/>
            </w:tcBorders>
          </w:tcPr>
          <w:p w14:paraId="2C2CCC5F"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4DA91D72" w14:textId="77777777" w:rsidR="00BB2CB4" w:rsidRPr="00222C32" w:rsidRDefault="00BB2CB4">
            <w:pPr>
              <w:pStyle w:val="AgencyName"/>
              <w:keepNext/>
            </w:pPr>
          </w:p>
        </w:tc>
        <w:tc>
          <w:tcPr>
            <w:tcW w:w="1044" w:type="dxa"/>
            <w:tcBorders>
              <w:top w:val="single" w:sz="4" w:space="0" w:color="293F5B"/>
              <w:bottom w:val="nil"/>
            </w:tcBorders>
          </w:tcPr>
          <w:p w14:paraId="6BDB7C72" w14:textId="77777777" w:rsidR="00BB2CB4" w:rsidRPr="00222C32" w:rsidRDefault="00BB2CB4">
            <w:pPr>
              <w:pStyle w:val="AgencyName"/>
              <w:keepNext/>
            </w:pPr>
          </w:p>
        </w:tc>
        <w:tc>
          <w:tcPr>
            <w:tcW w:w="1044" w:type="dxa"/>
            <w:tcBorders>
              <w:top w:val="single" w:sz="4" w:space="0" w:color="293F5B"/>
              <w:bottom w:val="nil"/>
            </w:tcBorders>
          </w:tcPr>
          <w:p w14:paraId="5E42200B" w14:textId="77777777" w:rsidR="00BB2CB4" w:rsidRPr="00222C32" w:rsidRDefault="00BB2CB4">
            <w:pPr>
              <w:pStyle w:val="AgencyName"/>
              <w:keepNext/>
            </w:pPr>
          </w:p>
        </w:tc>
        <w:tc>
          <w:tcPr>
            <w:tcW w:w="1044" w:type="dxa"/>
            <w:tcBorders>
              <w:top w:val="single" w:sz="4" w:space="0" w:color="293F5B"/>
              <w:bottom w:val="nil"/>
            </w:tcBorders>
          </w:tcPr>
          <w:p w14:paraId="29D41EF0" w14:textId="77777777" w:rsidR="00BB2CB4" w:rsidRPr="00222C32" w:rsidRDefault="00BB2CB4">
            <w:pPr>
              <w:pStyle w:val="AgencyName"/>
              <w:keepNext/>
            </w:pPr>
          </w:p>
        </w:tc>
        <w:tc>
          <w:tcPr>
            <w:tcW w:w="1044" w:type="dxa"/>
            <w:tcBorders>
              <w:top w:val="single" w:sz="4" w:space="0" w:color="293F5B"/>
              <w:bottom w:val="nil"/>
            </w:tcBorders>
          </w:tcPr>
          <w:p w14:paraId="49B3A7F7" w14:textId="77777777" w:rsidR="00BB2CB4" w:rsidRPr="00222C32" w:rsidRDefault="00BB2CB4">
            <w:pPr>
              <w:pStyle w:val="AgencyName"/>
              <w:keepNext/>
            </w:pPr>
          </w:p>
        </w:tc>
      </w:tr>
      <w:tr w:rsidR="00BB2CB4" w:rsidRPr="00222C32" w14:paraId="272B059D" w14:textId="77777777" w:rsidTr="00825163">
        <w:tc>
          <w:tcPr>
            <w:tcW w:w="2501" w:type="dxa"/>
            <w:tcBorders>
              <w:top w:val="nil"/>
              <w:bottom w:val="single" w:sz="4" w:space="0" w:color="293F5B"/>
            </w:tcBorders>
          </w:tcPr>
          <w:p w14:paraId="7DFF4858" w14:textId="77777777" w:rsidR="00BB2CB4" w:rsidRPr="00222C32" w:rsidRDefault="000674DA">
            <w:pPr>
              <w:pStyle w:val="AgencyNamewith2ptsspacing"/>
              <w:keepNext/>
            </w:pPr>
            <w:r w:rsidRPr="00222C32">
              <w:t>Department of the Treasury</w:t>
            </w:r>
          </w:p>
        </w:tc>
        <w:tc>
          <w:tcPr>
            <w:tcW w:w="1044" w:type="dxa"/>
            <w:tcBorders>
              <w:top w:val="nil"/>
              <w:bottom w:val="single" w:sz="4" w:space="0" w:color="293F5B"/>
            </w:tcBorders>
          </w:tcPr>
          <w:p w14:paraId="45874DFB"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2C77351"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89FE229" w14:textId="77777777" w:rsidR="00BB2CB4" w:rsidRPr="00222C32" w:rsidRDefault="000674DA">
            <w:pPr>
              <w:pStyle w:val="Measuretabledatarightaligneditalics"/>
              <w:keepNext/>
            </w:pPr>
            <w:r w:rsidRPr="00222C32">
              <w:t>-5.0</w:t>
            </w:r>
          </w:p>
        </w:tc>
        <w:tc>
          <w:tcPr>
            <w:tcW w:w="1044" w:type="dxa"/>
            <w:tcBorders>
              <w:top w:val="nil"/>
              <w:bottom w:val="single" w:sz="4" w:space="0" w:color="293F5B"/>
            </w:tcBorders>
          </w:tcPr>
          <w:p w14:paraId="58B422EC" w14:textId="77777777" w:rsidR="00BB2CB4" w:rsidRPr="00222C32" w:rsidRDefault="000674DA">
            <w:pPr>
              <w:pStyle w:val="Measuretabledatarightaligneditalics"/>
              <w:keepNext/>
            </w:pPr>
            <w:r w:rsidRPr="00222C32">
              <w:t>-5.0</w:t>
            </w:r>
          </w:p>
        </w:tc>
        <w:tc>
          <w:tcPr>
            <w:tcW w:w="1044" w:type="dxa"/>
            <w:tcBorders>
              <w:top w:val="nil"/>
              <w:bottom w:val="single" w:sz="4" w:space="0" w:color="293F5B"/>
            </w:tcBorders>
          </w:tcPr>
          <w:p w14:paraId="11ACA462" w14:textId="77777777" w:rsidR="00BB2CB4" w:rsidRPr="00222C32" w:rsidRDefault="000674DA">
            <w:pPr>
              <w:pStyle w:val="Measuretabledatarightaligneditalics"/>
              <w:keepNext/>
            </w:pPr>
            <w:r w:rsidRPr="00222C32">
              <w:t>-10.0</w:t>
            </w:r>
          </w:p>
        </w:tc>
      </w:tr>
    </w:tbl>
    <w:p w14:paraId="52941F52" w14:textId="77777777" w:rsidR="00FD4461" w:rsidRDefault="00FD4461" w:rsidP="00FD4461">
      <w:pPr>
        <w:pStyle w:val="SingleParagraph"/>
      </w:pPr>
    </w:p>
    <w:p w14:paraId="1C428E5E" w14:textId="3F127DF8" w:rsidR="00BB2CB4" w:rsidRDefault="000674DA">
      <w:pPr>
        <w:pStyle w:val="Normal2"/>
      </w:pPr>
      <w:r>
        <w:t>The Government increased the Visa Application Charge for primary student and student guardian visa applicants to $2,000, excluding eligible Pacific Island and Timor</w:t>
      </w:r>
      <w:r w:rsidR="00954484">
        <w:t>-</w:t>
      </w:r>
      <w:r>
        <w:t>Leste applicants, which took effect on 1 July 2025.</w:t>
      </w:r>
    </w:p>
    <w:p w14:paraId="405C7654" w14:textId="77777777" w:rsidR="00BB2CB4" w:rsidRDefault="000674DA">
      <w:pPr>
        <w:pStyle w:val="Normal2"/>
      </w:pPr>
      <w:r>
        <w:t>This measure is estimated to increase receipts by $740.0 million and decrease GST payments to the states and territories by $20.0 million over five years from 2024–‍25.</w:t>
      </w:r>
    </w:p>
    <w:p w14:paraId="3634479D" w14:textId="6010D92B" w:rsidR="00BB2CB4" w:rsidRDefault="000674DA">
      <w:pPr>
        <w:pStyle w:val="Normal2"/>
      </w:pPr>
      <w:r>
        <w:t>This measure delivers on the Government</w:t>
      </w:r>
      <w:r w:rsidR="00222C32">
        <w:t>’</w:t>
      </w:r>
      <w:r>
        <w:t>s election commitment made during the 2025</w:t>
      </w:r>
      <w:r w:rsidR="00C66B6B">
        <w:t> </w:t>
      </w:r>
      <w:r>
        <w:t>federal election.</w:t>
      </w:r>
    </w:p>
    <w:p w14:paraId="0EAC1660" w14:textId="77777777" w:rsidR="00BB2CB4" w:rsidRDefault="000674DA">
      <w:pPr>
        <w:pStyle w:val="MeasureTitle"/>
      </w:pPr>
      <w:r>
        <w:lastRenderedPageBreak/>
        <w:t>Permanent Migration Program – 2025–26 planning levels</w:t>
      </w:r>
    </w:p>
    <w:p w14:paraId="7AE30729"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57F1982" w14:textId="77777777" w:rsidTr="00825163">
        <w:tc>
          <w:tcPr>
            <w:tcW w:w="2501" w:type="dxa"/>
            <w:tcBorders>
              <w:top w:val="single" w:sz="4" w:space="0" w:color="293F5B"/>
              <w:bottom w:val="single" w:sz="4" w:space="0" w:color="293F5B"/>
            </w:tcBorders>
          </w:tcPr>
          <w:p w14:paraId="7296A92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8E32CE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E3F8D7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723C4E2"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244EF1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99508CA" w14:textId="77777777" w:rsidR="00BB2CB4" w:rsidRPr="00222C32" w:rsidRDefault="000674DA">
            <w:pPr>
              <w:pStyle w:val="MeasureTableYearHeadings"/>
              <w:keepNext/>
            </w:pPr>
            <w:r w:rsidRPr="00222C32">
              <w:t>2028-29</w:t>
            </w:r>
          </w:p>
        </w:tc>
      </w:tr>
      <w:tr w:rsidR="00BB2CB4" w:rsidRPr="00222C32" w14:paraId="190CED23" w14:textId="77777777" w:rsidTr="00825163">
        <w:tc>
          <w:tcPr>
            <w:tcW w:w="2501" w:type="dxa"/>
            <w:tcBorders>
              <w:top w:val="single" w:sz="4" w:space="0" w:color="293F5B"/>
              <w:bottom w:val="single" w:sz="4" w:space="0" w:color="293F5B"/>
            </w:tcBorders>
          </w:tcPr>
          <w:p w14:paraId="480247D3"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1A8A3AF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404593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5DE694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07945F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77D32A5" w14:textId="77777777" w:rsidR="00BB2CB4" w:rsidRPr="00222C32" w:rsidRDefault="000674DA">
            <w:pPr>
              <w:pStyle w:val="MeasureTableDataRightAlignedwith2ptsspacing"/>
              <w:keepNext/>
            </w:pPr>
            <w:r w:rsidRPr="00222C32">
              <w:t>..</w:t>
            </w:r>
          </w:p>
        </w:tc>
      </w:tr>
      <w:tr w:rsidR="00BB2CB4" w:rsidRPr="00222C32" w14:paraId="0C56FE51" w14:textId="77777777" w:rsidTr="00825163">
        <w:tc>
          <w:tcPr>
            <w:tcW w:w="2501" w:type="dxa"/>
            <w:tcBorders>
              <w:top w:val="single" w:sz="4" w:space="0" w:color="293F5B"/>
              <w:bottom w:val="single" w:sz="4" w:space="0" w:color="293F5B"/>
            </w:tcBorders>
          </w:tcPr>
          <w:p w14:paraId="1FF221AC"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270281A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6359A8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176B86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28C8B6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4CCB561" w14:textId="77777777" w:rsidR="00BB2CB4" w:rsidRPr="00222C32" w:rsidRDefault="000674DA">
            <w:pPr>
              <w:pStyle w:val="MeasureTableDataRightAlignedwith2ptsspacing"/>
              <w:keepNext/>
            </w:pPr>
            <w:r w:rsidRPr="00222C32">
              <w:t>..</w:t>
            </w:r>
          </w:p>
        </w:tc>
      </w:tr>
      <w:tr w:rsidR="00BB2CB4" w:rsidRPr="00222C32" w14:paraId="2C568B28" w14:textId="77777777" w:rsidTr="00825163">
        <w:tc>
          <w:tcPr>
            <w:tcW w:w="2501" w:type="dxa"/>
            <w:tcBorders>
              <w:top w:val="single" w:sz="4" w:space="0" w:color="293F5B"/>
              <w:bottom w:val="single" w:sz="4" w:space="0" w:color="293F5B"/>
            </w:tcBorders>
          </w:tcPr>
          <w:p w14:paraId="0067261F" w14:textId="77777777" w:rsidR="00BB2CB4" w:rsidRPr="00222C32" w:rsidRDefault="000674DA">
            <w:pPr>
              <w:pStyle w:val="Totalrowleftaligned"/>
              <w:keepNext/>
            </w:pPr>
            <w:r w:rsidRPr="00222C32">
              <w:t>Total – Receipts</w:t>
            </w:r>
          </w:p>
        </w:tc>
        <w:tc>
          <w:tcPr>
            <w:tcW w:w="1044" w:type="dxa"/>
            <w:tcBorders>
              <w:top w:val="single" w:sz="4" w:space="0" w:color="293F5B"/>
              <w:bottom w:val="single" w:sz="4" w:space="0" w:color="293F5B"/>
            </w:tcBorders>
          </w:tcPr>
          <w:p w14:paraId="102E2BB0"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564EA9CC" w14:textId="01683FC9" w:rsidR="00BB2CB4" w:rsidRPr="00222C32" w:rsidRDefault="00FE4BA2">
            <w:pPr>
              <w:pStyle w:val="Totaldatarowrightaligned"/>
              <w:keepNext/>
            </w:pPr>
            <w:r>
              <w:t>..</w:t>
            </w:r>
          </w:p>
        </w:tc>
        <w:tc>
          <w:tcPr>
            <w:tcW w:w="1044" w:type="dxa"/>
            <w:tcBorders>
              <w:top w:val="single" w:sz="4" w:space="0" w:color="293F5B"/>
              <w:bottom w:val="single" w:sz="4" w:space="0" w:color="293F5B"/>
            </w:tcBorders>
          </w:tcPr>
          <w:p w14:paraId="22D4DB6C" w14:textId="1763AA7C" w:rsidR="00BB2CB4" w:rsidRPr="00222C32" w:rsidRDefault="00FE4BA2">
            <w:pPr>
              <w:pStyle w:val="Totaldatarowrightaligned"/>
              <w:keepNext/>
            </w:pPr>
            <w:r>
              <w:t>..</w:t>
            </w:r>
          </w:p>
        </w:tc>
        <w:tc>
          <w:tcPr>
            <w:tcW w:w="1044" w:type="dxa"/>
            <w:tcBorders>
              <w:top w:val="single" w:sz="4" w:space="0" w:color="293F5B"/>
              <w:bottom w:val="single" w:sz="4" w:space="0" w:color="293F5B"/>
            </w:tcBorders>
          </w:tcPr>
          <w:p w14:paraId="5AF281E5" w14:textId="65900DD2" w:rsidR="00BB2CB4" w:rsidRPr="00222C32" w:rsidRDefault="00FE4BA2">
            <w:pPr>
              <w:pStyle w:val="Totaldatarowrightaligned"/>
              <w:keepNext/>
            </w:pPr>
            <w:r>
              <w:t>..</w:t>
            </w:r>
          </w:p>
        </w:tc>
        <w:tc>
          <w:tcPr>
            <w:tcW w:w="1044" w:type="dxa"/>
            <w:tcBorders>
              <w:top w:val="single" w:sz="4" w:space="0" w:color="293F5B"/>
              <w:bottom w:val="single" w:sz="4" w:space="0" w:color="293F5B"/>
            </w:tcBorders>
          </w:tcPr>
          <w:p w14:paraId="246E08DB" w14:textId="626F0E29" w:rsidR="00BB2CB4" w:rsidRPr="00222C32" w:rsidRDefault="00FE4BA2">
            <w:pPr>
              <w:pStyle w:val="Totaldatarowrightaligned"/>
              <w:keepNext/>
            </w:pPr>
            <w:r>
              <w:t>..</w:t>
            </w:r>
          </w:p>
        </w:tc>
      </w:tr>
      <w:tr w:rsidR="00BB2CB4" w:rsidRPr="00222C32" w14:paraId="7CCA714E" w14:textId="77777777" w:rsidTr="00825163">
        <w:tc>
          <w:tcPr>
            <w:tcW w:w="2501" w:type="dxa"/>
            <w:tcBorders>
              <w:top w:val="single" w:sz="4" w:space="0" w:color="293F5B"/>
              <w:bottom w:val="nil"/>
            </w:tcBorders>
          </w:tcPr>
          <w:p w14:paraId="0F254FF5"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257915FD" w14:textId="77777777" w:rsidR="00BB2CB4" w:rsidRPr="00222C32" w:rsidRDefault="00BB2CB4">
            <w:pPr>
              <w:pStyle w:val="AgencyName"/>
              <w:keepNext/>
            </w:pPr>
          </w:p>
        </w:tc>
        <w:tc>
          <w:tcPr>
            <w:tcW w:w="1044" w:type="dxa"/>
            <w:tcBorders>
              <w:top w:val="single" w:sz="4" w:space="0" w:color="293F5B"/>
              <w:bottom w:val="nil"/>
            </w:tcBorders>
          </w:tcPr>
          <w:p w14:paraId="314D564A" w14:textId="77777777" w:rsidR="00BB2CB4" w:rsidRPr="00222C32" w:rsidRDefault="00BB2CB4">
            <w:pPr>
              <w:pStyle w:val="AgencyName"/>
              <w:keepNext/>
            </w:pPr>
          </w:p>
        </w:tc>
        <w:tc>
          <w:tcPr>
            <w:tcW w:w="1044" w:type="dxa"/>
            <w:tcBorders>
              <w:top w:val="single" w:sz="4" w:space="0" w:color="293F5B"/>
              <w:bottom w:val="nil"/>
            </w:tcBorders>
          </w:tcPr>
          <w:p w14:paraId="7EF42461" w14:textId="77777777" w:rsidR="00BB2CB4" w:rsidRPr="00222C32" w:rsidRDefault="00BB2CB4">
            <w:pPr>
              <w:pStyle w:val="AgencyName"/>
              <w:keepNext/>
            </w:pPr>
          </w:p>
        </w:tc>
        <w:tc>
          <w:tcPr>
            <w:tcW w:w="1044" w:type="dxa"/>
            <w:tcBorders>
              <w:top w:val="single" w:sz="4" w:space="0" w:color="293F5B"/>
              <w:bottom w:val="nil"/>
            </w:tcBorders>
          </w:tcPr>
          <w:p w14:paraId="772492B9" w14:textId="77777777" w:rsidR="00BB2CB4" w:rsidRPr="00222C32" w:rsidRDefault="00BB2CB4">
            <w:pPr>
              <w:pStyle w:val="AgencyName"/>
              <w:keepNext/>
            </w:pPr>
          </w:p>
        </w:tc>
        <w:tc>
          <w:tcPr>
            <w:tcW w:w="1044" w:type="dxa"/>
            <w:tcBorders>
              <w:top w:val="single" w:sz="4" w:space="0" w:color="293F5B"/>
              <w:bottom w:val="nil"/>
            </w:tcBorders>
          </w:tcPr>
          <w:p w14:paraId="511DBC37" w14:textId="77777777" w:rsidR="00BB2CB4" w:rsidRPr="00222C32" w:rsidRDefault="00BB2CB4">
            <w:pPr>
              <w:pStyle w:val="AgencyName"/>
              <w:keepNext/>
            </w:pPr>
          </w:p>
        </w:tc>
      </w:tr>
      <w:tr w:rsidR="00BB2CB4" w:rsidRPr="00222C32" w14:paraId="74CB1EF8" w14:textId="77777777" w:rsidTr="00825163">
        <w:tc>
          <w:tcPr>
            <w:tcW w:w="2501" w:type="dxa"/>
            <w:tcBorders>
              <w:top w:val="nil"/>
              <w:bottom w:val="single" w:sz="4" w:space="0" w:color="293F5B"/>
            </w:tcBorders>
          </w:tcPr>
          <w:p w14:paraId="7D69A9AE" w14:textId="77777777" w:rsidR="00BB2CB4" w:rsidRPr="00222C32" w:rsidRDefault="000674DA">
            <w:pPr>
              <w:pStyle w:val="AgencyNamewith2ptsspacing"/>
              <w:keepNext/>
            </w:pPr>
            <w:r w:rsidRPr="00222C32">
              <w:t>Department of Home Affairs</w:t>
            </w:r>
          </w:p>
        </w:tc>
        <w:tc>
          <w:tcPr>
            <w:tcW w:w="1044" w:type="dxa"/>
            <w:tcBorders>
              <w:top w:val="nil"/>
              <w:bottom w:val="single" w:sz="4" w:space="0" w:color="293F5B"/>
            </w:tcBorders>
          </w:tcPr>
          <w:p w14:paraId="599F6B3A"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3E16304" w14:textId="77777777" w:rsidR="00BB2CB4" w:rsidRPr="00222C32" w:rsidRDefault="000674DA">
            <w:pPr>
              <w:pStyle w:val="Measuretabledatarightaligneditalics"/>
              <w:keepNext/>
            </w:pPr>
            <w:r w:rsidRPr="00222C32">
              <w:t>1.5</w:t>
            </w:r>
          </w:p>
        </w:tc>
        <w:tc>
          <w:tcPr>
            <w:tcW w:w="1044" w:type="dxa"/>
            <w:tcBorders>
              <w:top w:val="nil"/>
              <w:bottom w:val="single" w:sz="4" w:space="0" w:color="293F5B"/>
            </w:tcBorders>
          </w:tcPr>
          <w:p w14:paraId="08A06D38" w14:textId="77777777" w:rsidR="00BB2CB4" w:rsidRPr="00222C32" w:rsidRDefault="000674DA">
            <w:pPr>
              <w:pStyle w:val="Measuretabledatarightaligneditalics"/>
              <w:keepNext/>
            </w:pPr>
            <w:r w:rsidRPr="00222C32">
              <w:t>0.5</w:t>
            </w:r>
          </w:p>
        </w:tc>
        <w:tc>
          <w:tcPr>
            <w:tcW w:w="1044" w:type="dxa"/>
            <w:tcBorders>
              <w:top w:val="nil"/>
              <w:bottom w:val="single" w:sz="4" w:space="0" w:color="293F5B"/>
            </w:tcBorders>
          </w:tcPr>
          <w:p w14:paraId="0D8AABE1" w14:textId="77777777" w:rsidR="00BB2CB4" w:rsidRPr="00222C32" w:rsidRDefault="000674DA">
            <w:pPr>
              <w:pStyle w:val="Measuretabledatarightaligneditalics"/>
              <w:keepNext/>
            </w:pPr>
            <w:r w:rsidRPr="00222C32">
              <w:t>0.6</w:t>
            </w:r>
          </w:p>
        </w:tc>
        <w:tc>
          <w:tcPr>
            <w:tcW w:w="1044" w:type="dxa"/>
            <w:tcBorders>
              <w:top w:val="nil"/>
              <w:bottom w:val="single" w:sz="4" w:space="0" w:color="293F5B"/>
            </w:tcBorders>
          </w:tcPr>
          <w:p w14:paraId="1BF08280" w14:textId="77777777" w:rsidR="00BB2CB4" w:rsidRPr="00222C32" w:rsidRDefault="000674DA">
            <w:pPr>
              <w:pStyle w:val="Measuretabledatarightaligneditalics"/>
              <w:keepNext/>
            </w:pPr>
            <w:r w:rsidRPr="00222C32">
              <w:t>0.6</w:t>
            </w:r>
          </w:p>
        </w:tc>
      </w:tr>
      <w:tr w:rsidR="00BB2CB4" w:rsidRPr="00222C32" w14:paraId="7513CA21" w14:textId="77777777" w:rsidTr="00825163">
        <w:tc>
          <w:tcPr>
            <w:tcW w:w="2501" w:type="dxa"/>
            <w:tcBorders>
              <w:top w:val="single" w:sz="4" w:space="0" w:color="293F5B"/>
              <w:bottom w:val="single" w:sz="4" w:space="0" w:color="293F5B"/>
            </w:tcBorders>
          </w:tcPr>
          <w:p w14:paraId="2F701252" w14:textId="77777777" w:rsidR="00BB2CB4" w:rsidRPr="00222C32" w:rsidRDefault="000674DA">
            <w:pPr>
              <w:pStyle w:val="AgencyNamewith2ptsspacing"/>
              <w:keepNext/>
            </w:pPr>
            <w:r w:rsidRPr="00222C32">
              <w:t>Department of Social Services</w:t>
            </w:r>
          </w:p>
        </w:tc>
        <w:tc>
          <w:tcPr>
            <w:tcW w:w="1044" w:type="dxa"/>
            <w:tcBorders>
              <w:top w:val="single" w:sz="4" w:space="0" w:color="293F5B"/>
              <w:bottom w:val="single" w:sz="4" w:space="0" w:color="293F5B"/>
            </w:tcBorders>
          </w:tcPr>
          <w:p w14:paraId="797BA1F0"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17005F56" w14:textId="77777777" w:rsidR="00BB2CB4" w:rsidRPr="00222C32" w:rsidRDefault="000674DA">
            <w:pPr>
              <w:pStyle w:val="Measuretabledatarightaligneditalics"/>
              <w:keepNext/>
            </w:pPr>
            <w:r w:rsidRPr="00222C32">
              <w:t>0.6</w:t>
            </w:r>
          </w:p>
        </w:tc>
        <w:tc>
          <w:tcPr>
            <w:tcW w:w="1044" w:type="dxa"/>
            <w:tcBorders>
              <w:top w:val="single" w:sz="4" w:space="0" w:color="293F5B"/>
              <w:bottom w:val="single" w:sz="4" w:space="0" w:color="293F5B"/>
            </w:tcBorders>
          </w:tcPr>
          <w:p w14:paraId="0456367F" w14:textId="77777777" w:rsidR="00BB2CB4" w:rsidRPr="00222C32" w:rsidRDefault="000674DA">
            <w:pPr>
              <w:pStyle w:val="Measuretabledatarightaligneditalics"/>
              <w:keepNext/>
            </w:pPr>
            <w:r w:rsidRPr="00222C32">
              <w:t>1.2</w:t>
            </w:r>
          </w:p>
        </w:tc>
        <w:tc>
          <w:tcPr>
            <w:tcW w:w="1044" w:type="dxa"/>
            <w:tcBorders>
              <w:top w:val="single" w:sz="4" w:space="0" w:color="293F5B"/>
              <w:bottom w:val="single" w:sz="4" w:space="0" w:color="293F5B"/>
            </w:tcBorders>
          </w:tcPr>
          <w:p w14:paraId="7A7547DA" w14:textId="77777777" w:rsidR="00BB2CB4" w:rsidRPr="00222C32" w:rsidRDefault="000674DA">
            <w:pPr>
              <w:pStyle w:val="Measuretabledatarightaligneditalics"/>
              <w:keepNext/>
            </w:pPr>
            <w:r w:rsidRPr="00222C32">
              <w:t>1.6</w:t>
            </w:r>
          </w:p>
        </w:tc>
        <w:tc>
          <w:tcPr>
            <w:tcW w:w="1044" w:type="dxa"/>
            <w:tcBorders>
              <w:top w:val="single" w:sz="4" w:space="0" w:color="293F5B"/>
              <w:bottom w:val="single" w:sz="4" w:space="0" w:color="293F5B"/>
            </w:tcBorders>
          </w:tcPr>
          <w:p w14:paraId="00526C5D" w14:textId="77777777" w:rsidR="00BB2CB4" w:rsidRPr="00222C32" w:rsidRDefault="000674DA">
            <w:pPr>
              <w:pStyle w:val="Measuretabledatarightaligneditalics"/>
              <w:keepNext/>
            </w:pPr>
            <w:r w:rsidRPr="00222C32">
              <w:t>1.8</w:t>
            </w:r>
          </w:p>
        </w:tc>
      </w:tr>
      <w:tr w:rsidR="00BB2CB4" w:rsidRPr="00222C32" w14:paraId="1064DCA0" w14:textId="77777777" w:rsidTr="00825163">
        <w:tc>
          <w:tcPr>
            <w:tcW w:w="2501" w:type="dxa"/>
            <w:tcBorders>
              <w:top w:val="single" w:sz="4" w:space="0" w:color="293F5B"/>
              <w:bottom w:val="single" w:sz="4" w:space="0" w:color="293F5B"/>
            </w:tcBorders>
          </w:tcPr>
          <w:p w14:paraId="133E437C" w14:textId="77777777" w:rsidR="00BB2CB4" w:rsidRPr="00222C32" w:rsidRDefault="000674DA">
            <w:pPr>
              <w:pStyle w:val="AgencyNamewith2ptsspacing"/>
              <w:keepNext/>
            </w:pPr>
            <w:r w:rsidRPr="00222C32">
              <w:t>Services Australia</w:t>
            </w:r>
          </w:p>
        </w:tc>
        <w:tc>
          <w:tcPr>
            <w:tcW w:w="1044" w:type="dxa"/>
            <w:tcBorders>
              <w:top w:val="single" w:sz="4" w:space="0" w:color="293F5B"/>
              <w:bottom w:val="single" w:sz="4" w:space="0" w:color="293F5B"/>
            </w:tcBorders>
          </w:tcPr>
          <w:p w14:paraId="56AFB8B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2E4D7DE6"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6DE3B658"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3D74D59"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5BF2115" w14:textId="77777777" w:rsidR="00BB2CB4" w:rsidRPr="00222C32" w:rsidRDefault="000674DA">
            <w:pPr>
              <w:pStyle w:val="Measuretabledatarightaligneditalics"/>
              <w:keepNext/>
            </w:pPr>
            <w:r w:rsidRPr="00222C32">
              <w:t>..</w:t>
            </w:r>
          </w:p>
        </w:tc>
      </w:tr>
      <w:tr w:rsidR="00BB2CB4" w:rsidRPr="00222C32" w14:paraId="331BD6EF" w14:textId="77777777" w:rsidTr="00825163">
        <w:tc>
          <w:tcPr>
            <w:tcW w:w="2501" w:type="dxa"/>
            <w:tcBorders>
              <w:top w:val="single" w:sz="4" w:space="0" w:color="293F5B"/>
              <w:bottom w:val="single" w:sz="4" w:space="0" w:color="293F5B"/>
            </w:tcBorders>
          </w:tcPr>
          <w:p w14:paraId="0870B03C" w14:textId="77777777" w:rsidR="00BB2CB4" w:rsidRPr="00222C32" w:rsidRDefault="000674DA">
            <w:pPr>
              <w:pStyle w:val="AgencyNamewith2ptsspacing"/>
              <w:keepNext/>
            </w:pPr>
            <w:r w:rsidRPr="00222C32">
              <w:t>Department of Health, Disability and Ageing</w:t>
            </w:r>
          </w:p>
        </w:tc>
        <w:tc>
          <w:tcPr>
            <w:tcW w:w="1044" w:type="dxa"/>
            <w:tcBorders>
              <w:top w:val="single" w:sz="4" w:space="0" w:color="293F5B"/>
              <w:bottom w:val="single" w:sz="4" w:space="0" w:color="293F5B"/>
            </w:tcBorders>
          </w:tcPr>
          <w:p w14:paraId="6625938F"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A9AC3C5"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2E5528D8"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140CBCDD"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7B62E52" w14:textId="77777777" w:rsidR="00BB2CB4" w:rsidRPr="00222C32" w:rsidRDefault="000674DA">
            <w:pPr>
              <w:pStyle w:val="Measuretabledatarightaligneditalics"/>
              <w:keepNext/>
            </w:pPr>
            <w:r w:rsidRPr="00222C32">
              <w:t>..</w:t>
            </w:r>
          </w:p>
        </w:tc>
      </w:tr>
      <w:tr w:rsidR="00BB2CB4" w:rsidRPr="00222C32" w14:paraId="2EAD6562" w14:textId="77777777" w:rsidTr="00825163">
        <w:tc>
          <w:tcPr>
            <w:tcW w:w="2501" w:type="dxa"/>
            <w:tcBorders>
              <w:top w:val="single" w:sz="4" w:space="0" w:color="293F5B"/>
              <w:bottom w:val="single" w:sz="4" w:space="0" w:color="293F5B"/>
            </w:tcBorders>
          </w:tcPr>
          <w:p w14:paraId="4E114BD1" w14:textId="77777777" w:rsidR="00BB2CB4" w:rsidRPr="00222C32" w:rsidRDefault="000674DA">
            <w:pPr>
              <w:pStyle w:val="AgencyNamewith2ptsspacing"/>
              <w:keepNext/>
            </w:pPr>
            <w:r w:rsidRPr="00222C32">
              <w:t>Department of Employment and Workplace Relations</w:t>
            </w:r>
          </w:p>
        </w:tc>
        <w:tc>
          <w:tcPr>
            <w:tcW w:w="1044" w:type="dxa"/>
            <w:tcBorders>
              <w:top w:val="single" w:sz="4" w:space="0" w:color="293F5B"/>
              <w:bottom w:val="single" w:sz="4" w:space="0" w:color="293F5B"/>
            </w:tcBorders>
          </w:tcPr>
          <w:p w14:paraId="08966539"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CB5FC7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CA278DB"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003426D"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8181368" w14:textId="77777777" w:rsidR="00BB2CB4" w:rsidRPr="00222C32" w:rsidRDefault="000674DA">
            <w:pPr>
              <w:pStyle w:val="Measuretabledatarightaligneditalics"/>
              <w:keepNext/>
            </w:pPr>
            <w:r w:rsidRPr="00222C32">
              <w:t>..</w:t>
            </w:r>
          </w:p>
        </w:tc>
      </w:tr>
      <w:tr w:rsidR="00BB2CB4" w:rsidRPr="00222C32" w14:paraId="35736B4D" w14:textId="77777777" w:rsidTr="00825163">
        <w:tc>
          <w:tcPr>
            <w:tcW w:w="2501" w:type="dxa"/>
            <w:tcBorders>
              <w:top w:val="single" w:sz="4" w:space="0" w:color="293F5B"/>
              <w:bottom w:val="single" w:sz="4" w:space="0" w:color="293F5B"/>
            </w:tcBorders>
          </w:tcPr>
          <w:p w14:paraId="4D1729F5" w14:textId="77777777" w:rsidR="00BB2CB4" w:rsidRPr="00222C32" w:rsidRDefault="000674DA">
            <w:pPr>
              <w:pStyle w:val="AgencyNamewith2ptsspacing"/>
              <w:keepNext/>
            </w:pPr>
            <w:r w:rsidRPr="00222C32">
              <w:t>National Disability Insurance Agency</w:t>
            </w:r>
          </w:p>
        </w:tc>
        <w:tc>
          <w:tcPr>
            <w:tcW w:w="1044" w:type="dxa"/>
            <w:tcBorders>
              <w:top w:val="single" w:sz="4" w:space="0" w:color="293F5B"/>
              <w:bottom w:val="single" w:sz="4" w:space="0" w:color="293F5B"/>
            </w:tcBorders>
          </w:tcPr>
          <w:p w14:paraId="0CB16F2E"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E02DCA7"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1ED7BB3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53566C6" w14:textId="77777777" w:rsidR="00BB2CB4" w:rsidRPr="00222C32" w:rsidRDefault="000674DA">
            <w:pPr>
              <w:pStyle w:val="Measuretabledatarightaligneditalics"/>
              <w:keepNext/>
            </w:pPr>
            <w:r w:rsidRPr="00222C32">
              <w:t>-0.1</w:t>
            </w:r>
          </w:p>
        </w:tc>
        <w:tc>
          <w:tcPr>
            <w:tcW w:w="1044" w:type="dxa"/>
            <w:tcBorders>
              <w:top w:val="single" w:sz="4" w:space="0" w:color="293F5B"/>
              <w:bottom w:val="single" w:sz="4" w:space="0" w:color="293F5B"/>
            </w:tcBorders>
          </w:tcPr>
          <w:p w14:paraId="7CB48C33" w14:textId="77777777" w:rsidR="00BB2CB4" w:rsidRPr="00222C32" w:rsidRDefault="000674DA">
            <w:pPr>
              <w:pStyle w:val="Measuretabledatarightaligneditalics"/>
              <w:keepNext/>
            </w:pPr>
            <w:r w:rsidRPr="00222C32">
              <w:t>-0.1</w:t>
            </w:r>
          </w:p>
        </w:tc>
      </w:tr>
      <w:tr w:rsidR="00BB2CB4" w:rsidRPr="00222C32" w14:paraId="513501E4" w14:textId="77777777" w:rsidTr="00825163">
        <w:tc>
          <w:tcPr>
            <w:tcW w:w="2501" w:type="dxa"/>
            <w:tcBorders>
              <w:top w:val="single" w:sz="4" w:space="0" w:color="293F5B"/>
              <w:bottom w:val="single" w:sz="4" w:space="0" w:color="293F5B"/>
            </w:tcBorders>
          </w:tcPr>
          <w:p w14:paraId="27E83CAB" w14:textId="77777777" w:rsidR="00BB2CB4" w:rsidRPr="00222C32" w:rsidRDefault="000674DA">
            <w:pPr>
              <w:pStyle w:val="AgencyNamewith2ptsspacing"/>
              <w:keepNext/>
            </w:pPr>
            <w:r w:rsidRPr="00222C32">
              <w:t>Department of Education</w:t>
            </w:r>
          </w:p>
        </w:tc>
        <w:tc>
          <w:tcPr>
            <w:tcW w:w="1044" w:type="dxa"/>
            <w:tcBorders>
              <w:top w:val="single" w:sz="4" w:space="0" w:color="293F5B"/>
              <w:bottom w:val="single" w:sz="4" w:space="0" w:color="293F5B"/>
            </w:tcBorders>
          </w:tcPr>
          <w:p w14:paraId="136C41D8"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B26A727" w14:textId="77777777" w:rsidR="00BB2CB4" w:rsidRPr="00222C32" w:rsidRDefault="000674DA">
            <w:pPr>
              <w:pStyle w:val="Measuretabledatarightaligneditalics"/>
              <w:keepNext/>
            </w:pPr>
            <w:r w:rsidRPr="00222C32">
              <w:t>-0.1</w:t>
            </w:r>
          </w:p>
        </w:tc>
        <w:tc>
          <w:tcPr>
            <w:tcW w:w="1044" w:type="dxa"/>
            <w:tcBorders>
              <w:top w:val="single" w:sz="4" w:space="0" w:color="293F5B"/>
              <w:bottom w:val="single" w:sz="4" w:space="0" w:color="293F5B"/>
            </w:tcBorders>
          </w:tcPr>
          <w:p w14:paraId="54E75909" w14:textId="77777777" w:rsidR="00BB2CB4" w:rsidRPr="00222C32" w:rsidRDefault="000674DA">
            <w:pPr>
              <w:pStyle w:val="Measuretabledatarightaligneditalics"/>
              <w:keepNext/>
            </w:pPr>
            <w:r w:rsidRPr="00222C32">
              <w:t>-0.5</w:t>
            </w:r>
          </w:p>
        </w:tc>
        <w:tc>
          <w:tcPr>
            <w:tcW w:w="1044" w:type="dxa"/>
            <w:tcBorders>
              <w:top w:val="single" w:sz="4" w:space="0" w:color="293F5B"/>
              <w:bottom w:val="single" w:sz="4" w:space="0" w:color="293F5B"/>
            </w:tcBorders>
          </w:tcPr>
          <w:p w14:paraId="4A4F8E41" w14:textId="77777777" w:rsidR="00BB2CB4" w:rsidRPr="00222C32" w:rsidRDefault="000674DA">
            <w:pPr>
              <w:pStyle w:val="Measuretabledatarightaligneditalics"/>
              <w:keepNext/>
            </w:pPr>
            <w:r w:rsidRPr="00222C32">
              <w:t>-0.5</w:t>
            </w:r>
          </w:p>
        </w:tc>
        <w:tc>
          <w:tcPr>
            <w:tcW w:w="1044" w:type="dxa"/>
            <w:tcBorders>
              <w:top w:val="single" w:sz="4" w:space="0" w:color="293F5B"/>
              <w:bottom w:val="single" w:sz="4" w:space="0" w:color="293F5B"/>
            </w:tcBorders>
          </w:tcPr>
          <w:p w14:paraId="6911213D" w14:textId="77777777" w:rsidR="00BB2CB4" w:rsidRPr="00222C32" w:rsidRDefault="000674DA">
            <w:pPr>
              <w:pStyle w:val="Measuretabledatarightaligneditalics"/>
              <w:keepNext/>
            </w:pPr>
            <w:r w:rsidRPr="00222C32">
              <w:t>-0.5</w:t>
            </w:r>
          </w:p>
        </w:tc>
      </w:tr>
      <w:tr w:rsidR="00BB2CB4" w:rsidRPr="00222C32" w14:paraId="5D03A092" w14:textId="77777777" w:rsidTr="00825163">
        <w:tc>
          <w:tcPr>
            <w:tcW w:w="2501" w:type="dxa"/>
            <w:tcBorders>
              <w:top w:val="single" w:sz="4" w:space="0" w:color="293F5B"/>
              <w:bottom w:val="single" w:sz="4" w:space="0" w:color="293F5B"/>
            </w:tcBorders>
          </w:tcPr>
          <w:p w14:paraId="799674C5" w14:textId="77777777" w:rsidR="00BB2CB4" w:rsidRPr="00222C32" w:rsidRDefault="000674DA">
            <w:pPr>
              <w:pStyle w:val="AgencyNamewith2ptsspacing"/>
              <w:keepNext/>
            </w:pPr>
            <w:r w:rsidRPr="00222C32">
              <w:t>Department of the Treasury</w:t>
            </w:r>
          </w:p>
        </w:tc>
        <w:tc>
          <w:tcPr>
            <w:tcW w:w="1044" w:type="dxa"/>
            <w:tcBorders>
              <w:top w:val="single" w:sz="4" w:space="0" w:color="293F5B"/>
              <w:bottom w:val="single" w:sz="4" w:space="0" w:color="293F5B"/>
            </w:tcBorders>
          </w:tcPr>
          <w:p w14:paraId="1C0AADD1"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60BAF554"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7F627F8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0C2C94B"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BB0E9BC" w14:textId="77777777" w:rsidR="00BB2CB4" w:rsidRPr="00222C32" w:rsidRDefault="000674DA">
            <w:pPr>
              <w:pStyle w:val="Measuretabledatarightaligneditalics"/>
              <w:keepNext/>
            </w:pPr>
            <w:r w:rsidRPr="00222C32">
              <w:t>..</w:t>
            </w:r>
          </w:p>
        </w:tc>
      </w:tr>
      <w:tr w:rsidR="00BB2CB4" w:rsidRPr="00222C32" w14:paraId="07F27520" w14:textId="77777777" w:rsidTr="00825163">
        <w:tc>
          <w:tcPr>
            <w:tcW w:w="2501" w:type="dxa"/>
            <w:tcBorders>
              <w:top w:val="single" w:sz="4" w:space="0" w:color="293F5B"/>
              <w:bottom w:val="single" w:sz="4" w:space="0" w:color="293F5B"/>
            </w:tcBorders>
          </w:tcPr>
          <w:p w14:paraId="6F33ED15" w14:textId="77777777" w:rsidR="00BB2CB4" w:rsidRPr="00222C32" w:rsidRDefault="000674DA">
            <w:pPr>
              <w:pStyle w:val="Totalrowitalicsleftaligned"/>
              <w:keepNext/>
            </w:pPr>
            <w:r w:rsidRPr="00222C32">
              <w:t>Total – Payments</w:t>
            </w:r>
          </w:p>
        </w:tc>
        <w:tc>
          <w:tcPr>
            <w:tcW w:w="1044" w:type="dxa"/>
            <w:tcBorders>
              <w:top w:val="single" w:sz="4" w:space="0" w:color="293F5B"/>
              <w:bottom w:val="single" w:sz="4" w:space="0" w:color="293F5B"/>
            </w:tcBorders>
          </w:tcPr>
          <w:p w14:paraId="361B3BFC"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DD9080A" w14:textId="77777777" w:rsidR="00BB2CB4" w:rsidRPr="00222C32" w:rsidRDefault="000674DA">
            <w:pPr>
              <w:pStyle w:val="Measuretabledatarightaligneditalics"/>
              <w:keepNext/>
            </w:pPr>
            <w:r w:rsidRPr="00222C32">
              <w:t>1.9</w:t>
            </w:r>
          </w:p>
        </w:tc>
        <w:tc>
          <w:tcPr>
            <w:tcW w:w="1044" w:type="dxa"/>
            <w:tcBorders>
              <w:top w:val="single" w:sz="4" w:space="0" w:color="293F5B"/>
              <w:bottom w:val="single" w:sz="4" w:space="0" w:color="293F5B"/>
            </w:tcBorders>
          </w:tcPr>
          <w:p w14:paraId="1A164B24" w14:textId="77777777" w:rsidR="00BB2CB4" w:rsidRPr="00222C32" w:rsidRDefault="000674DA">
            <w:pPr>
              <w:pStyle w:val="Measuretabledatarightaligneditalics"/>
              <w:keepNext/>
            </w:pPr>
            <w:r w:rsidRPr="00222C32">
              <w:t>1.2</w:t>
            </w:r>
          </w:p>
        </w:tc>
        <w:tc>
          <w:tcPr>
            <w:tcW w:w="1044" w:type="dxa"/>
            <w:tcBorders>
              <w:top w:val="single" w:sz="4" w:space="0" w:color="293F5B"/>
              <w:bottom w:val="single" w:sz="4" w:space="0" w:color="293F5B"/>
            </w:tcBorders>
          </w:tcPr>
          <w:p w14:paraId="644D5FF2" w14:textId="77777777" w:rsidR="00BB2CB4" w:rsidRPr="00222C32" w:rsidRDefault="000674DA">
            <w:pPr>
              <w:pStyle w:val="Measuretabledatarightaligneditalics"/>
              <w:keepNext/>
            </w:pPr>
            <w:r w:rsidRPr="00222C32">
              <w:t>1.6</w:t>
            </w:r>
          </w:p>
        </w:tc>
        <w:tc>
          <w:tcPr>
            <w:tcW w:w="1044" w:type="dxa"/>
            <w:tcBorders>
              <w:top w:val="single" w:sz="4" w:space="0" w:color="293F5B"/>
              <w:bottom w:val="single" w:sz="4" w:space="0" w:color="293F5B"/>
            </w:tcBorders>
          </w:tcPr>
          <w:p w14:paraId="0766A5C7" w14:textId="77777777" w:rsidR="00BB2CB4" w:rsidRPr="00222C32" w:rsidRDefault="000674DA">
            <w:pPr>
              <w:pStyle w:val="Measuretabledatarightaligneditalics"/>
              <w:keepNext/>
            </w:pPr>
            <w:r w:rsidRPr="00222C32">
              <w:t>1.8</w:t>
            </w:r>
          </w:p>
        </w:tc>
      </w:tr>
    </w:tbl>
    <w:p w14:paraId="4B66024C" w14:textId="77777777" w:rsidR="00A506BB" w:rsidRDefault="00A506BB" w:rsidP="00A506BB">
      <w:pPr>
        <w:pStyle w:val="SingleParagraph"/>
        <w:keepNext/>
      </w:pPr>
    </w:p>
    <w:p w14:paraId="10D124F5" w14:textId="43775A6D" w:rsidR="00BB2CB4" w:rsidRDefault="000674DA" w:rsidP="005B6066">
      <w:pPr>
        <w:pStyle w:val="Normal2"/>
        <w:keepNext/>
        <w:keepLines/>
      </w:pPr>
      <w:r w:rsidRPr="42F5CE43">
        <w:rPr>
          <w:lang w:val="en-US"/>
        </w:rPr>
        <w:t xml:space="preserve">The Government has set the 2025–‍26 </w:t>
      </w:r>
      <w:r w:rsidR="00F03C80">
        <w:rPr>
          <w:lang w:val="en-US"/>
        </w:rPr>
        <w:t>p</w:t>
      </w:r>
      <w:r w:rsidRPr="42F5CE43">
        <w:rPr>
          <w:lang w:val="en-US"/>
        </w:rPr>
        <w:t>ermanent Migration Program planning level at 185,000 places and allocated 132,200 places (around 70 per cent) to the skill stream, to improve the productive capacity of the economy and help address Australia</w:t>
      </w:r>
      <w:r w:rsidR="00222C32">
        <w:rPr>
          <w:lang w:val="en-US"/>
        </w:rPr>
        <w:t>’</w:t>
      </w:r>
      <w:r w:rsidRPr="42F5CE43">
        <w:rPr>
          <w:lang w:val="en-US"/>
        </w:rPr>
        <w:t>s long</w:t>
      </w:r>
      <w:r w:rsidR="00DA1194">
        <w:rPr>
          <w:lang w:val="en-US"/>
        </w:rPr>
        <w:t>-</w:t>
      </w:r>
      <w:r w:rsidRPr="42F5CE43">
        <w:rPr>
          <w:lang w:val="en-US"/>
        </w:rPr>
        <w:t xml:space="preserve">term skill needs. The 2025–‍26 </w:t>
      </w:r>
      <w:r w:rsidR="00F03C80">
        <w:rPr>
          <w:lang w:val="en-US"/>
        </w:rPr>
        <w:t>p</w:t>
      </w:r>
      <w:r w:rsidRPr="42F5CE43">
        <w:rPr>
          <w:lang w:val="en-US"/>
        </w:rPr>
        <w:t>ermanent Migration Program maintains the 2024–‍25 settings.</w:t>
      </w:r>
    </w:p>
    <w:p w14:paraId="42839110" w14:textId="77777777" w:rsidR="00BB2CB4" w:rsidRDefault="000674DA">
      <w:pPr>
        <w:pStyle w:val="Normal2"/>
      </w:pPr>
      <w:r>
        <w:t>This measure is estimated to result in a negligible increase in receipts and increase payments by $6.6 million over five years from 2024–‍25.</w:t>
      </w:r>
    </w:p>
    <w:p w14:paraId="4C60E648" w14:textId="77777777" w:rsidR="00BB2CB4" w:rsidRDefault="00BB2CB4">
      <w:pPr>
        <w:sectPr w:rsidR="00BB2CB4" w:rsidSect="00301ACF">
          <w:headerReference w:type="even" r:id="rId25"/>
          <w:headerReference w:type="default" r:id="rId26"/>
          <w:footerReference w:type="even" r:id="rId27"/>
          <w:footerReference w:type="default" r:id="rId28"/>
          <w:headerReference w:type="first" r:id="rId29"/>
          <w:footerReference w:type="first" r:id="rId30"/>
          <w:pgSz w:w="11906" w:h="16838" w:code="9"/>
          <w:pgMar w:top="2835" w:right="2098" w:bottom="2466" w:left="2098" w:header="1814" w:footer="1814" w:gutter="0"/>
          <w:cols w:space="720"/>
          <w:docGrid w:linePitch="272"/>
        </w:sectPr>
      </w:pPr>
    </w:p>
    <w:p w14:paraId="3C6F3F55" w14:textId="77777777" w:rsidR="00BB2CB4" w:rsidRDefault="000674DA" w:rsidP="00B0077E">
      <w:pPr>
        <w:pStyle w:val="PortfolioName"/>
        <w:spacing w:before="0"/>
      </w:pPr>
      <w:r w:rsidRPr="42F5CE43">
        <w:rPr>
          <w:lang w:val="en-US"/>
        </w:rPr>
        <w:lastRenderedPageBreak/>
        <w:t>Infrastructure, Transport, Regional Development, Communications, Sport and the Arts</w:t>
      </w:r>
    </w:p>
    <w:p w14:paraId="12DD7E4B" w14:textId="77777777" w:rsidR="00BB2CB4" w:rsidRDefault="000674DA">
      <w:pPr>
        <w:pStyle w:val="MeasureTitle"/>
      </w:pPr>
      <w:r>
        <w:t>Regional Broadband Scheme</w:t>
      </w:r>
    </w:p>
    <w:p w14:paraId="5642B1A0"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12252D0" w14:textId="77777777" w:rsidTr="00825163">
        <w:tc>
          <w:tcPr>
            <w:tcW w:w="2501" w:type="dxa"/>
            <w:tcBorders>
              <w:top w:val="single" w:sz="4" w:space="0" w:color="293F5B"/>
              <w:bottom w:val="single" w:sz="4" w:space="0" w:color="293F5B"/>
            </w:tcBorders>
          </w:tcPr>
          <w:p w14:paraId="57A531AC"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76F788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A71076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D36B5A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6E334A3"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56725CE" w14:textId="77777777" w:rsidR="00BB2CB4" w:rsidRPr="00222C32" w:rsidRDefault="000674DA">
            <w:pPr>
              <w:pStyle w:val="MeasureTableYearHeadings"/>
              <w:keepNext/>
            </w:pPr>
            <w:r w:rsidRPr="00222C32">
              <w:t>2028-29</w:t>
            </w:r>
          </w:p>
        </w:tc>
      </w:tr>
      <w:tr w:rsidR="00BB2CB4" w:rsidRPr="00222C32" w14:paraId="6145D152" w14:textId="77777777" w:rsidTr="00825163">
        <w:tc>
          <w:tcPr>
            <w:tcW w:w="2501" w:type="dxa"/>
            <w:tcBorders>
              <w:top w:val="single" w:sz="4" w:space="0" w:color="293F5B"/>
              <w:bottom w:val="single" w:sz="4" w:space="0" w:color="293F5B"/>
            </w:tcBorders>
          </w:tcPr>
          <w:p w14:paraId="6CCFBC84" w14:textId="77777777" w:rsidR="00BB2CB4" w:rsidRPr="00222C32" w:rsidRDefault="000674DA">
            <w:pPr>
              <w:pStyle w:val="MeasureTableHeadingleftalignedwith2ptsspacing"/>
              <w:keepNext/>
            </w:pPr>
            <w:r w:rsidRPr="00222C32">
              <w:t>Australian Communications and Media Authority</w:t>
            </w:r>
          </w:p>
        </w:tc>
        <w:tc>
          <w:tcPr>
            <w:tcW w:w="1044" w:type="dxa"/>
            <w:tcBorders>
              <w:top w:val="single" w:sz="4" w:space="0" w:color="293F5B"/>
              <w:bottom w:val="single" w:sz="4" w:space="0" w:color="293F5B"/>
            </w:tcBorders>
          </w:tcPr>
          <w:p w14:paraId="788014A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4A6337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7108D54" w14:textId="77777777" w:rsidR="00BB2CB4" w:rsidRPr="00222C32" w:rsidRDefault="000674DA">
            <w:pPr>
              <w:pStyle w:val="MeasureTableDataRightAlignedwith2ptsspacing"/>
              <w:keepNext/>
            </w:pPr>
            <w:r w:rsidRPr="00222C32">
              <w:t>-34.1</w:t>
            </w:r>
          </w:p>
        </w:tc>
        <w:tc>
          <w:tcPr>
            <w:tcW w:w="1044" w:type="dxa"/>
            <w:tcBorders>
              <w:top w:val="single" w:sz="4" w:space="0" w:color="293F5B"/>
              <w:bottom w:val="single" w:sz="4" w:space="0" w:color="293F5B"/>
            </w:tcBorders>
          </w:tcPr>
          <w:p w14:paraId="310AC574" w14:textId="77777777" w:rsidR="00BB2CB4" w:rsidRPr="00222C32" w:rsidRDefault="000674DA">
            <w:pPr>
              <w:pStyle w:val="MeasureTableDataRightAlignedwith2ptsspacing"/>
              <w:keepNext/>
            </w:pPr>
            <w:r w:rsidRPr="00222C32">
              <w:t>-35.6</w:t>
            </w:r>
          </w:p>
        </w:tc>
        <w:tc>
          <w:tcPr>
            <w:tcW w:w="1044" w:type="dxa"/>
            <w:tcBorders>
              <w:top w:val="single" w:sz="4" w:space="0" w:color="293F5B"/>
              <w:bottom w:val="single" w:sz="4" w:space="0" w:color="293F5B"/>
            </w:tcBorders>
          </w:tcPr>
          <w:p w14:paraId="0545C93D" w14:textId="77777777" w:rsidR="00BB2CB4" w:rsidRPr="00222C32" w:rsidRDefault="000674DA">
            <w:pPr>
              <w:pStyle w:val="MeasureTableDataRightAlignedwith2ptsspacing"/>
              <w:keepNext/>
            </w:pPr>
            <w:r w:rsidRPr="00222C32">
              <w:t>-37.1</w:t>
            </w:r>
          </w:p>
        </w:tc>
      </w:tr>
      <w:tr w:rsidR="00BB2CB4" w:rsidRPr="00222C32" w14:paraId="0A057443" w14:textId="77777777" w:rsidTr="00825163">
        <w:tc>
          <w:tcPr>
            <w:tcW w:w="2501" w:type="dxa"/>
            <w:tcBorders>
              <w:top w:val="single" w:sz="4" w:space="0" w:color="293F5B"/>
              <w:bottom w:val="nil"/>
            </w:tcBorders>
          </w:tcPr>
          <w:p w14:paraId="4E7C1E6A"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0AA7AA5E" w14:textId="77777777" w:rsidR="00BB2CB4" w:rsidRPr="00222C32" w:rsidRDefault="00BB2CB4">
            <w:pPr>
              <w:pStyle w:val="AgencyName"/>
              <w:keepNext/>
            </w:pPr>
          </w:p>
        </w:tc>
        <w:tc>
          <w:tcPr>
            <w:tcW w:w="1044" w:type="dxa"/>
            <w:tcBorders>
              <w:top w:val="single" w:sz="4" w:space="0" w:color="293F5B"/>
              <w:bottom w:val="nil"/>
            </w:tcBorders>
          </w:tcPr>
          <w:p w14:paraId="5D3F942A" w14:textId="77777777" w:rsidR="00BB2CB4" w:rsidRPr="00222C32" w:rsidRDefault="00BB2CB4">
            <w:pPr>
              <w:pStyle w:val="AgencyName"/>
              <w:keepNext/>
            </w:pPr>
          </w:p>
        </w:tc>
        <w:tc>
          <w:tcPr>
            <w:tcW w:w="1044" w:type="dxa"/>
            <w:tcBorders>
              <w:top w:val="single" w:sz="4" w:space="0" w:color="293F5B"/>
              <w:bottom w:val="nil"/>
            </w:tcBorders>
          </w:tcPr>
          <w:p w14:paraId="6B23FC0D" w14:textId="77777777" w:rsidR="00BB2CB4" w:rsidRPr="00222C32" w:rsidRDefault="00BB2CB4">
            <w:pPr>
              <w:pStyle w:val="AgencyName"/>
              <w:keepNext/>
            </w:pPr>
          </w:p>
        </w:tc>
        <w:tc>
          <w:tcPr>
            <w:tcW w:w="1044" w:type="dxa"/>
            <w:tcBorders>
              <w:top w:val="single" w:sz="4" w:space="0" w:color="293F5B"/>
              <w:bottom w:val="nil"/>
            </w:tcBorders>
          </w:tcPr>
          <w:p w14:paraId="5E897508" w14:textId="77777777" w:rsidR="00BB2CB4" w:rsidRPr="00222C32" w:rsidRDefault="00BB2CB4">
            <w:pPr>
              <w:pStyle w:val="AgencyName"/>
              <w:keepNext/>
            </w:pPr>
          </w:p>
        </w:tc>
        <w:tc>
          <w:tcPr>
            <w:tcW w:w="1044" w:type="dxa"/>
            <w:tcBorders>
              <w:top w:val="single" w:sz="4" w:space="0" w:color="293F5B"/>
              <w:bottom w:val="nil"/>
            </w:tcBorders>
          </w:tcPr>
          <w:p w14:paraId="5A5BACEA" w14:textId="77777777" w:rsidR="00BB2CB4" w:rsidRPr="00222C32" w:rsidRDefault="00BB2CB4">
            <w:pPr>
              <w:pStyle w:val="AgencyName"/>
              <w:keepNext/>
            </w:pPr>
          </w:p>
        </w:tc>
      </w:tr>
      <w:tr w:rsidR="00BB2CB4" w:rsidRPr="00222C32" w14:paraId="5D215139" w14:textId="77777777" w:rsidTr="00825163">
        <w:tc>
          <w:tcPr>
            <w:tcW w:w="2501" w:type="dxa"/>
            <w:tcBorders>
              <w:top w:val="nil"/>
              <w:bottom w:val="single" w:sz="4" w:space="0" w:color="293F5B"/>
            </w:tcBorders>
          </w:tcPr>
          <w:p w14:paraId="0E49ED5C" w14:textId="77777777" w:rsidR="00BB2CB4" w:rsidRPr="00222C32" w:rsidRDefault="000674DA">
            <w:pPr>
              <w:pStyle w:val="AgencyNamewith2ptsspacing"/>
              <w:keepNext/>
            </w:pPr>
            <w:r w:rsidRPr="00222C32">
              <w:t>Department of Infrastructure, Transport, Regional Development, Communications, Sport and the Arts</w:t>
            </w:r>
          </w:p>
        </w:tc>
        <w:tc>
          <w:tcPr>
            <w:tcW w:w="1044" w:type="dxa"/>
            <w:tcBorders>
              <w:top w:val="nil"/>
              <w:bottom w:val="single" w:sz="4" w:space="0" w:color="293F5B"/>
            </w:tcBorders>
          </w:tcPr>
          <w:p w14:paraId="45238CAE"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FD8DA21"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D352BE9" w14:textId="77777777" w:rsidR="00BB2CB4" w:rsidRPr="00222C32" w:rsidRDefault="000674DA">
            <w:pPr>
              <w:pStyle w:val="Measuretabledatarightaligneditalics"/>
              <w:keepNext/>
            </w:pPr>
            <w:r w:rsidRPr="00222C32">
              <w:t>-34.9</w:t>
            </w:r>
          </w:p>
        </w:tc>
        <w:tc>
          <w:tcPr>
            <w:tcW w:w="1044" w:type="dxa"/>
            <w:tcBorders>
              <w:top w:val="nil"/>
              <w:bottom w:val="single" w:sz="4" w:space="0" w:color="293F5B"/>
            </w:tcBorders>
          </w:tcPr>
          <w:p w14:paraId="3BE2504D" w14:textId="77777777" w:rsidR="00BB2CB4" w:rsidRPr="00222C32" w:rsidRDefault="000674DA">
            <w:pPr>
              <w:pStyle w:val="Measuretabledatarightaligneditalics"/>
              <w:keepNext/>
            </w:pPr>
            <w:r w:rsidRPr="00222C32">
              <w:t>-36.3</w:t>
            </w:r>
          </w:p>
        </w:tc>
        <w:tc>
          <w:tcPr>
            <w:tcW w:w="1044" w:type="dxa"/>
            <w:tcBorders>
              <w:top w:val="nil"/>
              <w:bottom w:val="single" w:sz="4" w:space="0" w:color="293F5B"/>
            </w:tcBorders>
          </w:tcPr>
          <w:p w14:paraId="742F7ED3" w14:textId="77777777" w:rsidR="00BB2CB4" w:rsidRPr="00222C32" w:rsidRDefault="000674DA">
            <w:pPr>
              <w:pStyle w:val="Measuretabledatarightaligneditalics"/>
              <w:keepNext/>
            </w:pPr>
            <w:r w:rsidRPr="00222C32">
              <w:t>-37.9</w:t>
            </w:r>
          </w:p>
        </w:tc>
      </w:tr>
    </w:tbl>
    <w:p w14:paraId="64BE5E7B" w14:textId="77777777" w:rsidR="00A506BB" w:rsidRDefault="00A506BB" w:rsidP="00A506BB">
      <w:pPr>
        <w:pStyle w:val="SingleParagraph"/>
      </w:pPr>
    </w:p>
    <w:p w14:paraId="46D9EC57" w14:textId="77777777" w:rsidR="00BB2CB4" w:rsidRDefault="000674DA">
      <w:pPr>
        <w:pStyle w:val="Normal2"/>
      </w:pPr>
      <w:r w:rsidRPr="42F5CE43">
        <w:rPr>
          <w:lang w:val="en-US"/>
        </w:rPr>
        <w:t>The Government is reducing the overall Regional Broadband Scheme (RBS) charge from 1 July 2025. The base component charge amount of the RBS will reduce from $8.45 to $2.17 (indexed yearly to the CPI) and the administrative component charge amount will increase from $0.00 to $0.00665 for 2025–‍26 to 2029–‍30.</w:t>
      </w:r>
    </w:p>
    <w:p w14:paraId="314CA0A5" w14:textId="6DF1B6B8" w:rsidR="00BB2CB4" w:rsidRDefault="000674DA">
      <w:pPr>
        <w:pStyle w:val="Normal2"/>
      </w:pPr>
      <w:r>
        <w:t>This adjustment to the RBS charge amount will continue to allow for the costs of providing affordable broadband to regional and remote Australia via NBN Co Limited</w:t>
      </w:r>
      <w:r w:rsidR="00222C32">
        <w:t>’</w:t>
      </w:r>
      <w:r>
        <w:t>s (NBN Co) satellite and fixed wireless networks to be appropriately funded.</w:t>
      </w:r>
    </w:p>
    <w:p w14:paraId="63BBA804" w14:textId="77777777" w:rsidR="00BB2CB4" w:rsidRDefault="000674DA">
      <w:pPr>
        <w:pStyle w:val="Normal2"/>
      </w:pPr>
      <w:r>
        <w:t>This measure is estimated to decrease receipts by $106.8 million and decrease payments by $109.0 million over five years from 2024–‍25.</w:t>
      </w:r>
    </w:p>
    <w:p w14:paraId="312985A2" w14:textId="77777777" w:rsidR="00BB2CB4" w:rsidRDefault="00BB2CB4">
      <w:pPr>
        <w:sectPr w:rsidR="00BB2CB4" w:rsidSect="00301ACF">
          <w:headerReference w:type="even" r:id="rId31"/>
          <w:headerReference w:type="default" r:id="rId32"/>
          <w:footerReference w:type="even" r:id="rId33"/>
          <w:footerReference w:type="default" r:id="rId34"/>
          <w:headerReference w:type="first" r:id="rId35"/>
          <w:footerReference w:type="first" r:id="rId36"/>
          <w:pgSz w:w="11906" w:h="16838" w:code="9"/>
          <w:pgMar w:top="2835" w:right="2098" w:bottom="2466" w:left="2098" w:header="1814" w:footer="1814" w:gutter="0"/>
          <w:cols w:space="720"/>
          <w:docGrid w:linePitch="272"/>
        </w:sectPr>
      </w:pPr>
    </w:p>
    <w:p w14:paraId="20F86C13" w14:textId="77777777" w:rsidR="00BB2CB4" w:rsidRDefault="000674DA" w:rsidP="00B0077E">
      <w:pPr>
        <w:pStyle w:val="PortfolioName"/>
        <w:spacing w:before="0"/>
      </w:pPr>
      <w:r>
        <w:lastRenderedPageBreak/>
        <w:t>Treasury</w:t>
      </w:r>
    </w:p>
    <w:p w14:paraId="7556CEAB" w14:textId="77777777" w:rsidR="00BB2CB4" w:rsidRDefault="000674DA">
      <w:pPr>
        <w:pStyle w:val="MeasureTitle"/>
      </w:pPr>
      <w:r>
        <w:t>Indirect Tax Concession Scheme – diplomatic and consular concessions</w:t>
      </w:r>
    </w:p>
    <w:p w14:paraId="1E43780D"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00E88E7" w14:textId="77777777" w:rsidTr="00825163">
        <w:tc>
          <w:tcPr>
            <w:tcW w:w="2501" w:type="dxa"/>
            <w:tcBorders>
              <w:top w:val="single" w:sz="4" w:space="0" w:color="293F5B"/>
              <w:bottom w:val="single" w:sz="4" w:space="0" w:color="293F5B"/>
            </w:tcBorders>
          </w:tcPr>
          <w:p w14:paraId="1D613D0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66DFE45"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4C06BAB"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4EF475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A91256D"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D55CFB8" w14:textId="77777777" w:rsidR="00BB2CB4" w:rsidRPr="00222C32" w:rsidRDefault="000674DA">
            <w:pPr>
              <w:pStyle w:val="MeasureTableYearHeadings"/>
              <w:keepNext/>
            </w:pPr>
            <w:r w:rsidRPr="00222C32">
              <w:t>2028-29</w:t>
            </w:r>
          </w:p>
        </w:tc>
      </w:tr>
      <w:tr w:rsidR="00BB2CB4" w:rsidRPr="00222C32" w14:paraId="2A4CEF24" w14:textId="77777777" w:rsidTr="00825163">
        <w:tc>
          <w:tcPr>
            <w:tcW w:w="2501" w:type="dxa"/>
            <w:tcBorders>
              <w:top w:val="single" w:sz="4" w:space="0" w:color="293F5B"/>
              <w:bottom w:val="single" w:sz="4" w:space="0" w:color="293F5B"/>
            </w:tcBorders>
          </w:tcPr>
          <w:p w14:paraId="58A6F58F"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18276184" w14:textId="54D4DE70" w:rsidR="00BB2CB4" w:rsidRPr="00222C32" w:rsidRDefault="004E189C">
            <w:pPr>
              <w:pStyle w:val="MeasureTableDataRightAlignedwith2ptsspacing"/>
              <w:keepNext/>
            </w:pPr>
            <w:r>
              <w:t>..</w:t>
            </w:r>
          </w:p>
        </w:tc>
        <w:tc>
          <w:tcPr>
            <w:tcW w:w="1044" w:type="dxa"/>
            <w:tcBorders>
              <w:top w:val="single" w:sz="4" w:space="0" w:color="293F5B"/>
              <w:bottom w:val="single" w:sz="4" w:space="0" w:color="293F5B"/>
            </w:tcBorders>
          </w:tcPr>
          <w:p w14:paraId="39D4D46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4E4556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6ACDA7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045A162" w14:textId="77777777" w:rsidR="00BB2CB4" w:rsidRPr="00222C32" w:rsidRDefault="000674DA">
            <w:pPr>
              <w:pStyle w:val="MeasureTableDataRightAlignedwith2ptsspacing"/>
              <w:keepNext/>
            </w:pPr>
            <w:r w:rsidRPr="00222C32">
              <w:t>..</w:t>
            </w:r>
          </w:p>
        </w:tc>
      </w:tr>
      <w:tr w:rsidR="00BB2CB4" w:rsidRPr="00222C32" w14:paraId="2A463AAF" w14:textId="77777777" w:rsidTr="00825163">
        <w:tc>
          <w:tcPr>
            <w:tcW w:w="2501" w:type="dxa"/>
            <w:tcBorders>
              <w:top w:val="single" w:sz="4" w:space="0" w:color="293F5B"/>
              <w:bottom w:val="nil"/>
            </w:tcBorders>
          </w:tcPr>
          <w:p w14:paraId="647EF6F1"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75D46499" w14:textId="77777777" w:rsidR="00BB2CB4" w:rsidRPr="00222C32" w:rsidRDefault="00BB2CB4">
            <w:pPr>
              <w:pStyle w:val="AgencyName"/>
              <w:keepNext/>
            </w:pPr>
          </w:p>
        </w:tc>
        <w:tc>
          <w:tcPr>
            <w:tcW w:w="1044" w:type="dxa"/>
            <w:tcBorders>
              <w:top w:val="single" w:sz="4" w:space="0" w:color="293F5B"/>
              <w:bottom w:val="nil"/>
            </w:tcBorders>
          </w:tcPr>
          <w:p w14:paraId="702434BF" w14:textId="77777777" w:rsidR="00BB2CB4" w:rsidRPr="00222C32" w:rsidRDefault="00BB2CB4">
            <w:pPr>
              <w:pStyle w:val="AgencyName"/>
              <w:keepNext/>
            </w:pPr>
          </w:p>
        </w:tc>
        <w:tc>
          <w:tcPr>
            <w:tcW w:w="1044" w:type="dxa"/>
            <w:tcBorders>
              <w:top w:val="single" w:sz="4" w:space="0" w:color="293F5B"/>
              <w:bottom w:val="nil"/>
            </w:tcBorders>
          </w:tcPr>
          <w:p w14:paraId="38086445" w14:textId="77777777" w:rsidR="00BB2CB4" w:rsidRPr="00222C32" w:rsidRDefault="00BB2CB4">
            <w:pPr>
              <w:pStyle w:val="AgencyName"/>
              <w:keepNext/>
            </w:pPr>
          </w:p>
        </w:tc>
        <w:tc>
          <w:tcPr>
            <w:tcW w:w="1044" w:type="dxa"/>
            <w:tcBorders>
              <w:top w:val="single" w:sz="4" w:space="0" w:color="293F5B"/>
              <w:bottom w:val="nil"/>
            </w:tcBorders>
          </w:tcPr>
          <w:p w14:paraId="34FB7FA9" w14:textId="77777777" w:rsidR="00BB2CB4" w:rsidRPr="00222C32" w:rsidRDefault="00BB2CB4">
            <w:pPr>
              <w:pStyle w:val="AgencyName"/>
              <w:keepNext/>
            </w:pPr>
          </w:p>
        </w:tc>
        <w:tc>
          <w:tcPr>
            <w:tcW w:w="1044" w:type="dxa"/>
            <w:tcBorders>
              <w:top w:val="single" w:sz="4" w:space="0" w:color="293F5B"/>
              <w:bottom w:val="nil"/>
            </w:tcBorders>
          </w:tcPr>
          <w:p w14:paraId="2F5D5302" w14:textId="77777777" w:rsidR="00BB2CB4" w:rsidRPr="00222C32" w:rsidRDefault="00BB2CB4">
            <w:pPr>
              <w:pStyle w:val="AgencyName"/>
              <w:keepNext/>
            </w:pPr>
          </w:p>
        </w:tc>
      </w:tr>
      <w:tr w:rsidR="00BB2CB4" w:rsidRPr="00222C32" w14:paraId="21BBD06C" w14:textId="77777777" w:rsidTr="00825163">
        <w:tc>
          <w:tcPr>
            <w:tcW w:w="2501" w:type="dxa"/>
            <w:tcBorders>
              <w:top w:val="nil"/>
              <w:bottom w:val="single" w:sz="4" w:space="0" w:color="293F5B"/>
            </w:tcBorders>
          </w:tcPr>
          <w:p w14:paraId="634625F0" w14:textId="77777777" w:rsidR="00BB2CB4" w:rsidRPr="00222C32" w:rsidRDefault="000674DA">
            <w:pPr>
              <w:pStyle w:val="AgencyNamewith2ptsspacing"/>
              <w:keepNext/>
            </w:pPr>
            <w:r w:rsidRPr="00222C32">
              <w:t>Department of the Treasury</w:t>
            </w:r>
          </w:p>
        </w:tc>
        <w:tc>
          <w:tcPr>
            <w:tcW w:w="1044" w:type="dxa"/>
            <w:tcBorders>
              <w:top w:val="nil"/>
              <w:bottom w:val="single" w:sz="4" w:space="0" w:color="293F5B"/>
            </w:tcBorders>
          </w:tcPr>
          <w:p w14:paraId="152A4447" w14:textId="05665C89" w:rsidR="00BB2CB4" w:rsidRPr="00222C32" w:rsidRDefault="004E189C">
            <w:pPr>
              <w:pStyle w:val="Measuretabledatarightaligneditalics"/>
              <w:keepNext/>
            </w:pPr>
            <w:r>
              <w:t>..</w:t>
            </w:r>
          </w:p>
        </w:tc>
        <w:tc>
          <w:tcPr>
            <w:tcW w:w="1044" w:type="dxa"/>
            <w:tcBorders>
              <w:top w:val="nil"/>
              <w:bottom w:val="single" w:sz="4" w:space="0" w:color="293F5B"/>
            </w:tcBorders>
          </w:tcPr>
          <w:p w14:paraId="118A1457"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93AF816"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64C63D1"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1B9E44A3" w14:textId="77777777" w:rsidR="00BB2CB4" w:rsidRPr="00222C32" w:rsidRDefault="000674DA">
            <w:pPr>
              <w:pStyle w:val="Measuretabledatarightaligneditalics"/>
              <w:keepNext/>
            </w:pPr>
            <w:r w:rsidRPr="00222C32">
              <w:t>..</w:t>
            </w:r>
          </w:p>
        </w:tc>
      </w:tr>
    </w:tbl>
    <w:p w14:paraId="0F362458" w14:textId="77777777" w:rsidR="00A506BB" w:rsidRDefault="00A506BB" w:rsidP="00A506BB">
      <w:pPr>
        <w:pStyle w:val="SingleParagraph"/>
      </w:pPr>
    </w:p>
    <w:p w14:paraId="15B6A515" w14:textId="77777777" w:rsidR="00BB2CB4" w:rsidRDefault="000674DA">
      <w:pPr>
        <w:pStyle w:val="Normal2"/>
      </w:pPr>
      <w:r w:rsidRPr="42F5CE43">
        <w:rPr>
          <w:lang w:val="en-US"/>
        </w:rPr>
        <w:t>The Government has extended access to refunds of indirect tax (including GST, fuel and alcohol taxes) under the Indirect Tax Concession Scheme to the diplomatic and consular representations of Angola.</w:t>
      </w:r>
    </w:p>
    <w:p w14:paraId="1AE7CF81" w14:textId="77777777" w:rsidR="00BB2CB4" w:rsidRDefault="000674DA">
      <w:pPr>
        <w:pStyle w:val="Normal2"/>
      </w:pPr>
      <w:r>
        <w:t>This measure is estimated to result in a negligible decrease in receipts and a negligible decrease in GST payments to the states and territories over five years from 2024–‍25.</w:t>
      </w:r>
    </w:p>
    <w:p w14:paraId="4A10362B" w14:textId="42F8B22F" w:rsidR="00BB2CB4" w:rsidRDefault="000674DA">
      <w:pPr>
        <w:pStyle w:val="MeasureTitle"/>
      </w:pPr>
      <w:r>
        <w:t xml:space="preserve">International </w:t>
      </w:r>
      <w:r w:rsidR="00201F3A">
        <w:t>T</w:t>
      </w:r>
      <w:r>
        <w:t>ax – tax treaties with Ukraine and the Republic of Croatia</w:t>
      </w:r>
    </w:p>
    <w:p w14:paraId="6AFAF333"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D868E17" w14:textId="77777777" w:rsidTr="00825163">
        <w:trPr>
          <w:cantSplit/>
        </w:trPr>
        <w:tc>
          <w:tcPr>
            <w:tcW w:w="2501" w:type="dxa"/>
            <w:tcBorders>
              <w:top w:val="single" w:sz="4" w:space="0" w:color="293F5B"/>
              <w:bottom w:val="single" w:sz="4" w:space="0" w:color="293F5B"/>
            </w:tcBorders>
          </w:tcPr>
          <w:p w14:paraId="3850D4B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FFDBE5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47AB54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288C001"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33AB91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EDB48D9" w14:textId="77777777" w:rsidR="00BB2CB4" w:rsidRPr="00222C32" w:rsidRDefault="000674DA">
            <w:pPr>
              <w:pStyle w:val="MeasureTableYearHeadings"/>
              <w:keepNext/>
            </w:pPr>
            <w:r w:rsidRPr="00222C32">
              <w:t>2028-29</w:t>
            </w:r>
          </w:p>
        </w:tc>
      </w:tr>
      <w:tr w:rsidR="00BB2CB4" w:rsidRPr="00222C32" w14:paraId="0AAD762D" w14:textId="77777777" w:rsidTr="00825163">
        <w:trPr>
          <w:cantSplit/>
        </w:trPr>
        <w:tc>
          <w:tcPr>
            <w:tcW w:w="2501" w:type="dxa"/>
            <w:tcBorders>
              <w:top w:val="single" w:sz="4" w:space="0" w:color="293F5B"/>
              <w:bottom w:val="single" w:sz="4" w:space="0" w:color="293F5B"/>
            </w:tcBorders>
          </w:tcPr>
          <w:p w14:paraId="3E05D95A"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0170391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94B4108"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670ABEA6"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2240DD71"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2D7C0A8C" w14:textId="77777777" w:rsidR="00BB2CB4" w:rsidRPr="00222C32" w:rsidRDefault="000674DA">
            <w:pPr>
              <w:pStyle w:val="MeasureTableDataRightAlignedwith2ptsspacing"/>
              <w:keepNext/>
            </w:pPr>
            <w:r w:rsidRPr="00222C32">
              <w:t>-2.0</w:t>
            </w:r>
          </w:p>
        </w:tc>
      </w:tr>
    </w:tbl>
    <w:p w14:paraId="7ACDD9B1" w14:textId="77777777" w:rsidR="00A506BB" w:rsidRDefault="00A506BB" w:rsidP="00A506BB">
      <w:pPr>
        <w:pStyle w:val="SingleParagraph"/>
      </w:pPr>
    </w:p>
    <w:p w14:paraId="5349012E" w14:textId="77777777" w:rsidR="00BB2CB4" w:rsidRDefault="000674DA">
      <w:pPr>
        <w:pStyle w:val="Normal2"/>
      </w:pPr>
      <w:r>
        <w:t>The Government signed the</w:t>
      </w:r>
      <w:r w:rsidRPr="000674DA">
        <w:rPr>
          <w:i/>
        </w:rPr>
        <w:t xml:space="preserve"> Convention between the Government of Australia and the Government of Ukraine for the Elimination of Double Taxation with respect to Taxes on Income and the Prevention of Tax Evasion and Avoidance</w:t>
      </w:r>
      <w:r>
        <w:t xml:space="preserve"> on 16 October 2025 and signed the </w:t>
      </w:r>
      <w:r w:rsidRPr="000674DA">
        <w:rPr>
          <w:i/>
        </w:rPr>
        <w:t>Agreement between Australia and the Republic of Croatia for the Elimination of Double Taxation with respect to Taxes on Income and the Prevention of Tax Evasion and Avoidance</w:t>
      </w:r>
      <w:r>
        <w:t xml:space="preserve"> on 24 November 2025.</w:t>
      </w:r>
    </w:p>
    <w:p w14:paraId="32BF33AE" w14:textId="0D5C9B5A" w:rsidR="00BB2CB4" w:rsidRDefault="000674DA">
      <w:pPr>
        <w:pStyle w:val="Normal2"/>
      </w:pPr>
      <w:r w:rsidRPr="42F5CE43">
        <w:rPr>
          <w:lang w:val="en-US"/>
        </w:rPr>
        <w:t>These two tax treaties aim to facilitate trade and investment by relieving double taxation, lowering withholding tax rates and improving certainty for taxpayers with dealings in the relevant countries. The tax treaties also give effect to the G20/OECD Base Erosion and Profit Shifting recommendations, in accordance with the Government</w:t>
      </w:r>
      <w:r w:rsidR="00222C32">
        <w:rPr>
          <w:lang w:val="en-US"/>
        </w:rPr>
        <w:t>’</w:t>
      </w:r>
      <w:r w:rsidRPr="42F5CE43">
        <w:rPr>
          <w:lang w:val="en-US"/>
        </w:rPr>
        <w:t>s commitment to tax integrity.</w:t>
      </w:r>
    </w:p>
    <w:p w14:paraId="6C2E5840" w14:textId="77777777" w:rsidR="00BB2CB4" w:rsidRDefault="000674DA">
      <w:pPr>
        <w:pStyle w:val="Normal2"/>
      </w:pPr>
      <w:r>
        <w:t>The treaty with Ukraine is estimated to decrease receipts by $7.0 million over five years from 2024–‍25. The treaty with the Republic of Croatia is estimated to result in a negligible decrease in receipts over five years from 2024–‍25.</w:t>
      </w:r>
    </w:p>
    <w:p w14:paraId="48FC7860" w14:textId="77777777" w:rsidR="00BB2CB4" w:rsidRDefault="000674DA">
      <w:pPr>
        <w:pStyle w:val="MeasureTitle"/>
      </w:pPr>
      <w:r>
        <w:lastRenderedPageBreak/>
        <w:t>OECD Crypto Asset Reporting Framework and domestic reporting</w:t>
      </w:r>
    </w:p>
    <w:p w14:paraId="18A2CEB9"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48A0F91" w14:textId="77777777" w:rsidTr="00825163">
        <w:tc>
          <w:tcPr>
            <w:tcW w:w="2501" w:type="dxa"/>
            <w:tcBorders>
              <w:top w:val="single" w:sz="4" w:space="0" w:color="293F5B"/>
              <w:bottom w:val="single" w:sz="4" w:space="0" w:color="293F5B"/>
            </w:tcBorders>
          </w:tcPr>
          <w:p w14:paraId="38E14C8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640944E"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6864AF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8F64B9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BBE5DE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12571C3" w14:textId="77777777" w:rsidR="00BB2CB4" w:rsidRPr="00222C32" w:rsidRDefault="000674DA">
            <w:pPr>
              <w:pStyle w:val="MeasureTableYearHeadings"/>
              <w:keepNext/>
            </w:pPr>
            <w:r w:rsidRPr="00222C32">
              <w:t>2028-29</w:t>
            </w:r>
          </w:p>
        </w:tc>
      </w:tr>
      <w:tr w:rsidR="00BB2CB4" w:rsidRPr="00222C32" w14:paraId="13E13E5D" w14:textId="77777777" w:rsidTr="00825163">
        <w:tc>
          <w:tcPr>
            <w:tcW w:w="2501" w:type="dxa"/>
            <w:tcBorders>
              <w:top w:val="single" w:sz="4" w:space="0" w:color="293F5B"/>
              <w:bottom w:val="single" w:sz="4" w:space="0" w:color="293F5B"/>
            </w:tcBorders>
          </w:tcPr>
          <w:p w14:paraId="4F8423B0"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1B59F40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4F26E6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3824D6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8E0E034" w14:textId="77777777" w:rsidR="00BB2CB4" w:rsidRPr="00222C32" w:rsidRDefault="000674DA">
            <w:pPr>
              <w:pStyle w:val="MeasureTableDataRightAlignedwith2ptsspacing"/>
              <w:keepNext/>
            </w:pPr>
            <w:r w:rsidRPr="00222C32">
              <w:t>50.0</w:t>
            </w:r>
          </w:p>
        </w:tc>
        <w:tc>
          <w:tcPr>
            <w:tcW w:w="1044" w:type="dxa"/>
            <w:tcBorders>
              <w:top w:val="single" w:sz="4" w:space="0" w:color="293F5B"/>
              <w:bottom w:val="single" w:sz="4" w:space="0" w:color="293F5B"/>
            </w:tcBorders>
          </w:tcPr>
          <w:p w14:paraId="66061F07" w14:textId="77777777" w:rsidR="00BB2CB4" w:rsidRPr="00222C32" w:rsidRDefault="000674DA">
            <w:pPr>
              <w:pStyle w:val="MeasureTableDataRightAlignedwith2ptsspacing"/>
              <w:keepNext/>
            </w:pPr>
            <w:r w:rsidRPr="00222C32">
              <w:t>120.0</w:t>
            </w:r>
          </w:p>
        </w:tc>
      </w:tr>
      <w:tr w:rsidR="00BB2CB4" w:rsidRPr="00222C32" w14:paraId="61995CCE" w14:textId="77777777" w:rsidTr="00825163">
        <w:tc>
          <w:tcPr>
            <w:tcW w:w="2501" w:type="dxa"/>
            <w:tcBorders>
              <w:top w:val="single" w:sz="4" w:space="0" w:color="293F5B"/>
              <w:bottom w:val="nil"/>
            </w:tcBorders>
          </w:tcPr>
          <w:p w14:paraId="43224210"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144D3635" w14:textId="77777777" w:rsidR="00BB2CB4" w:rsidRPr="00222C32" w:rsidRDefault="00BB2CB4">
            <w:pPr>
              <w:pStyle w:val="AgencyName"/>
              <w:keepNext/>
            </w:pPr>
          </w:p>
        </w:tc>
        <w:tc>
          <w:tcPr>
            <w:tcW w:w="1044" w:type="dxa"/>
            <w:tcBorders>
              <w:top w:val="single" w:sz="4" w:space="0" w:color="293F5B"/>
              <w:bottom w:val="nil"/>
            </w:tcBorders>
          </w:tcPr>
          <w:p w14:paraId="71255349" w14:textId="77777777" w:rsidR="00BB2CB4" w:rsidRPr="00222C32" w:rsidRDefault="00BB2CB4">
            <w:pPr>
              <w:pStyle w:val="AgencyName"/>
              <w:keepNext/>
            </w:pPr>
          </w:p>
        </w:tc>
        <w:tc>
          <w:tcPr>
            <w:tcW w:w="1044" w:type="dxa"/>
            <w:tcBorders>
              <w:top w:val="single" w:sz="4" w:space="0" w:color="293F5B"/>
              <w:bottom w:val="nil"/>
            </w:tcBorders>
          </w:tcPr>
          <w:p w14:paraId="3FF91506" w14:textId="77777777" w:rsidR="00BB2CB4" w:rsidRPr="00222C32" w:rsidRDefault="00BB2CB4">
            <w:pPr>
              <w:pStyle w:val="AgencyName"/>
              <w:keepNext/>
            </w:pPr>
          </w:p>
        </w:tc>
        <w:tc>
          <w:tcPr>
            <w:tcW w:w="1044" w:type="dxa"/>
            <w:tcBorders>
              <w:top w:val="single" w:sz="4" w:space="0" w:color="293F5B"/>
              <w:bottom w:val="nil"/>
            </w:tcBorders>
          </w:tcPr>
          <w:p w14:paraId="51A86A9C" w14:textId="77777777" w:rsidR="00BB2CB4" w:rsidRPr="00222C32" w:rsidRDefault="00BB2CB4">
            <w:pPr>
              <w:pStyle w:val="AgencyName"/>
              <w:keepNext/>
            </w:pPr>
          </w:p>
        </w:tc>
        <w:tc>
          <w:tcPr>
            <w:tcW w:w="1044" w:type="dxa"/>
            <w:tcBorders>
              <w:top w:val="single" w:sz="4" w:space="0" w:color="293F5B"/>
              <w:bottom w:val="nil"/>
            </w:tcBorders>
          </w:tcPr>
          <w:p w14:paraId="450EBDEF" w14:textId="77777777" w:rsidR="00BB2CB4" w:rsidRPr="00222C32" w:rsidRDefault="00BB2CB4">
            <w:pPr>
              <w:pStyle w:val="AgencyName"/>
              <w:keepNext/>
            </w:pPr>
          </w:p>
        </w:tc>
      </w:tr>
      <w:tr w:rsidR="00BB2CB4" w:rsidRPr="00222C32" w14:paraId="07668961" w14:textId="77777777" w:rsidTr="00825163">
        <w:tc>
          <w:tcPr>
            <w:tcW w:w="2501" w:type="dxa"/>
            <w:tcBorders>
              <w:top w:val="nil"/>
              <w:bottom w:val="single" w:sz="4" w:space="0" w:color="293F5B"/>
            </w:tcBorders>
          </w:tcPr>
          <w:p w14:paraId="538A22A7" w14:textId="77777777" w:rsidR="00BB2CB4" w:rsidRPr="00222C32" w:rsidRDefault="000674DA">
            <w:pPr>
              <w:pStyle w:val="AgencyNamewith2ptsspacing"/>
              <w:keepNext/>
            </w:pPr>
            <w:r w:rsidRPr="00222C32">
              <w:t>Australian Taxation Office</w:t>
            </w:r>
          </w:p>
        </w:tc>
        <w:tc>
          <w:tcPr>
            <w:tcW w:w="1044" w:type="dxa"/>
            <w:tcBorders>
              <w:top w:val="nil"/>
              <w:bottom w:val="single" w:sz="4" w:space="0" w:color="293F5B"/>
            </w:tcBorders>
          </w:tcPr>
          <w:p w14:paraId="75603602"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704E6A9" w14:textId="77777777" w:rsidR="00BB2CB4" w:rsidRPr="00222C32" w:rsidRDefault="000674DA">
            <w:pPr>
              <w:pStyle w:val="Measuretabledatarightaligneditalics"/>
              <w:keepNext/>
            </w:pPr>
            <w:r w:rsidRPr="00222C32">
              <w:t>7.0</w:t>
            </w:r>
          </w:p>
        </w:tc>
        <w:tc>
          <w:tcPr>
            <w:tcW w:w="1044" w:type="dxa"/>
            <w:tcBorders>
              <w:top w:val="nil"/>
              <w:bottom w:val="single" w:sz="4" w:space="0" w:color="293F5B"/>
            </w:tcBorders>
          </w:tcPr>
          <w:p w14:paraId="6211A5A7" w14:textId="77777777" w:rsidR="00BB2CB4" w:rsidRPr="00222C32" w:rsidRDefault="000674DA">
            <w:pPr>
              <w:pStyle w:val="Measuretabledatarightaligneditalics"/>
              <w:keepNext/>
            </w:pPr>
            <w:r w:rsidRPr="00222C32">
              <w:t>21.3</w:t>
            </w:r>
          </w:p>
        </w:tc>
        <w:tc>
          <w:tcPr>
            <w:tcW w:w="1044" w:type="dxa"/>
            <w:tcBorders>
              <w:top w:val="nil"/>
              <w:bottom w:val="single" w:sz="4" w:space="0" w:color="293F5B"/>
            </w:tcBorders>
          </w:tcPr>
          <w:p w14:paraId="5A0CE3B7" w14:textId="77777777" w:rsidR="00BB2CB4" w:rsidRPr="00222C32" w:rsidRDefault="000674DA">
            <w:pPr>
              <w:pStyle w:val="Measuretabledatarightaligneditalics"/>
              <w:keepNext/>
            </w:pPr>
            <w:r w:rsidRPr="00222C32">
              <w:t>17.0</w:t>
            </w:r>
          </w:p>
        </w:tc>
        <w:tc>
          <w:tcPr>
            <w:tcW w:w="1044" w:type="dxa"/>
            <w:tcBorders>
              <w:top w:val="nil"/>
              <w:bottom w:val="single" w:sz="4" w:space="0" w:color="293F5B"/>
            </w:tcBorders>
          </w:tcPr>
          <w:p w14:paraId="3B88BA79" w14:textId="77777777" w:rsidR="00BB2CB4" w:rsidRPr="00222C32" w:rsidRDefault="000674DA">
            <w:pPr>
              <w:pStyle w:val="Measuretabledatarightaligneditalics"/>
              <w:keepNext/>
            </w:pPr>
            <w:r w:rsidRPr="00222C32">
              <w:t>11.8</w:t>
            </w:r>
          </w:p>
        </w:tc>
      </w:tr>
      <w:tr w:rsidR="00BB2CB4" w:rsidRPr="00222C32" w14:paraId="607EE8AD" w14:textId="77777777" w:rsidTr="00825163">
        <w:tc>
          <w:tcPr>
            <w:tcW w:w="2501" w:type="dxa"/>
            <w:tcBorders>
              <w:top w:val="single" w:sz="4" w:space="0" w:color="293F5B"/>
              <w:bottom w:val="single" w:sz="4" w:space="0" w:color="293F5B"/>
            </w:tcBorders>
          </w:tcPr>
          <w:p w14:paraId="03B1046A" w14:textId="77777777" w:rsidR="00BB2CB4" w:rsidRPr="00222C32" w:rsidRDefault="000674DA">
            <w:pPr>
              <w:pStyle w:val="AgencyNamewith2ptsspacing"/>
              <w:keepNext/>
            </w:pPr>
            <w:r w:rsidRPr="00222C32">
              <w:t>Department of Finance</w:t>
            </w:r>
          </w:p>
        </w:tc>
        <w:tc>
          <w:tcPr>
            <w:tcW w:w="1044" w:type="dxa"/>
            <w:tcBorders>
              <w:top w:val="single" w:sz="4" w:space="0" w:color="293F5B"/>
              <w:bottom w:val="single" w:sz="4" w:space="0" w:color="293F5B"/>
            </w:tcBorders>
          </w:tcPr>
          <w:p w14:paraId="3903167F"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682E49F" w14:textId="77777777" w:rsidR="00BB2CB4" w:rsidRPr="00222C32" w:rsidRDefault="000674DA">
            <w:pPr>
              <w:pStyle w:val="Measuretabledatarightaligneditalics"/>
              <w:keepNext/>
            </w:pPr>
            <w:r w:rsidRPr="00222C32">
              <w:t>0.1</w:t>
            </w:r>
          </w:p>
        </w:tc>
        <w:tc>
          <w:tcPr>
            <w:tcW w:w="1044" w:type="dxa"/>
            <w:tcBorders>
              <w:top w:val="single" w:sz="4" w:space="0" w:color="293F5B"/>
              <w:bottom w:val="single" w:sz="4" w:space="0" w:color="293F5B"/>
            </w:tcBorders>
          </w:tcPr>
          <w:p w14:paraId="2689837A" w14:textId="77777777" w:rsidR="00BB2CB4" w:rsidRPr="00222C32" w:rsidRDefault="000674DA">
            <w:pPr>
              <w:pStyle w:val="Measuretabledatarightaligneditalics"/>
              <w:keepNext/>
            </w:pPr>
            <w:r w:rsidRPr="00222C32">
              <w:t>0.1</w:t>
            </w:r>
          </w:p>
        </w:tc>
        <w:tc>
          <w:tcPr>
            <w:tcW w:w="1044" w:type="dxa"/>
            <w:tcBorders>
              <w:top w:val="single" w:sz="4" w:space="0" w:color="293F5B"/>
              <w:bottom w:val="single" w:sz="4" w:space="0" w:color="293F5B"/>
            </w:tcBorders>
          </w:tcPr>
          <w:p w14:paraId="04859F63" w14:textId="77777777" w:rsidR="00BB2CB4" w:rsidRPr="00222C32" w:rsidRDefault="000674DA">
            <w:pPr>
              <w:pStyle w:val="Measuretabledatarightaligneditalics"/>
              <w:keepNext/>
            </w:pPr>
            <w:r w:rsidRPr="00222C32">
              <w:t>0.1</w:t>
            </w:r>
          </w:p>
        </w:tc>
        <w:tc>
          <w:tcPr>
            <w:tcW w:w="1044" w:type="dxa"/>
            <w:tcBorders>
              <w:top w:val="single" w:sz="4" w:space="0" w:color="293F5B"/>
              <w:bottom w:val="single" w:sz="4" w:space="0" w:color="293F5B"/>
            </w:tcBorders>
          </w:tcPr>
          <w:p w14:paraId="1540580F" w14:textId="77777777" w:rsidR="00BB2CB4" w:rsidRPr="00222C32" w:rsidRDefault="000674DA">
            <w:pPr>
              <w:pStyle w:val="Measuretabledatarightaligneditalics"/>
              <w:keepNext/>
            </w:pPr>
            <w:r w:rsidRPr="00222C32">
              <w:t>0.1</w:t>
            </w:r>
          </w:p>
        </w:tc>
      </w:tr>
      <w:tr w:rsidR="00BB2CB4" w:rsidRPr="00222C32" w14:paraId="15232987" w14:textId="77777777" w:rsidTr="00825163">
        <w:tc>
          <w:tcPr>
            <w:tcW w:w="2501" w:type="dxa"/>
            <w:tcBorders>
              <w:top w:val="single" w:sz="4" w:space="0" w:color="293F5B"/>
              <w:bottom w:val="single" w:sz="4" w:space="0" w:color="293F5B"/>
            </w:tcBorders>
          </w:tcPr>
          <w:p w14:paraId="7FB11BA5" w14:textId="77777777" w:rsidR="00BB2CB4" w:rsidRPr="00222C32" w:rsidRDefault="000674DA">
            <w:pPr>
              <w:pStyle w:val="AgencyNamewith2ptsspacing"/>
              <w:keepNext/>
            </w:pPr>
            <w:r w:rsidRPr="00222C32">
              <w:t>Digital Transformation Agency</w:t>
            </w:r>
          </w:p>
        </w:tc>
        <w:tc>
          <w:tcPr>
            <w:tcW w:w="1044" w:type="dxa"/>
            <w:tcBorders>
              <w:top w:val="single" w:sz="4" w:space="0" w:color="293F5B"/>
              <w:bottom w:val="single" w:sz="4" w:space="0" w:color="293F5B"/>
            </w:tcBorders>
          </w:tcPr>
          <w:p w14:paraId="487E913C"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A969439"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DC117FD"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3C2111D"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71754F6" w14:textId="77777777" w:rsidR="00BB2CB4" w:rsidRPr="00222C32" w:rsidRDefault="000674DA">
            <w:pPr>
              <w:pStyle w:val="Measuretabledatarightaligneditalics"/>
              <w:keepNext/>
            </w:pPr>
            <w:r w:rsidRPr="00222C32">
              <w:t>..</w:t>
            </w:r>
          </w:p>
        </w:tc>
      </w:tr>
      <w:tr w:rsidR="00BB2CB4" w:rsidRPr="00222C32" w14:paraId="560E3920" w14:textId="77777777" w:rsidTr="00825163">
        <w:tc>
          <w:tcPr>
            <w:tcW w:w="2501" w:type="dxa"/>
            <w:tcBorders>
              <w:top w:val="single" w:sz="4" w:space="0" w:color="293F5B"/>
              <w:bottom w:val="single" w:sz="4" w:space="0" w:color="293F5B"/>
            </w:tcBorders>
          </w:tcPr>
          <w:p w14:paraId="00FCD073" w14:textId="77777777" w:rsidR="00BB2CB4" w:rsidRPr="00222C32" w:rsidRDefault="000674DA">
            <w:pPr>
              <w:pStyle w:val="Totalrowitalicsleftaligned"/>
              <w:keepNext/>
            </w:pPr>
            <w:r w:rsidRPr="00222C32">
              <w:t>Total – Payments</w:t>
            </w:r>
          </w:p>
        </w:tc>
        <w:tc>
          <w:tcPr>
            <w:tcW w:w="1044" w:type="dxa"/>
            <w:tcBorders>
              <w:top w:val="single" w:sz="4" w:space="0" w:color="293F5B"/>
              <w:bottom w:val="single" w:sz="4" w:space="0" w:color="293F5B"/>
            </w:tcBorders>
          </w:tcPr>
          <w:p w14:paraId="7DD58C4A"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473DBCA" w14:textId="77777777" w:rsidR="00BB2CB4" w:rsidRPr="00222C32" w:rsidRDefault="000674DA">
            <w:pPr>
              <w:pStyle w:val="Measuretabledatarightaligneditalics"/>
              <w:keepNext/>
            </w:pPr>
            <w:r w:rsidRPr="00222C32">
              <w:t>7.1</w:t>
            </w:r>
          </w:p>
        </w:tc>
        <w:tc>
          <w:tcPr>
            <w:tcW w:w="1044" w:type="dxa"/>
            <w:tcBorders>
              <w:top w:val="single" w:sz="4" w:space="0" w:color="293F5B"/>
              <w:bottom w:val="single" w:sz="4" w:space="0" w:color="293F5B"/>
            </w:tcBorders>
          </w:tcPr>
          <w:p w14:paraId="6BC3786C" w14:textId="77777777" w:rsidR="00BB2CB4" w:rsidRPr="00222C32" w:rsidRDefault="000674DA">
            <w:pPr>
              <w:pStyle w:val="Measuretabledatarightaligneditalics"/>
              <w:keepNext/>
            </w:pPr>
            <w:r w:rsidRPr="00222C32">
              <w:t>21.4</w:t>
            </w:r>
          </w:p>
        </w:tc>
        <w:tc>
          <w:tcPr>
            <w:tcW w:w="1044" w:type="dxa"/>
            <w:tcBorders>
              <w:top w:val="single" w:sz="4" w:space="0" w:color="293F5B"/>
              <w:bottom w:val="single" w:sz="4" w:space="0" w:color="293F5B"/>
            </w:tcBorders>
          </w:tcPr>
          <w:p w14:paraId="44EFAF3C" w14:textId="77777777" w:rsidR="00BB2CB4" w:rsidRPr="00222C32" w:rsidRDefault="000674DA">
            <w:pPr>
              <w:pStyle w:val="Measuretabledatarightaligneditalics"/>
              <w:keepNext/>
            </w:pPr>
            <w:r w:rsidRPr="00222C32">
              <w:t>17.2</w:t>
            </w:r>
          </w:p>
        </w:tc>
        <w:tc>
          <w:tcPr>
            <w:tcW w:w="1044" w:type="dxa"/>
            <w:tcBorders>
              <w:top w:val="single" w:sz="4" w:space="0" w:color="293F5B"/>
              <w:bottom w:val="single" w:sz="4" w:space="0" w:color="293F5B"/>
            </w:tcBorders>
          </w:tcPr>
          <w:p w14:paraId="3A226F22" w14:textId="77777777" w:rsidR="00BB2CB4" w:rsidRPr="00222C32" w:rsidRDefault="000674DA">
            <w:pPr>
              <w:pStyle w:val="Measuretabledatarightaligneditalics"/>
              <w:keepNext/>
            </w:pPr>
            <w:r w:rsidRPr="00222C32">
              <w:t>11.9</w:t>
            </w:r>
          </w:p>
        </w:tc>
      </w:tr>
    </w:tbl>
    <w:p w14:paraId="09755EA5" w14:textId="77777777" w:rsidR="00A506BB" w:rsidRDefault="00A506BB" w:rsidP="00A506BB">
      <w:pPr>
        <w:pStyle w:val="SingleParagraph"/>
      </w:pPr>
    </w:p>
    <w:p w14:paraId="2A6474F4" w14:textId="77777777" w:rsidR="00BB2CB4" w:rsidRDefault="000674DA">
      <w:pPr>
        <w:pStyle w:val="Normal2"/>
      </w:pPr>
      <w:r w:rsidRPr="42F5CE43">
        <w:rPr>
          <w:lang w:val="en-US"/>
        </w:rPr>
        <w:t>The Government will implement the OECD Crypto Asset Reporting Framework (CARF) for the automatic exchange of tax relevant information on crypto assets, commencing in 2027 with the first exchange of information with foreign tax authorities to take place in 2028. In parallel, the Government will also implement a domestic crypto tax reporting regime to commence in 2027, for information to be reported to the Australian Taxation Office (ATO) in 2028. The CARF and domestic crypto tax reporting regimes will enhance transparency to improve tax compliance.</w:t>
      </w:r>
    </w:p>
    <w:p w14:paraId="6AE76CE9" w14:textId="77777777" w:rsidR="00BB2CB4" w:rsidRDefault="000674DA">
      <w:pPr>
        <w:pStyle w:val="Normal2"/>
      </w:pPr>
      <w:r>
        <w:t>This measure is estimated to increase receipts by $170.0 million and increase payments by $57.6 million over five years from 2024–‍25.</w:t>
      </w:r>
    </w:p>
    <w:p w14:paraId="4B4A104B" w14:textId="77777777" w:rsidR="00BB2CB4" w:rsidRDefault="000674DA">
      <w:pPr>
        <w:pStyle w:val="MeasureTitle"/>
      </w:pPr>
      <w:r w:rsidRPr="42F5CE43">
        <w:rPr>
          <w:lang w:val="en-US"/>
        </w:rPr>
        <w:t>Superannuation reforms – Boosting the Low Income Superannuation Tax Offset and practical changes to Better Targeted Superannuation Concessions</w:t>
      </w:r>
    </w:p>
    <w:p w14:paraId="735FEB94"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296F969" w14:textId="77777777" w:rsidTr="00825163">
        <w:tc>
          <w:tcPr>
            <w:tcW w:w="2501" w:type="dxa"/>
            <w:tcBorders>
              <w:top w:val="single" w:sz="4" w:space="0" w:color="293F5B"/>
              <w:bottom w:val="single" w:sz="4" w:space="0" w:color="293F5B"/>
            </w:tcBorders>
          </w:tcPr>
          <w:p w14:paraId="41DD80E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9A70CB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8A07AF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F991F9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05D5B2A"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87F3166" w14:textId="77777777" w:rsidR="00BB2CB4" w:rsidRPr="00222C32" w:rsidRDefault="000674DA">
            <w:pPr>
              <w:pStyle w:val="MeasureTableYearHeadings"/>
              <w:keepNext/>
            </w:pPr>
            <w:r w:rsidRPr="00222C32">
              <w:t>2028-29</w:t>
            </w:r>
          </w:p>
        </w:tc>
      </w:tr>
      <w:tr w:rsidR="00BB2CB4" w:rsidRPr="00222C32" w14:paraId="20A04F6D" w14:textId="77777777" w:rsidTr="00825163">
        <w:tc>
          <w:tcPr>
            <w:tcW w:w="2501" w:type="dxa"/>
            <w:tcBorders>
              <w:top w:val="single" w:sz="4" w:space="0" w:color="293F5B"/>
              <w:bottom w:val="single" w:sz="4" w:space="0" w:color="293F5B"/>
            </w:tcBorders>
          </w:tcPr>
          <w:p w14:paraId="14EB0571"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173C80C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7259CD4" w14:textId="77777777" w:rsidR="00BB2CB4" w:rsidRPr="00222C32" w:rsidRDefault="000674DA">
            <w:pPr>
              <w:pStyle w:val="MeasureTableDataRightAlignedwith2ptsspacing"/>
              <w:keepNext/>
            </w:pPr>
            <w:r w:rsidRPr="00222C32">
              <w:t>-300.0</w:t>
            </w:r>
          </w:p>
        </w:tc>
        <w:tc>
          <w:tcPr>
            <w:tcW w:w="1044" w:type="dxa"/>
            <w:tcBorders>
              <w:top w:val="single" w:sz="4" w:space="0" w:color="293F5B"/>
              <w:bottom w:val="single" w:sz="4" w:space="0" w:color="293F5B"/>
            </w:tcBorders>
          </w:tcPr>
          <w:p w14:paraId="48FE2384" w14:textId="77777777" w:rsidR="00BB2CB4" w:rsidRPr="00222C32" w:rsidRDefault="000674DA">
            <w:pPr>
              <w:pStyle w:val="MeasureTableDataRightAlignedwith2ptsspacing"/>
              <w:keepNext/>
            </w:pPr>
            <w:r w:rsidRPr="00222C32">
              <w:t>-600.0</w:t>
            </w:r>
          </w:p>
        </w:tc>
        <w:tc>
          <w:tcPr>
            <w:tcW w:w="1044" w:type="dxa"/>
            <w:tcBorders>
              <w:top w:val="single" w:sz="4" w:space="0" w:color="293F5B"/>
              <w:bottom w:val="single" w:sz="4" w:space="0" w:color="293F5B"/>
            </w:tcBorders>
          </w:tcPr>
          <w:p w14:paraId="58A56920" w14:textId="77777777" w:rsidR="00BB2CB4" w:rsidRPr="00222C32" w:rsidRDefault="000674DA">
            <w:pPr>
              <w:pStyle w:val="MeasureTableDataRightAlignedwith2ptsspacing"/>
              <w:keepNext/>
            </w:pPr>
            <w:r w:rsidRPr="00222C32">
              <w:t>-2,200.0</w:t>
            </w:r>
          </w:p>
        </w:tc>
        <w:tc>
          <w:tcPr>
            <w:tcW w:w="1044" w:type="dxa"/>
            <w:tcBorders>
              <w:top w:val="single" w:sz="4" w:space="0" w:color="293F5B"/>
              <w:bottom w:val="single" w:sz="4" w:space="0" w:color="293F5B"/>
            </w:tcBorders>
          </w:tcPr>
          <w:p w14:paraId="5CBED939" w14:textId="77777777" w:rsidR="00BB2CB4" w:rsidRPr="00222C32" w:rsidRDefault="000674DA">
            <w:pPr>
              <w:pStyle w:val="MeasureTableDataRightAlignedwith2ptsspacing"/>
              <w:keepNext/>
            </w:pPr>
            <w:r w:rsidRPr="00222C32">
              <w:t>-650.0</w:t>
            </w:r>
          </w:p>
        </w:tc>
      </w:tr>
      <w:tr w:rsidR="00BB2CB4" w:rsidRPr="00222C32" w14:paraId="48B85783" w14:textId="77777777" w:rsidTr="00825163">
        <w:tc>
          <w:tcPr>
            <w:tcW w:w="2501" w:type="dxa"/>
            <w:tcBorders>
              <w:top w:val="single" w:sz="4" w:space="0" w:color="293F5B"/>
              <w:bottom w:val="nil"/>
            </w:tcBorders>
          </w:tcPr>
          <w:p w14:paraId="4113DBC5" w14:textId="77777777" w:rsidR="00BB2CB4" w:rsidRPr="00222C32" w:rsidRDefault="000674DA">
            <w:pPr>
              <w:pStyle w:val="AgencyName"/>
              <w:keepNext/>
            </w:pPr>
            <w:r w:rsidRPr="00222C32">
              <w:t>Related payments ($m)</w:t>
            </w:r>
          </w:p>
        </w:tc>
        <w:tc>
          <w:tcPr>
            <w:tcW w:w="1044" w:type="dxa"/>
            <w:tcBorders>
              <w:top w:val="single" w:sz="4" w:space="0" w:color="293F5B"/>
              <w:bottom w:val="nil"/>
            </w:tcBorders>
          </w:tcPr>
          <w:p w14:paraId="31E2DFDF" w14:textId="77777777" w:rsidR="00BB2CB4" w:rsidRPr="00222C32" w:rsidRDefault="00BB2CB4">
            <w:pPr>
              <w:pStyle w:val="AgencyName"/>
              <w:keepNext/>
            </w:pPr>
          </w:p>
        </w:tc>
        <w:tc>
          <w:tcPr>
            <w:tcW w:w="1044" w:type="dxa"/>
            <w:tcBorders>
              <w:top w:val="single" w:sz="4" w:space="0" w:color="293F5B"/>
              <w:bottom w:val="nil"/>
            </w:tcBorders>
          </w:tcPr>
          <w:p w14:paraId="67B3368A" w14:textId="77777777" w:rsidR="00BB2CB4" w:rsidRPr="00222C32" w:rsidRDefault="00BB2CB4">
            <w:pPr>
              <w:pStyle w:val="AgencyName"/>
              <w:keepNext/>
            </w:pPr>
          </w:p>
        </w:tc>
        <w:tc>
          <w:tcPr>
            <w:tcW w:w="1044" w:type="dxa"/>
            <w:tcBorders>
              <w:top w:val="single" w:sz="4" w:space="0" w:color="293F5B"/>
              <w:bottom w:val="nil"/>
            </w:tcBorders>
          </w:tcPr>
          <w:p w14:paraId="614045BD" w14:textId="77777777" w:rsidR="00BB2CB4" w:rsidRPr="00222C32" w:rsidRDefault="00BB2CB4">
            <w:pPr>
              <w:pStyle w:val="AgencyName"/>
              <w:keepNext/>
            </w:pPr>
          </w:p>
        </w:tc>
        <w:tc>
          <w:tcPr>
            <w:tcW w:w="1044" w:type="dxa"/>
            <w:tcBorders>
              <w:top w:val="single" w:sz="4" w:space="0" w:color="293F5B"/>
              <w:bottom w:val="nil"/>
            </w:tcBorders>
          </w:tcPr>
          <w:p w14:paraId="79C05C4B" w14:textId="77777777" w:rsidR="00BB2CB4" w:rsidRPr="00222C32" w:rsidRDefault="00BB2CB4">
            <w:pPr>
              <w:pStyle w:val="AgencyName"/>
              <w:keepNext/>
            </w:pPr>
          </w:p>
        </w:tc>
        <w:tc>
          <w:tcPr>
            <w:tcW w:w="1044" w:type="dxa"/>
            <w:tcBorders>
              <w:top w:val="single" w:sz="4" w:space="0" w:color="293F5B"/>
              <w:bottom w:val="nil"/>
            </w:tcBorders>
          </w:tcPr>
          <w:p w14:paraId="63A19404" w14:textId="77777777" w:rsidR="00BB2CB4" w:rsidRPr="00222C32" w:rsidRDefault="00BB2CB4">
            <w:pPr>
              <w:pStyle w:val="AgencyName"/>
              <w:keepNext/>
            </w:pPr>
          </w:p>
        </w:tc>
      </w:tr>
      <w:tr w:rsidR="00BB2CB4" w:rsidRPr="00222C32" w14:paraId="66F1507E" w14:textId="77777777" w:rsidTr="00825163">
        <w:tc>
          <w:tcPr>
            <w:tcW w:w="2501" w:type="dxa"/>
            <w:tcBorders>
              <w:top w:val="nil"/>
              <w:bottom w:val="single" w:sz="4" w:space="0" w:color="293F5B"/>
            </w:tcBorders>
          </w:tcPr>
          <w:p w14:paraId="6302124E" w14:textId="77777777" w:rsidR="00BB2CB4" w:rsidRPr="00222C32" w:rsidRDefault="000674DA">
            <w:pPr>
              <w:pStyle w:val="AgencyNamewith2ptsspacing"/>
              <w:keepNext/>
            </w:pPr>
            <w:r w:rsidRPr="00222C32">
              <w:t>Digital Transformation Agency</w:t>
            </w:r>
          </w:p>
        </w:tc>
        <w:tc>
          <w:tcPr>
            <w:tcW w:w="1044" w:type="dxa"/>
            <w:tcBorders>
              <w:top w:val="nil"/>
              <w:bottom w:val="single" w:sz="4" w:space="0" w:color="293F5B"/>
            </w:tcBorders>
          </w:tcPr>
          <w:p w14:paraId="618532BE"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4DF89F41" w14:textId="77777777" w:rsidR="00BB2CB4" w:rsidRPr="00222C32" w:rsidRDefault="000674DA">
            <w:pPr>
              <w:pStyle w:val="Measuretabledatarightaligneditalics"/>
              <w:keepNext/>
            </w:pPr>
            <w:r w:rsidRPr="00222C32">
              <w:t>0.1</w:t>
            </w:r>
          </w:p>
        </w:tc>
        <w:tc>
          <w:tcPr>
            <w:tcW w:w="1044" w:type="dxa"/>
            <w:tcBorders>
              <w:top w:val="nil"/>
              <w:bottom w:val="single" w:sz="4" w:space="0" w:color="293F5B"/>
            </w:tcBorders>
          </w:tcPr>
          <w:p w14:paraId="56026098" w14:textId="77777777" w:rsidR="00BB2CB4" w:rsidRPr="00222C32" w:rsidRDefault="000674DA">
            <w:pPr>
              <w:pStyle w:val="Measuretabledatarightaligneditalics"/>
              <w:keepNext/>
            </w:pPr>
            <w:r w:rsidRPr="00222C32">
              <w:t>0.1</w:t>
            </w:r>
          </w:p>
        </w:tc>
        <w:tc>
          <w:tcPr>
            <w:tcW w:w="1044" w:type="dxa"/>
            <w:tcBorders>
              <w:top w:val="nil"/>
              <w:bottom w:val="single" w:sz="4" w:space="0" w:color="293F5B"/>
            </w:tcBorders>
          </w:tcPr>
          <w:p w14:paraId="34409B35" w14:textId="77777777" w:rsidR="00BB2CB4" w:rsidRPr="00222C32" w:rsidRDefault="000674DA">
            <w:pPr>
              <w:pStyle w:val="Measuretabledatarightaligneditalics"/>
              <w:keepNext/>
            </w:pPr>
            <w:r w:rsidRPr="00222C32">
              <w:t>0.1</w:t>
            </w:r>
          </w:p>
        </w:tc>
        <w:tc>
          <w:tcPr>
            <w:tcW w:w="1044" w:type="dxa"/>
            <w:tcBorders>
              <w:top w:val="nil"/>
              <w:bottom w:val="single" w:sz="4" w:space="0" w:color="293F5B"/>
            </w:tcBorders>
          </w:tcPr>
          <w:p w14:paraId="2D8F20FD" w14:textId="77777777" w:rsidR="00BB2CB4" w:rsidRPr="00222C32" w:rsidRDefault="000674DA">
            <w:pPr>
              <w:pStyle w:val="Measuretabledatarightaligneditalics"/>
              <w:keepNext/>
            </w:pPr>
            <w:r w:rsidRPr="00222C32">
              <w:t>0.1</w:t>
            </w:r>
          </w:p>
        </w:tc>
      </w:tr>
      <w:tr w:rsidR="00BB2CB4" w:rsidRPr="00222C32" w14:paraId="0ECBE2CB" w14:textId="77777777" w:rsidTr="00825163">
        <w:tc>
          <w:tcPr>
            <w:tcW w:w="2501" w:type="dxa"/>
            <w:tcBorders>
              <w:top w:val="single" w:sz="4" w:space="0" w:color="293F5B"/>
              <w:bottom w:val="single" w:sz="4" w:space="0" w:color="293F5B"/>
            </w:tcBorders>
          </w:tcPr>
          <w:p w14:paraId="52A9CFA8" w14:textId="77777777" w:rsidR="00BB2CB4" w:rsidRPr="00222C32" w:rsidRDefault="000674DA">
            <w:pPr>
              <w:pStyle w:val="AgencyNamewith2ptsspacing"/>
              <w:keepNext/>
            </w:pPr>
            <w:r w:rsidRPr="00222C32">
              <w:t>Australian Taxation Office</w:t>
            </w:r>
          </w:p>
        </w:tc>
        <w:tc>
          <w:tcPr>
            <w:tcW w:w="1044" w:type="dxa"/>
            <w:tcBorders>
              <w:top w:val="single" w:sz="4" w:space="0" w:color="293F5B"/>
              <w:bottom w:val="single" w:sz="4" w:space="0" w:color="293F5B"/>
            </w:tcBorders>
          </w:tcPr>
          <w:p w14:paraId="579050B9"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675AA3D" w14:textId="77777777" w:rsidR="00BB2CB4" w:rsidRPr="00222C32" w:rsidRDefault="000674DA">
            <w:pPr>
              <w:pStyle w:val="Measuretabledatarightaligneditalics"/>
              <w:keepNext/>
            </w:pPr>
            <w:r w:rsidRPr="00222C32">
              <w:t>-7.1</w:t>
            </w:r>
          </w:p>
        </w:tc>
        <w:tc>
          <w:tcPr>
            <w:tcW w:w="1044" w:type="dxa"/>
            <w:tcBorders>
              <w:top w:val="single" w:sz="4" w:space="0" w:color="293F5B"/>
              <w:bottom w:val="single" w:sz="4" w:space="0" w:color="293F5B"/>
            </w:tcBorders>
          </w:tcPr>
          <w:p w14:paraId="7B10C89D" w14:textId="77777777" w:rsidR="00BB2CB4" w:rsidRPr="00222C32" w:rsidRDefault="000674DA">
            <w:pPr>
              <w:pStyle w:val="Measuretabledatarightaligneditalics"/>
              <w:keepNext/>
            </w:pPr>
            <w:r w:rsidRPr="00222C32">
              <w:t>16.9</w:t>
            </w:r>
          </w:p>
        </w:tc>
        <w:tc>
          <w:tcPr>
            <w:tcW w:w="1044" w:type="dxa"/>
            <w:tcBorders>
              <w:top w:val="single" w:sz="4" w:space="0" w:color="293F5B"/>
              <w:bottom w:val="single" w:sz="4" w:space="0" w:color="293F5B"/>
            </w:tcBorders>
          </w:tcPr>
          <w:p w14:paraId="4DED22CD" w14:textId="77777777" w:rsidR="00BB2CB4" w:rsidRPr="00222C32" w:rsidRDefault="000674DA">
            <w:pPr>
              <w:pStyle w:val="Measuretabledatarightaligneditalics"/>
              <w:keepNext/>
            </w:pPr>
            <w:r w:rsidRPr="00222C32">
              <w:t>23.3</w:t>
            </w:r>
          </w:p>
        </w:tc>
        <w:tc>
          <w:tcPr>
            <w:tcW w:w="1044" w:type="dxa"/>
            <w:tcBorders>
              <w:top w:val="single" w:sz="4" w:space="0" w:color="293F5B"/>
              <w:bottom w:val="single" w:sz="4" w:space="0" w:color="293F5B"/>
            </w:tcBorders>
          </w:tcPr>
          <w:p w14:paraId="1D5CDE61" w14:textId="77777777" w:rsidR="00BB2CB4" w:rsidRPr="00222C32" w:rsidRDefault="000674DA">
            <w:pPr>
              <w:pStyle w:val="Measuretabledatarightaligneditalics"/>
              <w:keepNext/>
            </w:pPr>
            <w:r w:rsidRPr="00222C32">
              <w:t>442.3</w:t>
            </w:r>
          </w:p>
        </w:tc>
      </w:tr>
      <w:tr w:rsidR="00BB2CB4" w:rsidRPr="00222C32" w14:paraId="712FEC57" w14:textId="77777777" w:rsidTr="00825163">
        <w:tc>
          <w:tcPr>
            <w:tcW w:w="2501" w:type="dxa"/>
            <w:tcBorders>
              <w:top w:val="single" w:sz="4" w:space="0" w:color="293F5B"/>
              <w:bottom w:val="single" w:sz="4" w:space="0" w:color="293F5B"/>
            </w:tcBorders>
          </w:tcPr>
          <w:p w14:paraId="3EC83806" w14:textId="77777777" w:rsidR="00BB2CB4" w:rsidRPr="00222C32" w:rsidRDefault="000674DA">
            <w:pPr>
              <w:pStyle w:val="Totalrowitalicsleftaligned"/>
              <w:keepNext/>
            </w:pPr>
            <w:r w:rsidRPr="00222C32">
              <w:t>Total – Payments</w:t>
            </w:r>
          </w:p>
        </w:tc>
        <w:tc>
          <w:tcPr>
            <w:tcW w:w="1044" w:type="dxa"/>
            <w:tcBorders>
              <w:top w:val="single" w:sz="4" w:space="0" w:color="293F5B"/>
              <w:bottom w:val="single" w:sz="4" w:space="0" w:color="293F5B"/>
            </w:tcBorders>
          </w:tcPr>
          <w:p w14:paraId="221A137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D68F160" w14:textId="77777777" w:rsidR="00BB2CB4" w:rsidRPr="00222C32" w:rsidRDefault="000674DA">
            <w:pPr>
              <w:pStyle w:val="Measuretabledatarightaligneditalics"/>
              <w:keepNext/>
            </w:pPr>
            <w:r w:rsidRPr="00222C32">
              <w:t>-7.0</w:t>
            </w:r>
          </w:p>
        </w:tc>
        <w:tc>
          <w:tcPr>
            <w:tcW w:w="1044" w:type="dxa"/>
            <w:tcBorders>
              <w:top w:val="single" w:sz="4" w:space="0" w:color="293F5B"/>
              <w:bottom w:val="single" w:sz="4" w:space="0" w:color="293F5B"/>
            </w:tcBorders>
          </w:tcPr>
          <w:p w14:paraId="1E00DE79" w14:textId="77777777" w:rsidR="00BB2CB4" w:rsidRPr="00222C32" w:rsidRDefault="000674DA">
            <w:pPr>
              <w:pStyle w:val="Measuretabledatarightaligneditalics"/>
              <w:keepNext/>
            </w:pPr>
            <w:r w:rsidRPr="00222C32">
              <w:t>17.0</w:t>
            </w:r>
          </w:p>
        </w:tc>
        <w:tc>
          <w:tcPr>
            <w:tcW w:w="1044" w:type="dxa"/>
            <w:tcBorders>
              <w:top w:val="single" w:sz="4" w:space="0" w:color="293F5B"/>
              <w:bottom w:val="single" w:sz="4" w:space="0" w:color="293F5B"/>
            </w:tcBorders>
          </w:tcPr>
          <w:p w14:paraId="22637F55" w14:textId="77777777" w:rsidR="00BB2CB4" w:rsidRPr="00222C32" w:rsidRDefault="000674DA">
            <w:pPr>
              <w:pStyle w:val="Measuretabledatarightaligneditalics"/>
              <w:keepNext/>
            </w:pPr>
            <w:r w:rsidRPr="00222C32">
              <w:t>23.4</w:t>
            </w:r>
          </w:p>
        </w:tc>
        <w:tc>
          <w:tcPr>
            <w:tcW w:w="1044" w:type="dxa"/>
            <w:tcBorders>
              <w:top w:val="single" w:sz="4" w:space="0" w:color="293F5B"/>
              <w:bottom w:val="single" w:sz="4" w:space="0" w:color="293F5B"/>
            </w:tcBorders>
          </w:tcPr>
          <w:p w14:paraId="5E189C45" w14:textId="77777777" w:rsidR="00BB2CB4" w:rsidRPr="00222C32" w:rsidRDefault="000674DA">
            <w:pPr>
              <w:pStyle w:val="Measuretabledatarightaligneditalics"/>
              <w:keepNext/>
            </w:pPr>
            <w:r w:rsidRPr="00222C32">
              <w:t>442.4</w:t>
            </w:r>
          </w:p>
        </w:tc>
      </w:tr>
    </w:tbl>
    <w:p w14:paraId="6C7B1C5E" w14:textId="77777777" w:rsidR="00A506BB" w:rsidRDefault="00A506BB" w:rsidP="00A506BB">
      <w:pPr>
        <w:pStyle w:val="SingleParagraph"/>
      </w:pPr>
    </w:p>
    <w:p w14:paraId="20417C82" w14:textId="49ACB683" w:rsidR="00BB2CB4" w:rsidRDefault="000674DA">
      <w:pPr>
        <w:pStyle w:val="Normal2"/>
      </w:pPr>
      <w:r w:rsidRPr="42F5CE43">
        <w:rPr>
          <w:lang w:val="en-US"/>
        </w:rPr>
        <w:t>The Government will deliver more help to low</w:t>
      </w:r>
      <w:r w:rsidR="00C572AC">
        <w:rPr>
          <w:lang w:val="en-US"/>
        </w:rPr>
        <w:t>-</w:t>
      </w:r>
      <w:r w:rsidRPr="42F5CE43">
        <w:rPr>
          <w:lang w:val="en-US"/>
        </w:rPr>
        <w:t>income workers and build a stronger, fairer and more sustainable superannuation system.</w:t>
      </w:r>
    </w:p>
    <w:p w14:paraId="0B5255E8" w14:textId="01E29623" w:rsidR="00BB2CB4" w:rsidRDefault="000674DA">
      <w:pPr>
        <w:pStyle w:val="Normal2"/>
      </w:pPr>
      <w:r w:rsidRPr="42F5CE43">
        <w:rPr>
          <w:lang w:val="en-US"/>
        </w:rPr>
        <w:t>The Government is boosting the Low Income Superannuation Tax Offset (LISTO) from 1 July 2027 to provide additional support for low</w:t>
      </w:r>
      <w:r w:rsidR="00023C54">
        <w:rPr>
          <w:lang w:val="en-US"/>
        </w:rPr>
        <w:t>-</w:t>
      </w:r>
      <w:r w:rsidRPr="42F5CE43">
        <w:rPr>
          <w:lang w:val="en-US"/>
        </w:rPr>
        <w:t>income workers building their retirement savings. The LISTO threshold will increase from $37,000 to $45,000 to match the top of the second income tax bracket. The maximum payment will also increase to $810 to account for recent increases in the Superannuation Guarantee rate.</w:t>
      </w:r>
    </w:p>
    <w:p w14:paraId="70B64E1D" w14:textId="56999B24" w:rsidR="00BB2CB4" w:rsidRDefault="000674DA">
      <w:pPr>
        <w:pStyle w:val="Normal2"/>
      </w:pPr>
      <w:r>
        <w:t xml:space="preserve">Practical changes will also be made to the design and implementation of the 2023–‍24 Budget measure </w:t>
      </w:r>
      <w:r w:rsidRPr="000674DA">
        <w:rPr>
          <w:i/>
        </w:rPr>
        <w:t xml:space="preserve">Better Targeted Superannuation Concessions </w:t>
      </w:r>
      <w:r>
        <w:t>(BTSC) that brings the headline rate to 30 per cent for earnings corresponding to the proportion of an individual</w:t>
      </w:r>
      <w:r w:rsidR="00222C32">
        <w:t>’</w:t>
      </w:r>
      <w:r>
        <w:t>s total superannuation balance that is greater than $3 million.</w:t>
      </w:r>
    </w:p>
    <w:p w14:paraId="1CDFAE84" w14:textId="77777777" w:rsidR="00BB2CB4" w:rsidRDefault="000674DA" w:rsidP="00B34D55">
      <w:pPr>
        <w:pStyle w:val="Normal2"/>
        <w:keepNext/>
      </w:pPr>
      <w:r>
        <w:lastRenderedPageBreak/>
        <w:t>The changes include:</w:t>
      </w:r>
    </w:p>
    <w:p w14:paraId="4C36BAB8" w14:textId="312B00C0" w:rsidR="00BB2CB4" w:rsidRDefault="000674DA" w:rsidP="00B91FEB">
      <w:pPr>
        <w:pStyle w:val="StyleBulletBefore5ptAfter5pt"/>
      </w:pPr>
      <w:r>
        <w:t>introducing a second threshold at a headline tax rate of 40 per cent for earnings corresponding to the proportion of an individual</w:t>
      </w:r>
      <w:r w:rsidR="00222C32">
        <w:t>’</w:t>
      </w:r>
      <w:r>
        <w:t>s total superannuation balance above $10 million</w:t>
      </w:r>
    </w:p>
    <w:p w14:paraId="6AA60A98" w14:textId="77777777" w:rsidR="00BB2CB4" w:rsidRDefault="000674DA" w:rsidP="00B91FEB">
      <w:pPr>
        <w:pStyle w:val="StyleBulletBefore5ptAfter5pt"/>
      </w:pPr>
      <w:r>
        <w:t>indexing the large balance thresholds of $3 million and $10 million to maintain relativity with the transfer balance cap</w:t>
      </w:r>
    </w:p>
    <w:p w14:paraId="7EF15CAE" w14:textId="77777777" w:rsidR="00BB2CB4" w:rsidRDefault="000674DA" w:rsidP="00B91FEB">
      <w:pPr>
        <w:pStyle w:val="StyleBulletBefore5ptAfter5pt"/>
      </w:pPr>
      <w:r>
        <w:t>moving to a realised earnings approach that aligns to existing income tax concepts</w:t>
      </w:r>
    </w:p>
    <w:p w14:paraId="0C7D7BE5" w14:textId="77777777" w:rsidR="00BB2CB4" w:rsidRDefault="000674DA" w:rsidP="00B91FEB">
      <w:pPr>
        <w:pStyle w:val="StyleBulletBefore5ptAfter5pt"/>
      </w:pPr>
      <w:r>
        <w:t>deferring the start date to 1 July 2026.</w:t>
      </w:r>
    </w:p>
    <w:p w14:paraId="4506BD42" w14:textId="77777777" w:rsidR="00BB2CB4" w:rsidRDefault="000674DA">
      <w:pPr>
        <w:pStyle w:val="Normal2"/>
      </w:pPr>
      <w:r>
        <w:t>Commensurate treatment will be applied to defined benefits to ensure equivalent impacts for these members.</w:t>
      </w:r>
    </w:p>
    <w:p w14:paraId="2E97683E" w14:textId="77777777" w:rsidR="00BB2CB4" w:rsidRDefault="000674DA">
      <w:pPr>
        <w:pStyle w:val="Normal2"/>
      </w:pPr>
      <w:r w:rsidRPr="42F5CE43">
        <w:rPr>
          <w:lang w:val="en-US"/>
        </w:rPr>
        <w:t>This measure is estimated to decrease receipts by $3.75 billion and increase payments by $475.8 million over five years from 2024–‍25. This includes an increase in administered payments of $435 million from the boost to the LISTO and additional funding of $40.4 million for the ATO to implement the measure.</w:t>
      </w:r>
    </w:p>
    <w:p w14:paraId="0186CF25" w14:textId="77777777" w:rsidR="00BB2CB4" w:rsidRDefault="000674DA">
      <w:pPr>
        <w:pStyle w:val="Normal2"/>
      </w:pPr>
      <w:r w:rsidRPr="42F5CE43">
        <w:rPr>
          <w:lang w:val="en-US"/>
        </w:rPr>
        <w:t>In 2028–‍29, the first full year of receipts collection, the updated policy accounting for these changes will provide a saving to the Budget of around $1.6 billion in net terms, including the cost of increasing the LISTO.</w:t>
      </w:r>
    </w:p>
    <w:p w14:paraId="2BC56FE5" w14:textId="77777777" w:rsidR="00BB2CB4" w:rsidRDefault="000674DA">
      <w:pPr>
        <w:pStyle w:val="Normal2"/>
      </w:pPr>
      <w:r>
        <w:t>Further information can be found in the press release of 13 October 2025 issued by the Treasurer.</w:t>
      </w:r>
    </w:p>
    <w:p w14:paraId="50627989" w14:textId="77777777" w:rsidR="00BB2CB4" w:rsidRDefault="000674DA">
      <w:pPr>
        <w:pStyle w:val="MeasureTitle"/>
      </w:pPr>
      <w:r>
        <w:t>Supporting Philanthropy</w:t>
      </w:r>
    </w:p>
    <w:p w14:paraId="6CDD5DD6" w14:textId="77777777" w:rsidR="00BB2CB4" w:rsidRDefault="000674DA">
      <w:pPr>
        <w:pStyle w:val="MeasureTableHeading"/>
      </w:pPr>
      <w:r>
        <w:t>Receipts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34495BB0" w14:textId="77777777" w:rsidTr="00825163">
        <w:trPr>
          <w:cantSplit/>
        </w:trPr>
        <w:tc>
          <w:tcPr>
            <w:tcW w:w="2500" w:type="dxa"/>
            <w:tcBorders>
              <w:top w:val="single" w:sz="4" w:space="0" w:color="293F5B"/>
              <w:bottom w:val="single" w:sz="4" w:space="0" w:color="293F5B"/>
            </w:tcBorders>
          </w:tcPr>
          <w:p w14:paraId="0365D3D5" w14:textId="77777777" w:rsidR="00BB2CB4" w:rsidRPr="00222C32" w:rsidRDefault="00BB2CB4">
            <w:pPr>
              <w:pStyle w:val="MeasureTableYearHeadings"/>
              <w:keepNext/>
            </w:pPr>
          </w:p>
        </w:tc>
        <w:tc>
          <w:tcPr>
            <w:tcW w:w="1043" w:type="dxa"/>
            <w:tcBorders>
              <w:top w:val="single" w:sz="4" w:space="0" w:color="293F5B"/>
              <w:bottom w:val="single" w:sz="4" w:space="0" w:color="293F5B"/>
            </w:tcBorders>
          </w:tcPr>
          <w:p w14:paraId="747C33DE" w14:textId="77777777" w:rsidR="00BB2CB4" w:rsidRPr="00222C32" w:rsidRDefault="000674DA">
            <w:pPr>
              <w:pStyle w:val="MeasureTableYearHeadings"/>
              <w:keepNext/>
            </w:pPr>
            <w:r w:rsidRPr="00222C32">
              <w:t>2024-25</w:t>
            </w:r>
          </w:p>
        </w:tc>
        <w:tc>
          <w:tcPr>
            <w:tcW w:w="1043" w:type="dxa"/>
            <w:tcBorders>
              <w:top w:val="single" w:sz="4" w:space="0" w:color="293F5B"/>
              <w:bottom w:val="single" w:sz="4" w:space="0" w:color="293F5B"/>
            </w:tcBorders>
          </w:tcPr>
          <w:p w14:paraId="5BDED344" w14:textId="77777777" w:rsidR="00BB2CB4" w:rsidRPr="00222C32" w:rsidRDefault="000674DA">
            <w:pPr>
              <w:pStyle w:val="MeasureTableYearHeadings"/>
              <w:keepNext/>
            </w:pPr>
            <w:r w:rsidRPr="00222C32">
              <w:t>2025-26</w:t>
            </w:r>
          </w:p>
        </w:tc>
        <w:tc>
          <w:tcPr>
            <w:tcW w:w="1043" w:type="dxa"/>
            <w:tcBorders>
              <w:top w:val="single" w:sz="4" w:space="0" w:color="293F5B"/>
              <w:bottom w:val="single" w:sz="4" w:space="0" w:color="293F5B"/>
            </w:tcBorders>
          </w:tcPr>
          <w:p w14:paraId="0E5BCF38" w14:textId="77777777" w:rsidR="00BB2CB4" w:rsidRPr="00222C32" w:rsidRDefault="000674DA">
            <w:pPr>
              <w:pStyle w:val="MeasureTableYearHeadings"/>
              <w:keepNext/>
            </w:pPr>
            <w:r w:rsidRPr="00222C32">
              <w:t>2026-27</w:t>
            </w:r>
          </w:p>
        </w:tc>
        <w:tc>
          <w:tcPr>
            <w:tcW w:w="1043" w:type="dxa"/>
            <w:tcBorders>
              <w:top w:val="single" w:sz="4" w:space="0" w:color="293F5B"/>
              <w:bottom w:val="single" w:sz="4" w:space="0" w:color="293F5B"/>
            </w:tcBorders>
          </w:tcPr>
          <w:p w14:paraId="73293FF4" w14:textId="77777777" w:rsidR="00BB2CB4" w:rsidRPr="00222C32" w:rsidRDefault="000674DA">
            <w:pPr>
              <w:pStyle w:val="MeasureTableYearHeadings"/>
              <w:keepNext/>
            </w:pPr>
            <w:r w:rsidRPr="00222C32">
              <w:t>2027-28</w:t>
            </w:r>
          </w:p>
        </w:tc>
        <w:tc>
          <w:tcPr>
            <w:tcW w:w="1043" w:type="dxa"/>
            <w:tcBorders>
              <w:top w:val="single" w:sz="4" w:space="0" w:color="293F5B"/>
              <w:bottom w:val="single" w:sz="4" w:space="0" w:color="293F5B"/>
            </w:tcBorders>
          </w:tcPr>
          <w:p w14:paraId="10875EB7" w14:textId="77777777" w:rsidR="00BB2CB4" w:rsidRPr="00222C32" w:rsidRDefault="000674DA">
            <w:pPr>
              <w:pStyle w:val="MeasureTableYearHeadings"/>
              <w:keepNext/>
            </w:pPr>
            <w:r w:rsidRPr="00222C32">
              <w:t>2028-29</w:t>
            </w:r>
          </w:p>
        </w:tc>
      </w:tr>
      <w:tr w:rsidR="00BB2CB4" w:rsidRPr="00222C32" w14:paraId="62FBF439" w14:textId="77777777" w:rsidTr="00825163">
        <w:trPr>
          <w:cantSplit/>
        </w:trPr>
        <w:tc>
          <w:tcPr>
            <w:tcW w:w="2500" w:type="dxa"/>
            <w:tcBorders>
              <w:top w:val="single" w:sz="4" w:space="0" w:color="293F5B"/>
              <w:bottom w:val="single" w:sz="4" w:space="0" w:color="293F5B"/>
            </w:tcBorders>
          </w:tcPr>
          <w:p w14:paraId="7D4F342B" w14:textId="77777777" w:rsidR="00BB2CB4" w:rsidRPr="00222C32" w:rsidRDefault="000674DA">
            <w:pPr>
              <w:pStyle w:val="MeasureTableHeadingleftalignedwith2ptsspacing"/>
              <w:keepNext/>
            </w:pPr>
            <w:r w:rsidRPr="00222C32">
              <w:t>Australian Taxation Office</w:t>
            </w:r>
          </w:p>
        </w:tc>
        <w:tc>
          <w:tcPr>
            <w:tcW w:w="1043" w:type="dxa"/>
            <w:tcBorders>
              <w:top w:val="single" w:sz="4" w:space="0" w:color="293F5B"/>
              <w:bottom w:val="single" w:sz="4" w:space="0" w:color="293F5B"/>
            </w:tcBorders>
          </w:tcPr>
          <w:p w14:paraId="62914F87"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7BA4DC42"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7EA2D798"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4835D9BB" w14:textId="77777777" w:rsidR="00BB2CB4" w:rsidRPr="00222C32" w:rsidRDefault="000674DA">
            <w:pPr>
              <w:pStyle w:val="MeasureTableDataRightAlignedwith2ptsspacing"/>
              <w:keepNext/>
            </w:pPr>
            <w:r w:rsidRPr="00222C32">
              <w:t>-0.1</w:t>
            </w:r>
          </w:p>
        </w:tc>
        <w:tc>
          <w:tcPr>
            <w:tcW w:w="1043" w:type="dxa"/>
            <w:tcBorders>
              <w:top w:val="single" w:sz="4" w:space="0" w:color="293F5B"/>
              <w:bottom w:val="single" w:sz="4" w:space="0" w:color="293F5B"/>
            </w:tcBorders>
          </w:tcPr>
          <w:p w14:paraId="54EEA9FB" w14:textId="77777777" w:rsidR="00BB2CB4" w:rsidRPr="00222C32" w:rsidRDefault="000674DA">
            <w:pPr>
              <w:pStyle w:val="MeasureTableDataRightAlignedwith2ptsspacing"/>
              <w:keepNext/>
            </w:pPr>
            <w:r w:rsidRPr="00222C32">
              <w:t>-0.1</w:t>
            </w:r>
          </w:p>
        </w:tc>
      </w:tr>
    </w:tbl>
    <w:p w14:paraId="68565644" w14:textId="77777777" w:rsidR="00BB2CB4" w:rsidRDefault="000674DA">
      <w:pPr>
        <w:pStyle w:val="Normal2"/>
      </w:pPr>
      <w:r w:rsidRPr="42F5CE43">
        <w:rPr>
          <w:lang w:val="en-US"/>
        </w:rPr>
        <w:t>The Government will amend the tax law to specifically list the following organisations as deductible gift recipients (DGRs) for a period of five years, for gifts received after 30 June 2026 and before 1 July 2031:</w:t>
      </w:r>
    </w:p>
    <w:p w14:paraId="53386936" w14:textId="77777777" w:rsidR="00BB2CB4" w:rsidRDefault="000674DA" w:rsidP="00B91FEB">
      <w:pPr>
        <w:pStyle w:val="StyleBulletBefore5ptAfter5pt"/>
      </w:pPr>
      <w:r>
        <w:t>Australian Academy of Law</w:t>
      </w:r>
    </w:p>
    <w:p w14:paraId="362915C8" w14:textId="77777777" w:rsidR="00BB2CB4" w:rsidRDefault="000674DA" w:rsidP="00B91FEB">
      <w:pPr>
        <w:pStyle w:val="StyleBulletBefore5ptAfter5pt"/>
      </w:pPr>
      <w:r>
        <w:t>Cambridge Australia Scholarships Limited</w:t>
      </w:r>
    </w:p>
    <w:p w14:paraId="61357957" w14:textId="77777777" w:rsidR="00BB2CB4" w:rsidRDefault="000674DA" w:rsidP="00B91FEB">
      <w:pPr>
        <w:pStyle w:val="StyleBulletBefore5ptAfter5pt"/>
      </w:pPr>
      <w:r>
        <w:t>Ross House Trust</w:t>
      </w:r>
    </w:p>
    <w:p w14:paraId="5B7CD6B8" w14:textId="77777777" w:rsidR="00BB2CB4" w:rsidRDefault="000674DA" w:rsidP="00B91FEB">
      <w:pPr>
        <w:pStyle w:val="StyleBulletBefore5ptAfter5pt"/>
      </w:pPr>
      <w:r>
        <w:t>Tanarra Social Purpose Ltd.</w:t>
      </w:r>
    </w:p>
    <w:p w14:paraId="5F46420F" w14:textId="77777777" w:rsidR="00BB2CB4" w:rsidRDefault="000674DA">
      <w:pPr>
        <w:pStyle w:val="Normal2"/>
      </w:pPr>
      <w:r w:rsidRPr="42F5CE43">
        <w:rPr>
          <w:lang w:val="en-US"/>
        </w:rPr>
        <w:t>Additional charities affiliated with the peak body Community Foundations Australia (CFA) will be eligible to seek endorsement by the ATO as community charity DGRs, subject to meeting all requirements under the tax law including being named in a ministerial declaration. This builds on the 2023–‍24 Budget decision in relation to providing DGR status to the 28 organisations affiliated with CFA at the time.</w:t>
      </w:r>
    </w:p>
    <w:p w14:paraId="256124E6" w14:textId="6CA66852" w:rsidR="00BB2CB4" w:rsidRDefault="000674DA">
      <w:pPr>
        <w:pStyle w:val="Normal2"/>
      </w:pPr>
      <w:r w:rsidRPr="42F5CE43">
        <w:rPr>
          <w:lang w:val="en-US"/>
        </w:rPr>
        <w:t>Specific listing of the above four organisations as DGRs is expected to decrease receipts by $0.2 million over five years from 2024–‍25. Enabling CFA</w:t>
      </w:r>
      <w:r w:rsidR="005118F5">
        <w:rPr>
          <w:lang w:val="en-US"/>
        </w:rPr>
        <w:t>-</w:t>
      </w:r>
      <w:r w:rsidRPr="42F5CE43">
        <w:rPr>
          <w:lang w:val="en-US"/>
        </w:rPr>
        <w:t>affiliated charities to seek DGR endorsement by the ATO is expected to result in a small but unquantifiable decrease in receipts over five years from 2024–‍25.</w:t>
      </w:r>
    </w:p>
    <w:p w14:paraId="1AD1512A" w14:textId="77777777" w:rsidR="00992F0C" w:rsidRDefault="00992F0C">
      <w:pPr>
        <w:pStyle w:val="Heading2"/>
        <w:rPr>
          <w:sz w:val="30"/>
        </w:rPr>
        <w:sectPr w:rsidR="00992F0C" w:rsidSect="00301ACF">
          <w:headerReference w:type="even" r:id="rId37"/>
          <w:headerReference w:type="default" r:id="rId38"/>
          <w:footerReference w:type="even" r:id="rId39"/>
          <w:footerReference w:type="default" r:id="rId40"/>
          <w:headerReference w:type="first" r:id="rId41"/>
          <w:footerReference w:type="first" r:id="rId42"/>
          <w:pgSz w:w="11906" w:h="16838" w:code="9"/>
          <w:pgMar w:top="2835" w:right="2098" w:bottom="2466" w:left="2098" w:header="1814" w:footer="1814" w:gutter="0"/>
          <w:cols w:space="720"/>
          <w:docGrid w:linePitch="272"/>
        </w:sectPr>
      </w:pPr>
    </w:p>
    <w:p w14:paraId="6B238847" w14:textId="77777777" w:rsidR="00BB2CB4" w:rsidRDefault="000674DA" w:rsidP="00B5490D">
      <w:pPr>
        <w:pStyle w:val="Heading2"/>
      </w:pPr>
      <w:r w:rsidRPr="00B5490D">
        <w:lastRenderedPageBreak/>
        <w:t>Payment</w:t>
      </w:r>
      <w:r>
        <w:t xml:space="preserve"> Measures</w:t>
      </w:r>
    </w:p>
    <w:p w14:paraId="4D300BB2" w14:textId="6B922917" w:rsidR="00BB2CB4" w:rsidRDefault="000674DA">
      <w:pPr>
        <w:pStyle w:val="TableHeading"/>
      </w:pPr>
      <w:r>
        <w:t xml:space="preserve">Table </w:t>
      </w:r>
      <w:r w:rsidR="00AD2875">
        <w:t xml:space="preserve">A.2: </w:t>
      </w:r>
      <w:r>
        <w:t>Payment measures since the 2025 PEFO⁽ª⁾</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BB2CB4" w:rsidRPr="00222C32" w14:paraId="27EAE6CA" w14:textId="77777777" w:rsidTr="00825163">
        <w:tc>
          <w:tcPr>
            <w:tcW w:w="3471" w:type="dxa"/>
            <w:tcBorders>
              <w:top w:val="single" w:sz="4" w:space="0" w:color="293F5B"/>
              <w:bottom w:val="nil"/>
            </w:tcBorders>
          </w:tcPr>
          <w:p w14:paraId="473D87E7" w14:textId="77777777" w:rsidR="00BB2CB4" w:rsidRPr="00222C32" w:rsidRDefault="00BB2CB4">
            <w:pPr>
              <w:pStyle w:val="Summarytabletextrightaligned"/>
            </w:pPr>
          </w:p>
        </w:tc>
        <w:tc>
          <w:tcPr>
            <w:tcW w:w="850" w:type="dxa"/>
            <w:tcBorders>
              <w:top w:val="single" w:sz="4" w:space="0" w:color="293F5B"/>
              <w:bottom w:val="nil"/>
            </w:tcBorders>
          </w:tcPr>
          <w:p w14:paraId="1E937366" w14:textId="77777777" w:rsidR="00BB2CB4" w:rsidRPr="00222C32" w:rsidRDefault="000674DA">
            <w:pPr>
              <w:pStyle w:val="Summarytabletextrightaligned"/>
            </w:pPr>
            <w:r w:rsidRPr="00222C32">
              <w:t>2024-25</w:t>
            </w:r>
          </w:p>
        </w:tc>
        <w:tc>
          <w:tcPr>
            <w:tcW w:w="850" w:type="dxa"/>
            <w:tcBorders>
              <w:top w:val="single" w:sz="4" w:space="0" w:color="293F5B"/>
              <w:bottom w:val="nil"/>
            </w:tcBorders>
            <w:shd w:val="clear" w:color="auto" w:fill="E6F2FF"/>
          </w:tcPr>
          <w:p w14:paraId="19BED8AA" w14:textId="77777777" w:rsidR="00BB2CB4" w:rsidRPr="00222C32" w:rsidRDefault="000674DA">
            <w:pPr>
              <w:pStyle w:val="Summarytabletextrightaligned"/>
            </w:pPr>
            <w:r w:rsidRPr="00222C32">
              <w:t>2025-26</w:t>
            </w:r>
          </w:p>
        </w:tc>
        <w:tc>
          <w:tcPr>
            <w:tcW w:w="850" w:type="dxa"/>
            <w:tcBorders>
              <w:top w:val="single" w:sz="4" w:space="0" w:color="293F5B"/>
              <w:bottom w:val="nil"/>
            </w:tcBorders>
          </w:tcPr>
          <w:p w14:paraId="498AA59C" w14:textId="77777777" w:rsidR="00BB2CB4" w:rsidRPr="00222C32" w:rsidRDefault="000674DA">
            <w:pPr>
              <w:pStyle w:val="Summarytabletextrightaligned"/>
            </w:pPr>
            <w:r w:rsidRPr="00222C32">
              <w:t>2026-27</w:t>
            </w:r>
          </w:p>
        </w:tc>
        <w:tc>
          <w:tcPr>
            <w:tcW w:w="850" w:type="dxa"/>
            <w:tcBorders>
              <w:top w:val="single" w:sz="4" w:space="0" w:color="293F5B"/>
              <w:bottom w:val="nil"/>
            </w:tcBorders>
          </w:tcPr>
          <w:p w14:paraId="67001FD2" w14:textId="77777777" w:rsidR="00BB2CB4" w:rsidRPr="00222C32" w:rsidRDefault="000674DA">
            <w:pPr>
              <w:pStyle w:val="Summarytabletextrightaligned"/>
            </w:pPr>
            <w:r w:rsidRPr="00222C32">
              <w:t>2027-28</w:t>
            </w:r>
          </w:p>
        </w:tc>
        <w:tc>
          <w:tcPr>
            <w:tcW w:w="850" w:type="dxa"/>
            <w:tcBorders>
              <w:top w:val="single" w:sz="4" w:space="0" w:color="293F5B"/>
              <w:bottom w:val="nil"/>
            </w:tcBorders>
          </w:tcPr>
          <w:p w14:paraId="0AD1A671" w14:textId="77777777" w:rsidR="00BB2CB4" w:rsidRPr="00222C32" w:rsidRDefault="000674DA">
            <w:pPr>
              <w:pStyle w:val="Summarytabletextrightaligned"/>
            </w:pPr>
            <w:r w:rsidRPr="00222C32">
              <w:t>2028-29</w:t>
            </w:r>
          </w:p>
        </w:tc>
      </w:tr>
      <w:tr w:rsidR="00BB2CB4" w:rsidRPr="00222C32" w14:paraId="6B9A98D8" w14:textId="77777777" w:rsidTr="00825163">
        <w:tc>
          <w:tcPr>
            <w:tcW w:w="3471" w:type="dxa"/>
            <w:tcBorders>
              <w:top w:val="nil"/>
            </w:tcBorders>
          </w:tcPr>
          <w:p w14:paraId="79A48D86" w14:textId="77777777" w:rsidR="00BB2CB4" w:rsidRPr="00222C32" w:rsidRDefault="00BB2CB4">
            <w:pPr>
              <w:pStyle w:val="Summarytabletextrightaligned"/>
            </w:pPr>
          </w:p>
        </w:tc>
        <w:tc>
          <w:tcPr>
            <w:tcW w:w="850" w:type="dxa"/>
            <w:tcBorders>
              <w:top w:val="nil"/>
              <w:bottom w:val="single" w:sz="4" w:space="0" w:color="293F5B"/>
            </w:tcBorders>
          </w:tcPr>
          <w:p w14:paraId="38D64C16" w14:textId="77777777" w:rsidR="00BB2CB4" w:rsidRPr="00222C32" w:rsidRDefault="000674DA">
            <w:pPr>
              <w:pStyle w:val="Summarytabletextrightaligned"/>
            </w:pPr>
            <w:r w:rsidRPr="00222C32">
              <w:t>$m</w:t>
            </w:r>
          </w:p>
        </w:tc>
        <w:tc>
          <w:tcPr>
            <w:tcW w:w="850" w:type="dxa"/>
            <w:tcBorders>
              <w:top w:val="nil"/>
              <w:bottom w:val="single" w:sz="4" w:space="0" w:color="293F5B"/>
            </w:tcBorders>
            <w:shd w:val="clear" w:color="auto" w:fill="E6F2FF"/>
          </w:tcPr>
          <w:p w14:paraId="1031ABF5"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5C9E7FD0"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479A360A" w14:textId="77777777" w:rsidR="00BB2CB4" w:rsidRPr="00222C32" w:rsidRDefault="000674DA">
            <w:pPr>
              <w:pStyle w:val="Summarytabletextrightaligned"/>
            </w:pPr>
            <w:r w:rsidRPr="00222C32">
              <w:t>$m</w:t>
            </w:r>
          </w:p>
        </w:tc>
        <w:tc>
          <w:tcPr>
            <w:tcW w:w="850" w:type="dxa"/>
            <w:tcBorders>
              <w:top w:val="nil"/>
              <w:bottom w:val="single" w:sz="4" w:space="0" w:color="293F5B"/>
            </w:tcBorders>
          </w:tcPr>
          <w:p w14:paraId="0217F18E" w14:textId="77777777" w:rsidR="00BB2CB4" w:rsidRPr="00222C32" w:rsidRDefault="000674DA">
            <w:pPr>
              <w:pStyle w:val="Summarytabletextrightaligned"/>
            </w:pPr>
            <w:r w:rsidRPr="00222C32">
              <w:t>$m</w:t>
            </w:r>
          </w:p>
        </w:tc>
      </w:tr>
      <w:tr w:rsidR="00BB2CB4" w:rsidRPr="00222C32" w14:paraId="2CA07E92" w14:textId="77777777" w:rsidTr="00825163">
        <w:tc>
          <w:tcPr>
            <w:tcW w:w="3471" w:type="dxa"/>
            <w:vAlign w:val="bottom"/>
          </w:tcPr>
          <w:p w14:paraId="24E68285" w14:textId="77777777" w:rsidR="00BB2CB4" w:rsidRPr="00222C32" w:rsidRDefault="000674DA">
            <w:pPr>
              <w:pStyle w:val="SummaryPortfolioTitle-BP2"/>
            </w:pPr>
            <w:r w:rsidRPr="00222C32">
              <w:t>AGRICULTURE, FISHERIES AND FORESTRY</w:t>
            </w:r>
          </w:p>
        </w:tc>
        <w:tc>
          <w:tcPr>
            <w:tcW w:w="850" w:type="dxa"/>
            <w:tcBorders>
              <w:top w:val="single" w:sz="4" w:space="0" w:color="293F5B"/>
            </w:tcBorders>
          </w:tcPr>
          <w:p w14:paraId="3A29F006"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75E9E97F" w14:textId="77777777" w:rsidR="00BB2CB4" w:rsidRPr="00222C32" w:rsidRDefault="00BB2CB4">
            <w:pPr>
              <w:pStyle w:val="MeasureTableTextRightAlignedBefore6ptAfter1pt"/>
            </w:pPr>
          </w:p>
        </w:tc>
        <w:tc>
          <w:tcPr>
            <w:tcW w:w="850" w:type="dxa"/>
            <w:tcBorders>
              <w:top w:val="single" w:sz="4" w:space="0" w:color="293F5B"/>
            </w:tcBorders>
          </w:tcPr>
          <w:p w14:paraId="29AFACBE" w14:textId="77777777" w:rsidR="00BB2CB4" w:rsidRPr="00222C32" w:rsidRDefault="00BB2CB4">
            <w:pPr>
              <w:pStyle w:val="MeasureTableTextRightAlignedBefore6ptAfter1pt"/>
            </w:pPr>
          </w:p>
        </w:tc>
        <w:tc>
          <w:tcPr>
            <w:tcW w:w="850" w:type="dxa"/>
            <w:tcBorders>
              <w:top w:val="single" w:sz="4" w:space="0" w:color="293F5B"/>
            </w:tcBorders>
          </w:tcPr>
          <w:p w14:paraId="5382B563" w14:textId="77777777" w:rsidR="00BB2CB4" w:rsidRPr="00222C32" w:rsidRDefault="00BB2CB4">
            <w:pPr>
              <w:pStyle w:val="MeasureTableTextRightAlignedBefore6ptAfter1pt"/>
            </w:pPr>
          </w:p>
        </w:tc>
        <w:tc>
          <w:tcPr>
            <w:tcW w:w="850" w:type="dxa"/>
            <w:tcBorders>
              <w:top w:val="single" w:sz="4" w:space="0" w:color="293F5B"/>
            </w:tcBorders>
          </w:tcPr>
          <w:p w14:paraId="587571ED" w14:textId="77777777" w:rsidR="00BB2CB4" w:rsidRPr="00222C32" w:rsidRDefault="00BB2CB4">
            <w:pPr>
              <w:pStyle w:val="MeasureTableTextRightAlignedBefore6ptAfter1pt"/>
            </w:pPr>
          </w:p>
        </w:tc>
      </w:tr>
      <w:tr w:rsidR="00BB2CB4" w:rsidRPr="00222C32" w14:paraId="3E23FCF2" w14:textId="77777777" w:rsidTr="00825163">
        <w:tc>
          <w:tcPr>
            <w:tcW w:w="3471" w:type="dxa"/>
            <w:vAlign w:val="bottom"/>
          </w:tcPr>
          <w:p w14:paraId="242468FA" w14:textId="77777777" w:rsidR="00BB2CB4" w:rsidRPr="00222C32" w:rsidRDefault="000674DA">
            <w:pPr>
              <w:pStyle w:val="SummaryAgencyTitle-BP2"/>
            </w:pPr>
            <w:r w:rsidRPr="00222C32">
              <w:t>Department of Agriculture, Fisheries and Forestry</w:t>
            </w:r>
          </w:p>
        </w:tc>
        <w:tc>
          <w:tcPr>
            <w:tcW w:w="850" w:type="dxa"/>
          </w:tcPr>
          <w:p w14:paraId="23DC12AB" w14:textId="77777777" w:rsidR="00BB2CB4" w:rsidRPr="00222C32" w:rsidRDefault="00BB2CB4">
            <w:pPr>
              <w:pStyle w:val="SummaryAgencyTitle-BP2"/>
            </w:pPr>
          </w:p>
        </w:tc>
        <w:tc>
          <w:tcPr>
            <w:tcW w:w="850" w:type="dxa"/>
            <w:shd w:val="clear" w:color="auto" w:fill="E6F2FF"/>
          </w:tcPr>
          <w:p w14:paraId="4CC4E769" w14:textId="77777777" w:rsidR="00BB2CB4" w:rsidRPr="00222C32" w:rsidRDefault="00BB2CB4">
            <w:pPr>
              <w:pStyle w:val="SummaryAgencyTitle-BP2"/>
            </w:pPr>
          </w:p>
        </w:tc>
        <w:tc>
          <w:tcPr>
            <w:tcW w:w="850" w:type="dxa"/>
          </w:tcPr>
          <w:p w14:paraId="38EE9750" w14:textId="77777777" w:rsidR="00BB2CB4" w:rsidRPr="00222C32" w:rsidRDefault="00BB2CB4">
            <w:pPr>
              <w:pStyle w:val="SummaryAgencyTitle-BP2"/>
            </w:pPr>
          </w:p>
        </w:tc>
        <w:tc>
          <w:tcPr>
            <w:tcW w:w="850" w:type="dxa"/>
          </w:tcPr>
          <w:p w14:paraId="342FAEAE" w14:textId="77777777" w:rsidR="00BB2CB4" w:rsidRPr="00222C32" w:rsidRDefault="00BB2CB4">
            <w:pPr>
              <w:pStyle w:val="SummaryAgencyTitle-BP2"/>
            </w:pPr>
          </w:p>
        </w:tc>
        <w:tc>
          <w:tcPr>
            <w:tcW w:w="850" w:type="dxa"/>
          </w:tcPr>
          <w:p w14:paraId="244D2227" w14:textId="77777777" w:rsidR="00BB2CB4" w:rsidRPr="00222C32" w:rsidRDefault="00BB2CB4">
            <w:pPr>
              <w:pStyle w:val="SummaryAgencyTitle-BP2"/>
            </w:pPr>
          </w:p>
        </w:tc>
      </w:tr>
      <w:tr w:rsidR="00BB2CB4" w:rsidRPr="00222C32" w14:paraId="764B0206" w14:textId="77777777" w:rsidTr="00825163">
        <w:tc>
          <w:tcPr>
            <w:tcW w:w="3471" w:type="dxa"/>
            <w:vAlign w:val="bottom"/>
          </w:tcPr>
          <w:p w14:paraId="05ABB466" w14:textId="77777777" w:rsidR="00BB2CB4" w:rsidRPr="00222C32" w:rsidRDefault="000674DA">
            <w:pPr>
              <w:pStyle w:val="SummaryMeasureTitlewithTheme"/>
            </w:pPr>
            <w:r w:rsidRPr="00222C32">
              <w:t>Forestry Growth Fund(b)</w:t>
            </w:r>
          </w:p>
        </w:tc>
        <w:tc>
          <w:tcPr>
            <w:tcW w:w="850" w:type="dxa"/>
            <w:vAlign w:val="bottom"/>
          </w:tcPr>
          <w:p w14:paraId="2734506C" w14:textId="77777777" w:rsidR="00BB2CB4" w:rsidRPr="00222C32" w:rsidRDefault="000674DA">
            <w:pPr>
              <w:pStyle w:val="Summarytabletextrightaligned"/>
            </w:pPr>
            <w:r w:rsidRPr="00222C32">
              <w:t>-</w:t>
            </w:r>
          </w:p>
        </w:tc>
        <w:tc>
          <w:tcPr>
            <w:tcW w:w="850" w:type="dxa"/>
            <w:shd w:val="clear" w:color="auto" w:fill="E6F2FF"/>
            <w:vAlign w:val="bottom"/>
          </w:tcPr>
          <w:p w14:paraId="1CFE0EE3" w14:textId="77777777" w:rsidR="00BB2CB4" w:rsidRPr="00222C32" w:rsidRDefault="000674DA">
            <w:pPr>
              <w:pStyle w:val="Summarytabletextrightaligned"/>
            </w:pPr>
            <w:r w:rsidRPr="00222C32">
              <w:t>10.0</w:t>
            </w:r>
          </w:p>
        </w:tc>
        <w:tc>
          <w:tcPr>
            <w:tcW w:w="850" w:type="dxa"/>
            <w:vAlign w:val="bottom"/>
          </w:tcPr>
          <w:p w14:paraId="598DD129" w14:textId="77777777" w:rsidR="00BB2CB4" w:rsidRPr="00222C32" w:rsidRDefault="000674DA">
            <w:pPr>
              <w:pStyle w:val="Summarytabletextrightaligned"/>
            </w:pPr>
            <w:r w:rsidRPr="00222C32">
              <w:t>20.0</w:t>
            </w:r>
          </w:p>
        </w:tc>
        <w:tc>
          <w:tcPr>
            <w:tcW w:w="850" w:type="dxa"/>
            <w:vAlign w:val="bottom"/>
          </w:tcPr>
          <w:p w14:paraId="309E02AA" w14:textId="77777777" w:rsidR="00BB2CB4" w:rsidRPr="00222C32" w:rsidRDefault="000674DA">
            <w:pPr>
              <w:pStyle w:val="Summarytabletextrightaligned"/>
            </w:pPr>
            <w:r w:rsidRPr="00222C32">
              <w:t>50.0</w:t>
            </w:r>
          </w:p>
        </w:tc>
        <w:tc>
          <w:tcPr>
            <w:tcW w:w="850" w:type="dxa"/>
            <w:vAlign w:val="bottom"/>
          </w:tcPr>
          <w:p w14:paraId="38D8F565" w14:textId="77777777" w:rsidR="00BB2CB4" w:rsidRPr="00222C32" w:rsidRDefault="000674DA">
            <w:pPr>
              <w:pStyle w:val="Summarytabletextrightaligned"/>
            </w:pPr>
            <w:r w:rsidRPr="00222C32">
              <w:t>40.0</w:t>
            </w:r>
          </w:p>
        </w:tc>
      </w:tr>
      <w:tr w:rsidR="00BB2CB4" w:rsidRPr="00222C32" w14:paraId="66CCFEC2" w14:textId="77777777" w:rsidTr="00825163">
        <w:tc>
          <w:tcPr>
            <w:tcW w:w="3471" w:type="dxa"/>
            <w:vAlign w:val="bottom"/>
          </w:tcPr>
          <w:p w14:paraId="36999452" w14:textId="77777777" w:rsidR="00BB2CB4" w:rsidRPr="00222C32" w:rsidRDefault="000674DA">
            <w:pPr>
              <w:pStyle w:val="SummaryMeasureTitlewithTheme"/>
            </w:pPr>
            <w:r w:rsidRPr="00222C32">
              <w:t>Future of the Regional Investment Corporation(b)</w:t>
            </w:r>
          </w:p>
        </w:tc>
        <w:tc>
          <w:tcPr>
            <w:tcW w:w="850" w:type="dxa"/>
            <w:vAlign w:val="bottom"/>
          </w:tcPr>
          <w:p w14:paraId="3CDBD63F" w14:textId="77777777" w:rsidR="00BB2CB4" w:rsidRPr="00222C32" w:rsidRDefault="000674DA">
            <w:pPr>
              <w:pStyle w:val="Summarytabletextrightaligned"/>
            </w:pPr>
            <w:r w:rsidRPr="00222C32">
              <w:t>-</w:t>
            </w:r>
          </w:p>
        </w:tc>
        <w:tc>
          <w:tcPr>
            <w:tcW w:w="850" w:type="dxa"/>
            <w:shd w:val="clear" w:color="auto" w:fill="E6F2FF"/>
            <w:vAlign w:val="bottom"/>
          </w:tcPr>
          <w:p w14:paraId="58B6FB2A" w14:textId="77777777" w:rsidR="00BB2CB4" w:rsidRPr="00222C32" w:rsidRDefault="000674DA">
            <w:pPr>
              <w:pStyle w:val="Summarytabletextrightaligned"/>
            </w:pPr>
            <w:r w:rsidRPr="00222C32">
              <w:t>1.0</w:t>
            </w:r>
          </w:p>
        </w:tc>
        <w:tc>
          <w:tcPr>
            <w:tcW w:w="850" w:type="dxa"/>
            <w:vAlign w:val="bottom"/>
          </w:tcPr>
          <w:p w14:paraId="7ECE50A6" w14:textId="77777777" w:rsidR="00BB2CB4" w:rsidRPr="00222C32" w:rsidRDefault="000674DA">
            <w:pPr>
              <w:pStyle w:val="Summarytabletextrightaligned"/>
            </w:pPr>
            <w:r w:rsidRPr="00222C32">
              <w:t>1.0</w:t>
            </w:r>
          </w:p>
        </w:tc>
        <w:tc>
          <w:tcPr>
            <w:tcW w:w="850" w:type="dxa"/>
            <w:vAlign w:val="bottom"/>
          </w:tcPr>
          <w:p w14:paraId="4BF8DAB4" w14:textId="77777777" w:rsidR="00BB2CB4" w:rsidRPr="00222C32" w:rsidRDefault="000674DA">
            <w:pPr>
              <w:pStyle w:val="Summarytabletextrightaligned"/>
            </w:pPr>
            <w:r w:rsidRPr="00222C32">
              <w:t>0.1</w:t>
            </w:r>
          </w:p>
        </w:tc>
        <w:tc>
          <w:tcPr>
            <w:tcW w:w="850" w:type="dxa"/>
            <w:vAlign w:val="bottom"/>
          </w:tcPr>
          <w:p w14:paraId="24EB0289" w14:textId="77777777" w:rsidR="00BB2CB4" w:rsidRPr="00222C32" w:rsidRDefault="000674DA">
            <w:pPr>
              <w:pStyle w:val="Summarytabletextrightaligned"/>
            </w:pPr>
            <w:r w:rsidRPr="00222C32">
              <w:t>-</w:t>
            </w:r>
          </w:p>
        </w:tc>
      </w:tr>
      <w:tr w:rsidR="00BB2CB4" w:rsidRPr="00222C32" w14:paraId="7BB865AD" w14:textId="77777777" w:rsidTr="00825163">
        <w:tc>
          <w:tcPr>
            <w:tcW w:w="3471" w:type="dxa"/>
            <w:vAlign w:val="bottom"/>
          </w:tcPr>
          <w:p w14:paraId="61565322" w14:textId="16247570" w:rsidR="00BB2CB4" w:rsidRPr="00222C32" w:rsidRDefault="000674DA">
            <w:pPr>
              <w:pStyle w:val="SummaryMeasureTitlewithTheme"/>
            </w:pPr>
            <w:r w:rsidRPr="00222C32">
              <w:t xml:space="preserve">Primary Industries – </w:t>
            </w:r>
            <w:r w:rsidR="003F78BB">
              <w:t>c</w:t>
            </w:r>
            <w:r w:rsidRPr="00222C32">
              <w:t xml:space="preserve">hanges to </w:t>
            </w:r>
            <w:r w:rsidR="003F78BB">
              <w:t>a</w:t>
            </w:r>
            <w:r w:rsidRPr="00222C32">
              <w:t xml:space="preserve">gricultural </w:t>
            </w:r>
            <w:r w:rsidR="003F78BB">
              <w:t>l</w:t>
            </w:r>
            <w:r w:rsidRPr="00222C32">
              <w:t>evies(b)</w:t>
            </w:r>
          </w:p>
        </w:tc>
        <w:tc>
          <w:tcPr>
            <w:tcW w:w="850" w:type="dxa"/>
            <w:vAlign w:val="bottom"/>
          </w:tcPr>
          <w:p w14:paraId="47C02674" w14:textId="77777777" w:rsidR="00BB2CB4" w:rsidRPr="00222C32" w:rsidRDefault="000674DA">
            <w:pPr>
              <w:pStyle w:val="Summarytabletextrightaligned"/>
            </w:pPr>
            <w:r w:rsidRPr="00222C32">
              <w:t>-</w:t>
            </w:r>
          </w:p>
        </w:tc>
        <w:tc>
          <w:tcPr>
            <w:tcW w:w="850" w:type="dxa"/>
            <w:shd w:val="clear" w:color="auto" w:fill="E6F2FF"/>
            <w:vAlign w:val="bottom"/>
          </w:tcPr>
          <w:p w14:paraId="31900795" w14:textId="77777777" w:rsidR="00BB2CB4" w:rsidRPr="00222C32" w:rsidRDefault="000674DA">
            <w:pPr>
              <w:pStyle w:val="Summarytabletextrightaligned"/>
            </w:pPr>
            <w:r w:rsidRPr="00222C32">
              <w:t>4.1</w:t>
            </w:r>
          </w:p>
        </w:tc>
        <w:tc>
          <w:tcPr>
            <w:tcW w:w="850" w:type="dxa"/>
            <w:vAlign w:val="bottom"/>
          </w:tcPr>
          <w:p w14:paraId="7D7FB7FE" w14:textId="77777777" w:rsidR="00BB2CB4" w:rsidRPr="00222C32" w:rsidRDefault="000674DA">
            <w:pPr>
              <w:pStyle w:val="Summarytabletextrightaligned"/>
            </w:pPr>
            <w:r w:rsidRPr="00222C32">
              <w:t>4.2</w:t>
            </w:r>
          </w:p>
        </w:tc>
        <w:tc>
          <w:tcPr>
            <w:tcW w:w="850" w:type="dxa"/>
            <w:vAlign w:val="bottom"/>
          </w:tcPr>
          <w:p w14:paraId="27C27573" w14:textId="77777777" w:rsidR="00BB2CB4" w:rsidRPr="00222C32" w:rsidRDefault="000674DA">
            <w:pPr>
              <w:pStyle w:val="Summarytabletextrightaligned"/>
            </w:pPr>
            <w:r w:rsidRPr="00222C32">
              <w:t>4.3</w:t>
            </w:r>
          </w:p>
        </w:tc>
        <w:tc>
          <w:tcPr>
            <w:tcW w:w="850" w:type="dxa"/>
            <w:vAlign w:val="bottom"/>
          </w:tcPr>
          <w:p w14:paraId="6A207F16" w14:textId="77777777" w:rsidR="00BB2CB4" w:rsidRPr="00222C32" w:rsidRDefault="000674DA">
            <w:pPr>
              <w:pStyle w:val="Summarytabletextrightaligned"/>
            </w:pPr>
            <w:r w:rsidRPr="00222C32">
              <w:t>4.3</w:t>
            </w:r>
          </w:p>
        </w:tc>
      </w:tr>
      <w:tr w:rsidR="00BB2CB4" w:rsidRPr="00222C32" w14:paraId="17A20B8D" w14:textId="77777777" w:rsidTr="00825163">
        <w:tc>
          <w:tcPr>
            <w:tcW w:w="3471" w:type="dxa"/>
            <w:vAlign w:val="bottom"/>
          </w:tcPr>
          <w:p w14:paraId="6C219342" w14:textId="77777777" w:rsidR="00BB2CB4" w:rsidRPr="00222C32" w:rsidRDefault="000674DA">
            <w:pPr>
              <w:pStyle w:val="SummaryMeasureTitlewithTheme"/>
            </w:pPr>
            <w:r w:rsidRPr="00222C32">
              <w:t>Rural Financial Counselling Service – additional funding</w:t>
            </w:r>
          </w:p>
        </w:tc>
        <w:tc>
          <w:tcPr>
            <w:tcW w:w="850" w:type="dxa"/>
            <w:vAlign w:val="bottom"/>
          </w:tcPr>
          <w:p w14:paraId="5F1B3D17" w14:textId="77777777" w:rsidR="00BB2CB4" w:rsidRPr="00222C32" w:rsidRDefault="000674DA">
            <w:pPr>
              <w:pStyle w:val="Summarytabletextrightaligned"/>
            </w:pPr>
            <w:r w:rsidRPr="00222C32">
              <w:t>-</w:t>
            </w:r>
          </w:p>
        </w:tc>
        <w:tc>
          <w:tcPr>
            <w:tcW w:w="850" w:type="dxa"/>
            <w:shd w:val="clear" w:color="auto" w:fill="E6F2FF"/>
            <w:vAlign w:val="bottom"/>
          </w:tcPr>
          <w:p w14:paraId="33038DC6" w14:textId="77777777" w:rsidR="00BB2CB4" w:rsidRPr="00222C32" w:rsidRDefault="000674DA">
            <w:pPr>
              <w:pStyle w:val="Summarytabletextrightaligned"/>
            </w:pPr>
            <w:r w:rsidRPr="00222C32">
              <w:t>1.0</w:t>
            </w:r>
          </w:p>
        </w:tc>
        <w:tc>
          <w:tcPr>
            <w:tcW w:w="850" w:type="dxa"/>
            <w:vAlign w:val="bottom"/>
          </w:tcPr>
          <w:p w14:paraId="2A62A66B" w14:textId="77777777" w:rsidR="00BB2CB4" w:rsidRPr="00222C32" w:rsidRDefault="000674DA">
            <w:pPr>
              <w:pStyle w:val="Summarytabletextrightaligned"/>
            </w:pPr>
            <w:r w:rsidRPr="00222C32">
              <w:t>1.0</w:t>
            </w:r>
          </w:p>
        </w:tc>
        <w:tc>
          <w:tcPr>
            <w:tcW w:w="850" w:type="dxa"/>
            <w:vAlign w:val="bottom"/>
          </w:tcPr>
          <w:p w14:paraId="25972745" w14:textId="77777777" w:rsidR="00BB2CB4" w:rsidRPr="00222C32" w:rsidRDefault="000674DA">
            <w:pPr>
              <w:pStyle w:val="Summarytabletextrightaligned"/>
            </w:pPr>
            <w:r w:rsidRPr="00222C32">
              <w:t>-</w:t>
            </w:r>
          </w:p>
        </w:tc>
        <w:tc>
          <w:tcPr>
            <w:tcW w:w="850" w:type="dxa"/>
            <w:vAlign w:val="bottom"/>
          </w:tcPr>
          <w:p w14:paraId="32CA5816" w14:textId="77777777" w:rsidR="00BB2CB4" w:rsidRPr="00222C32" w:rsidRDefault="000674DA">
            <w:pPr>
              <w:pStyle w:val="Summarytabletextrightaligned"/>
            </w:pPr>
            <w:r w:rsidRPr="00222C32">
              <w:t>-</w:t>
            </w:r>
          </w:p>
        </w:tc>
      </w:tr>
      <w:tr w:rsidR="00BB2CB4" w:rsidRPr="00222C32" w14:paraId="4E064962" w14:textId="77777777" w:rsidTr="00825163">
        <w:tc>
          <w:tcPr>
            <w:tcW w:w="3471" w:type="dxa"/>
            <w:vAlign w:val="bottom"/>
          </w:tcPr>
          <w:p w14:paraId="3EA1E59B" w14:textId="77777777" w:rsidR="00BB2CB4" w:rsidRPr="00222C32" w:rsidRDefault="000674DA">
            <w:pPr>
              <w:pStyle w:val="SummaryMeasureTitlewithTheme"/>
            </w:pPr>
            <w:r w:rsidRPr="00222C32">
              <w:t>Securing the Future of Agricultural Trade(b)</w:t>
            </w:r>
          </w:p>
        </w:tc>
        <w:tc>
          <w:tcPr>
            <w:tcW w:w="850" w:type="dxa"/>
            <w:vAlign w:val="bottom"/>
          </w:tcPr>
          <w:p w14:paraId="63F24CCA" w14:textId="77777777" w:rsidR="00BB2CB4" w:rsidRPr="00222C32" w:rsidRDefault="000674DA">
            <w:pPr>
              <w:pStyle w:val="Summarytabletextrightaligned"/>
            </w:pPr>
            <w:r w:rsidRPr="00222C32">
              <w:t>-</w:t>
            </w:r>
          </w:p>
        </w:tc>
        <w:tc>
          <w:tcPr>
            <w:tcW w:w="850" w:type="dxa"/>
            <w:shd w:val="clear" w:color="auto" w:fill="E6F2FF"/>
            <w:vAlign w:val="bottom"/>
          </w:tcPr>
          <w:p w14:paraId="6178C749" w14:textId="77777777" w:rsidR="00BB2CB4" w:rsidRPr="00222C32" w:rsidRDefault="000674DA">
            <w:pPr>
              <w:pStyle w:val="Summarytabletextrightaligned"/>
            </w:pPr>
            <w:r w:rsidRPr="00222C32">
              <w:t>10.5</w:t>
            </w:r>
          </w:p>
        </w:tc>
        <w:tc>
          <w:tcPr>
            <w:tcW w:w="850" w:type="dxa"/>
            <w:vAlign w:val="bottom"/>
          </w:tcPr>
          <w:p w14:paraId="7182168E" w14:textId="77777777" w:rsidR="00BB2CB4" w:rsidRPr="00222C32" w:rsidRDefault="000674DA">
            <w:pPr>
              <w:pStyle w:val="Summarytabletextrightaligned"/>
            </w:pPr>
            <w:r w:rsidRPr="00222C32">
              <w:t>55.4</w:t>
            </w:r>
          </w:p>
        </w:tc>
        <w:tc>
          <w:tcPr>
            <w:tcW w:w="850" w:type="dxa"/>
            <w:vAlign w:val="bottom"/>
          </w:tcPr>
          <w:p w14:paraId="26A83A07" w14:textId="77777777" w:rsidR="00BB2CB4" w:rsidRPr="00222C32" w:rsidRDefault="000674DA">
            <w:pPr>
              <w:pStyle w:val="Summarytabletextrightaligned"/>
            </w:pPr>
            <w:r w:rsidRPr="00222C32">
              <w:t>51.3</w:t>
            </w:r>
          </w:p>
        </w:tc>
        <w:tc>
          <w:tcPr>
            <w:tcW w:w="850" w:type="dxa"/>
            <w:vAlign w:val="bottom"/>
          </w:tcPr>
          <w:p w14:paraId="1EC6DC83" w14:textId="77777777" w:rsidR="00BB2CB4" w:rsidRPr="00222C32" w:rsidRDefault="000674DA">
            <w:pPr>
              <w:pStyle w:val="Summarytabletextrightaligned"/>
            </w:pPr>
            <w:r w:rsidRPr="00222C32">
              <w:t>30.3</w:t>
            </w:r>
          </w:p>
        </w:tc>
      </w:tr>
      <w:tr w:rsidR="00BB2CB4" w:rsidRPr="00222C32" w14:paraId="7BD69D22" w14:textId="77777777" w:rsidTr="00825163">
        <w:tc>
          <w:tcPr>
            <w:tcW w:w="3471" w:type="dxa"/>
            <w:vAlign w:val="bottom"/>
          </w:tcPr>
          <w:p w14:paraId="623A0C7E" w14:textId="77777777" w:rsidR="00BB2CB4" w:rsidRPr="00222C32" w:rsidRDefault="000674DA">
            <w:pPr>
              <w:pStyle w:val="SummaryMeasureTitlewithTheme"/>
            </w:pPr>
            <w:r w:rsidRPr="00222C32">
              <w:t>Supporting Farmsafe Australia</w:t>
            </w:r>
          </w:p>
        </w:tc>
        <w:tc>
          <w:tcPr>
            <w:tcW w:w="850" w:type="dxa"/>
            <w:vAlign w:val="bottom"/>
          </w:tcPr>
          <w:p w14:paraId="67FE1A15" w14:textId="77777777" w:rsidR="00BB2CB4" w:rsidRPr="00222C32" w:rsidRDefault="000674DA">
            <w:pPr>
              <w:pStyle w:val="Summarytabletextrightaligned"/>
            </w:pPr>
            <w:r w:rsidRPr="00222C32">
              <w:t>-</w:t>
            </w:r>
          </w:p>
        </w:tc>
        <w:tc>
          <w:tcPr>
            <w:tcW w:w="850" w:type="dxa"/>
            <w:shd w:val="clear" w:color="auto" w:fill="E6F2FF"/>
            <w:vAlign w:val="bottom"/>
          </w:tcPr>
          <w:p w14:paraId="1A3B8F71" w14:textId="77777777" w:rsidR="00BB2CB4" w:rsidRPr="00222C32" w:rsidRDefault="000674DA">
            <w:pPr>
              <w:pStyle w:val="Summarytabletextrightaligned"/>
            </w:pPr>
            <w:r w:rsidRPr="00222C32">
              <w:t>0.5</w:t>
            </w:r>
          </w:p>
        </w:tc>
        <w:tc>
          <w:tcPr>
            <w:tcW w:w="850" w:type="dxa"/>
            <w:vAlign w:val="bottom"/>
          </w:tcPr>
          <w:p w14:paraId="79FAA688" w14:textId="77777777" w:rsidR="00BB2CB4" w:rsidRPr="00222C32" w:rsidRDefault="000674DA">
            <w:pPr>
              <w:pStyle w:val="Summarytabletextrightaligned"/>
            </w:pPr>
            <w:r w:rsidRPr="00222C32">
              <w:t>1.0</w:t>
            </w:r>
          </w:p>
        </w:tc>
        <w:tc>
          <w:tcPr>
            <w:tcW w:w="850" w:type="dxa"/>
            <w:vAlign w:val="bottom"/>
          </w:tcPr>
          <w:p w14:paraId="1FD3B05C" w14:textId="77777777" w:rsidR="00BB2CB4" w:rsidRPr="00222C32" w:rsidRDefault="000674DA">
            <w:pPr>
              <w:pStyle w:val="Summarytabletextrightaligned"/>
            </w:pPr>
            <w:r w:rsidRPr="00222C32">
              <w:t>1.0</w:t>
            </w:r>
          </w:p>
        </w:tc>
        <w:tc>
          <w:tcPr>
            <w:tcW w:w="850" w:type="dxa"/>
            <w:vAlign w:val="bottom"/>
          </w:tcPr>
          <w:p w14:paraId="17218421" w14:textId="77777777" w:rsidR="00BB2CB4" w:rsidRPr="00222C32" w:rsidRDefault="000674DA">
            <w:pPr>
              <w:pStyle w:val="Summarytabletextrightaligned"/>
            </w:pPr>
            <w:r w:rsidRPr="00222C32">
              <w:t>-</w:t>
            </w:r>
          </w:p>
        </w:tc>
      </w:tr>
      <w:tr w:rsidR="00BB2CB4" w:rsidRPr="00222C32" w14:paraId="36BA00F4" w14:textId="77777777" w:rsidTr="00825163">
        <w:tc>
          <w:tcPr>
            <w:tcW w:w="3471" w:type="dxa"/>
            <w:vAlign w:val="bottom"/>
          </w:tcPr>
          <w:p w14:paraId="73571590" w14:textId="77777777" w:rsidR="00BB2CB4" w:rsidRPr="00222C32" w:rsidRDefault="000674DA">
            <w:pPr>
              <w:pStyle w:val="SummaryMeasureTitlewithTheme"/>
            </w:pPr>
            <w:r w:rsidRPr="00222C32">
              <w:t>Supporting Transport Priorities(b)</w:t>
            </w:r>
          </w:p>
        </w:tc>
        <w:tc>
          <w:tcPr>
            <w:tcW w:w="850" w:type="dxa"/>
            <w:vAlign w:val="bottom"/>
          </w:tcPr>
          <w:p w14:paraId="6EE32B06" w14:textId="77777777" w:rsidR="00BB2CB4" w:rsidRPr="00222C32" w:rsidRDefault="000674DA">
            <w:pPr>
              <w:pStyle w:val="Summarytabletextrightaligned"/>
            </w:pPr>
            <w:r w:rsidRPr="00222C32">
              <w:t>-</w:t>
            </w:r>
          </w:p>
        </w:tc>
        <w:tc>
          <w:tcPr>
            <w:tcW w:w="850" w:type="dxa"/>
            <w:shd w:val="clear" w:color="auto" w:fill="E6F2FF"/>
            <w:vAlign w:val="bottom"/>
          </w:tcPr>
          <w:p w14:paraId="1BF66CCF" w14:textId="77777777" w:rsidR="00BB2CB4" w:rsidRPr="00222C32" w:rsidRDefault="000674DA">
            <w:pPr>
              <w:pStyle w:val="Summarytabletextrightaligned"/>
            </w:pPr>
            <w:r w:rsidRPr="00222C32">
              <w:t>1.9</w:t>
            </w:r>
          </w:p>
        </w:tc>
        <w:tc>
          <w:tcPr>
            <w:tcW w:w="850" w:type="dxa"/>
            <w:vAlign w:val="bottom"/>
          </w:tcPr>
          <w:p w14:paraId="57B8FCC4" w14:textId="77777777" w:rsidR="00BB2CB4" w:rsidRPr="00222C32" w:rsidRDefault="000674DA">
            <w:pPr>
              <w:pStyle w:val="Summarytabletextrightaligned"/>
            </w:pPr>
            <w:r w:rsidRPr="00222C32">
              <w:t>11.9</w:t>
            </w:r>
          </w:p>
        </w:tc>
        <w:tc>
          <w:tcPr>
            <w:tcW w:w="850" w:type="dxa"/>
            <w:vAlign w:val="bottom"/>
          </w:tcPr>
          <w:p w14:paraId="6EC5D48D" w14:textId="77777777" w:rsidR="00BB2CB4" w:rsidRPr="00222C32" w:rsidRDefault="000674DA">
            <w:pPr>
              <w:pStyle w:val="Summarytabletextrightaligned"/>
            </w:pPr>
            <w:r w:rsidRPr="00222C32">
              <w:t>13.3</w:t>
            </w:r>
          </w:p>
        </w:tc>
        <w:tc>
          <w:tcPr>
            <w:tcW w:w="850" w:type="dxa"/>
            <w:vAlign w:val="bottom"/>
          </w:tcPr>
          <w:p w14:paraId="36780DE6" w14:textId="77777777" w:rsidR="00BB2CB4" w:rsidRPr="00222C32" w:rsidRDefault="000674DA">
            <w:pPr>
              <w:pStyle w:val="Summarytabletextrightaligned"/>
            </w:pPr>
            <w:r w:rsidRPr="00222C32">
              <w:t>13.4</w:t>
            </w:r>
          </w:p>
        </w:tc>
      </w:tr>
      <w:tr w:rsidR="00BB2CB4" w:rsidRPr="00222C32" w14:paraId="1C778046" w14:textId="77777777" w:rsidTr="00825163">
        <w:tc>
          <w:tcPr>
            <w:tcW w:w="3471" w:type="dxa"/>
            <w:vAlign w:val="bottom"/>
          </w:tcPr>
          <w:p w14:paraId="18C366A9" w14:textId="77777777" w:rsidR="00BB2CB4" w:rsidRPr="00222C32" w:rsidRDefault="000674DA">
            <w:pPr>
              <w:pStyle w:val="SummaryAgencyTitle-BP2"/>
            </w:pPr>
            <w:r w:rsidRPr="00222C32">
              <w:t>Regional Investment Corporation</w:t>
            </w:r>
          </w:p>
        </w:tc>
        <w:tc>
          <w:tcPr>
            <w:tcW w:w="850" w:type="dxa"/>
          </w:tcPr>
          <w:p w14:paraId="1B4628F4" w14:textId="77777777" w:rsidR="00BB2CB4" w:rsidRPr="00222C32" w:rsidRDefault="00BB2CB4">
            <w:pPr>
              <w:pStyle w:val="SummaryAgencyTitle-BP2"/>
            </w:pPr>
          </w:p>
        </w:tc>
        <w:tc>
          <w:tcPr>
            <w:tcW w:w="850" w:type="dxa"/>
            <w:shd w:val="clear" w:color="auto" w:fill="E6F2FF"/>
          </w:tcPr>
          <w:p w14:paraId="6D9DDE06" w14:textId="77777777" w:rsidR="00BB2CB4" w:rsidRPr="00222C32" w:rsidRDefault="00BB2CB4">
            <w:pPr>
              <w:pStyle w:val="SummaryAgencyTitle-BP2"/>
            </w:pPr>
          </w:p>
        </w:tc>
        <w:tc>
          <w:tcPr>
            <w:tcW w:w="850" w:type="dxa"/>
          </w:tcPr>
          <w:p w14:paraId="5C5B6DA9" w14:textId="77777777" w:rsidR="00BB2CB4" w:rsidRPr="00222C32" w:rsidRDefault="00BB2CB4">
            <w:pPr>
              <w:pStyle w:val="SummaryAgencyTitle-BP2"/>
            </w:pPr>
          </w:p>
        </w:tc>
        <w:tc>
          <w:tcPr>
            <w:tcW w:w="850" w:type="dxa"/>
          </w:tcPr>
          <w:p w14:paraId="3A8AD25F" w14:textId="77777777" w:rsidR="00BB2CB4" w:rsidRPr="00222C32" w:rsidRDefault="00BB2CB4">
            <w:pPr>
              <w:pStyle w:val="SummaryAgencyTitle-BP2"/>
            </w:pPr>
          </w:p>
        </w:tc>
        <w:tc>
          <w:tcPr>
            <w:tcW w:w="850" w:type="dxa"/>
          </w:tcPr>
          <w:p w14:paraId="7AB56884" w14:textId="77777777" w:rsidR="00BB2CB4" w:rsidRPr="00222C32" w:rsidRDefault="00BB2CB4">
            <w:pPr>
              <w:pStyle w:val="SummaryAgencyTitle-BP2"/>
            </w:pPr>
          </w:p>
        </w:tc>
      </w:tr>
      <w:tr w:rsidR="00BB2CB4" w:rsidRPr="00222C32" w14:paraId="66A13558" w14:textId="77777777" w:rsidTr="00825163">
        <w:tc>
          <w:tcPr>
            <w:tcW w:w="3471" w:type="dxa"/>
            <w:vAlign w:val="bottom"/>
          </w:tcPr>
          <w:p w14:paraId="2F80BBB2" w14:textId="77777777" w:rsidR="00BB2CB4" w:rsidRPr="00222C32" w:rsidRDefault="000674DA">
            <w:pPr>
              <w:pStyle w:val="SummaryMeasureTitlewithTheme"/>
            </w:pPr>
            <w:r w:rsidRPr="00222C32">
              <w:t>Future of the Regional Investment Corporation(b)</w:t>
            </w:r>
          </w:p>
        </w:tc>
        <w:tc>
          <w:tcPr>
            <w:tcW w:w="850" w:type="dxa"/>
            <w:tcBorders>
              <w:bottom w:val="single" w:sz="4" w:space="0" w:color="293F5B"/>
            </w:tcBorders>
            <w:vAlign w:val="bottom"/>
          </w:tcPr>
          <w:p w14:paraId="78AD7354"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312E4B49"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580B0D67" w14:textId="77777777" w:rsidR="00BB2CB4" w:rsidRPr="00222C32" w:rsidRDefault="000674DA">
            <w:pPr>
              <w:pStyle w:val="Summarytabletextrightaligned"/>
            </w:pPr>
            <w:r w:rsidRPr="00222C32">
              <w:t>6.1</w:t>
            </w:r>
          </w:p>
        </w:tc>
        <w:tc>
          <w:tcPr>
            <w:tcW w:w="850" w:type="dxa"/>
            <w:tcBorders>
              <w:bottom w:val="single" w:sz="4" w:space="0" w:color="293F5B"/>
            </w:tcBorders>
            <w:vAlign w:val="bottom"/>
          </w:tcPr>
          <w:p w14:paraId="3B0E191C" w14:textId="77777777" w:rsidR="00BB2CB4" w:rsidRPr="00222C32" w:rsidRDefault="000674DA">
            <w:pPr>
              <w:pStyle w:val="Summarytabletextrightaligned"/>
            </w:pPr>
            <w:r w:rsidRPr="00222C32">
              <w:t>5.6</w:t>
            </w:r>
          </w:p>
        </w:tc>
        <w:tc>
          <w:tcPr>
            <w:tcW w:w="850" w:type="dxa"/>
            <w:tcBorders>
              <w:bottom w:val="single" w:sz="4" w:space="0" w:color="293F5B"/>
            </w:tcBorders>
            <w:vAlign w:val="bottom"/>
          </w:tcPr>
          <w:p w14:paraId="26E62835" w14:textId="77777777" w:rsidR="00BB2CB4" w:rsidRPr="00222C32" w:rsidRDefault="000674DA">
            <w:pPr>
              <w:pStyle w:val="Summarytabletextrightaligned"/>
            </w:pPr>
            <w:r w:rsidRPr="00222C32">
              <w:t>6.0</w:t>
            </w:r>
          </w:p>
        </w:tc>
      </w:tr>
      <w:tr w:rsidR="00BB2CB4" w:rsidRPr="00222C32" w14:paraId="0DCD8C1C" w14:textId="77777777" w:rsidTr="00825163">
        <w:tc>
          <w:tcPr>
            <w:tcW w:w="3471" w:type="dxa"/>
            <w:vAlign w:val="bottom"/>
          </w:tcPr>
          <w:p w14:paraId="518864BB"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88D4C1F"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5FAE3A92" w14:textId="77777777" w:rsidR="00BB2CB4" w:rsidRPr="00222C32" w:rsidRDefault="000674DA">
            <w:pPr>
              <w:pStyle w:val="Summarytabletextrightalignedbold"/>
            </w:pPr>
            <w:r w:rsidRPr="00222C32">
              <w:t>29.0</w:t>
            </w:r>
          </w:p>
        </w:tc>
        <w:tc>
          <w:tcPr>
            <w:tcW w:w="850" w:type="dxa"/>
            <w:tcBorders>
              <w:top w:val="single" w:sz="4" w:space="0" w:color="293F5B"/>
              <w:bottom w:val="single" w:sz="4" w:space="0" w:color="293F5B"/>
            </w:tcBorders>
            <w:vAlign w:val="bottom"/>
          </w:tcPr>
          <w:p w14:paraId="3A09CFE0" w14:textId="77777777" w:rsidR="00BB2CB4" w:rsidRPr="00222C32" w:rsidRDefault="000674DA">
            <w:pPr>
              <w:pStyle w:val="Summarytabletextrightalignedbold"/>
            </w:pPr>
            <w:r w:rsidRPr="00222C32">
              <w:t>100.6</w:t>
            </w:r>
          </w:p>
        </w:tc>
        <w:tc>
          <w:tcPr>
            <w:tcW w:w="850" w:type="dxa"/>
            <w:tcBorders>
              <w:top w:val="single" w:sz="4" w:space="0" w:color="293F5B"/>
              <w:bottom w:val="single" w:sz="4" w:space="0" w:color="293F5B"/>
            </w:tcBorders>
            <w:vAlign w:val="bottom"/>
          </w:tcPr>
          <w:p w14:paraId="2578A03D" w14:textId="77777777" w:rsidR="00BB2CB4" w:rsidRPr="00222C32" w:rsidRDefault="000674DA">
            <w:pPr>
              <w:pStyle w:val="Summarytabletextrightalignedbold"/>
            </w:pPr>
            <w:r w:rsidRPr="00222C32">
              <w:t>125.5</w:t>
            </w:r>
          </w:p>
        </w:tc>
        <w:tc>
          <w:tcPr>
            <w:tcW w:w="850" w:type="dxa"/>
            <w:tcBorders>
              <w:top w:val="single" w:sz="4" w:space="0" w:color="293F5B"/>
              <w:bottom w:val="single" w:sz="4" w:space="0" w:color="293F5B"/>
            </w:tcBorders>
            <w:vAlign w:val="bottom"/>
          </w:tcPr>
          <w:p w14:paraId="1FA8122A" w14:textId="77777777" w:rsidR="00BB2CB4" w:rsidRPr="00222C32" w:rsidRDefault="000674DA">
            <w:pPr>
              <w:pStyle w:val="Summarytabletextrightalignedbold"/>
            </w:pPr>
            <w:r w:rsidRPr="00222C32">
              <w:t>94.1</w:t>
            </w:r>
          </w:p>
        </w:tc>
      </w:tr>
      <w:tr w:rsidR="00BB2CB4" w:rsidRPr="00222C32" w14:paraId="180C1EA6" w14:textId="77777777" w:rsidTr="00825163">
        <w:tc>
          <w:tcPr>
            <w:tcW w:w="3471" w:type="dxa"/>
            <w:vAlign w:val="bottom"/>
          </w:tcPr>
          <w:p w14:paraId="2184C027" w14:textId="46FD070E" w:rsidR="00BB2CB4" w:rsidRPr="00222C32" w:rsidRDefault="000674DA">
            <w:pPr>
              <w:pStyle w:val="SummaryPortfolioTitle-BP2"/>
            </w:pPr>
            <w:r w:rsidRPr="00222C32">
              <w:t>ATTORNEY‑GENERAL</w:t>
            </w:r>
            <w:r w:rsidR="00A67A30">
              <w:t>’</w:t>
            </w:r>
            <w:r w:rsidRPr="00222C32">
              <w:t>S</w:t>
            </w:r>
          </w:p>
        </w:tc>
        <w:tc>
          <w:tcPr>
            <w:tcW w:w="850" w:type="dxa"/>
            <w:tcBorders>
              <w:top w:val="single" w:sz="4" w:space="0" w:color="293F5B"/>
            </w:tcBorders>
          </w:tcPr>
          <w:p w14:paraId="7CCC518F"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561E066" w14:textId="77777777" w:rsidR="00BB2CB4" w:rsidRPr="00222C32" w:rsidRDefault="00BB2CB4">
            <w:pPr>
              <w:pStyle w:val="MeasureTableTextRightAlignedBefore6ptAfter1pt"/>
            </w:pPr>
          </w:p>
        </w:tc>
        <w:tc>
          <w:tcPr>
            <w:tcW w:w="850" w:type="dxa"/>
            <w:tcBorders>
              <w:top w:val="single" w:sz="4" w:space="0" w:color="293F5B"/>
            </w:tcBorders>
          </w:tcPr>
          <w:p w14:paraId="56EA6FDC" w14:textId="77777777" w:rsidR="00BB2CB4" w:rsidRPr="00222C32" w:rsidRDefault="00BB2CB4">
            <w:pPr>
              <w:pStyle w:val="MeasureTableTextRightAlignedBefore6ptAfter1pt"/>
            </w:pPr>
          </w:p>
        </w:tc>
        <w:tc>
          <w:tcPr>
            <w:tcW w:w="850" w:type="dxa"/>
            <w:tcBorders>
              <w:top w:val="single" w:sz="4" w:space="0" w:color="293F5B"/>
            </w:tcBorders>
          </w:tcPr>
          <w:p w14:paraId="7AD23DB5" w14:textId="77777777" w:rsidR="00BB2CB4" w:rsidRPr="00222C32" w:rsidRDefault="00BB2CB4">
            <w:pPr>
              <w:pStyle w:val="MeasureTableTextRightAlignedBefore6ptAfter1pt"/>
            </w:pPr>
          </w:p>
        </w:tc>
        <w:tc>
          <w:tcPr>
            <w:tcW w:w="850" w:type="dxa"/>
            <w:tcBorders>
              <w:top w:val="single" w:sz="4" w:space="0" w:color="293F5B"/>
            </w:tcBorders>
          </w:tcPr>
          <w:p w14:paraId="6E965372" w14:textId="77777777" w:rsidR="00BB2CB4" w:rsidRPr="00222C32" w:rsidRDefault="00BB2CB4">
            <w:pPr>
              <w:pStyle w:val="MeasureTableTextRightAlignedBefore6ptAfter1pt"/>
            </w:pPr>
          </w:p>
        </w:tc>
      </w:tr>
      <w:tr w:rsidR="00BB2CB4" w:rsidRPr="00222C32" w14:paraId="6CAE9390" w14:textId="77777777" w:rsidTr="00825163">
        <w:tc>
          <w:tcPr>
            <w:tcW w:w="3471" w:type="dxa"/>
            <w:vAlign w:val="bottom"/>
          </w:tcPr>
          <w:p w14:paraId="24007EE1" w14:textId="77777777" w:rsidR="00BB2CB4" w:rsidRPr="00222C32" w:rsidRDefault="000674DA">
            <w:pPr>
              <w:pStyle w:val="SummaryAgencyTitle-BP2"/>
            </w:pPr>
            <w:r w:rsidRPr="00222C32">
              <w:t>Administrative Review Tribunal</w:t>
            </w:r>
          </w:p>
        </w:tc>
        <w:tc>
          <w:tcPr>
            <w:tcW w:w="850" w:type="dxa"/>
          </w:tcPr>
          <w:p w14:paraId="42103689" w14:textId="77777777" w:rsidR="00BB2CB4" w:rsidRPr="00222C32" w:rsidRDefault="00BB2CB4">
            <w:pPr>
              <w:pStyle w:val="SummaryAgencyTitle-BP2"/>
            </w:pPr>
          </w:p>
        </w:tc>
        <w:tc>
          <w:tcPr>
            <w:tcW w:w="850" w:type="dxa"/>
            <w:shd w:val="clear" w:color="auto" w:fill="E6F2FF"/>
          </w:tcPr>
          <w:p w14:paraId="0308F379" w14:textId="77777777" w:rsidR="00BB2CB4" w:rsidRPr="00222C32" w:rsidRDefault="00BB2CB4">
            <w:pPr>
              <w:pStyle w:val="SummaryAgencyTitle-BP2"/>
            </w:pPr>
          </w:p>
        </w:tc>
        <w:tc>
          <w:tcPr>
            <w:tcW w:w="850" w:type="dxa"/>
          </w:tcPr>
          <w:p w14:paraId="09712A4C" w14:textId="77777777" w:rsidR="00BB2CB4" w:rsidRPr="00222C32" w:rsidRDefault="00BB2CB4">
            <w:pPr>
              <w:pStyle w:val="SummaryAgencyTitle-BP2"/>
            </w:pPr>
          </w:p>
        </w:tc>
        <w:tc>
          <w:tcPr>
            <w:tcW w:w="850" w:type="dxa"/>
          </w:tcPr>
          <w:p w14:paraId="55706812" w14:textId="77777777" w:rsidR="00BB2CB4" w:rsidRPr="00222C32" w:rsidRDefault="00BB2CB4">
            <w:pPr>
              <w:pStyle w:val="SummaryAgencyTitle-BP2"/>
            </w:pPr>
          </w:p>
        </w:tc>
        <w:tc>
          <w:tcPr>
            <w:tcW w:w="850" w:type="dxa"/>
          </w:tcPr>
          <w:p w14:paraId="54556FCB" w14:textId="77777777" w:rsidR="00BB2CB4" w:rsidRPr="00222C32" w:rsidRDefault="00BB2CB4">
            <w:pPr>
              <w:pStyle w:val="SummaryAgencyTitle-BP2"/>
            </w:pPr>
          </w:p>
        </w:tc>
      </w:tr>
      <w:tr w:rsidR="00BB2CB4" w:rsidRPr="00222C32" w14:paraId="12E123B4" w14:textId="77777777" w:rsidTr="00825163">
        <w:tc>
          <w:tcPr>
            <w:tcW w:w="3471" w:type="dxa"/>
            <w:vAlign w:val="bottom"/>
          </w:tcPr>
          <w:p w14:paraId="005FECD5" w14:textId="740478D4" w:rsidR="00BB2CB4" w:rsidRPr="00222C32" w:rsidRDefault="000674DA">
            <w:pPr>
              <w:pStyle w:val="SummaryMeasureTitlewithTheme"/>
            </w:pPr>
            <w:r w:rsidRPr="00222C32">
              <w:t>Attorney‑General</w:t>
            </w:r>
            <w:r w:rsidR="00A67A30">
              <w:t>’</w:t>
            </w:r>
            <w:r w:rsidRPr="00222C32">
              <w:t>s Portfolio – additional resourcing</w:t>
            </w:r>
          </w:p>
        </w:tc>
        <w:tc>
          <w:tcPr>
            <w:tcW w:w="850" w:type="dxa"/>
            <w:vAlign w:val="bottom"/>
          </w:tcPr>
          <w:p w14:paraId="7B0D620B" w14:textId="77777777" w:rsidR="00BB2CB4" w:rsidRPr="00222C32" w:rsidRDefault="000674DA">
            <w:pPr>
              <w:pStyle w:val="Summarytabletextrightaligned"/>
            </w:pPr>
            <w:r w:rsidRPr="00222C32">
              <w:t>-</w:t>
            </w:r>
          </w:p>
        </w:tc>
        <w:tc>
          <w:tcPr>
            <w:tcW w:w="850" w:type="dxa"/>
            <w:shd w:val="clear" w:color="auto" w:fill="E6F2FF"/>
            <w:vAlign w:val="bottom"/>
          </w:tcPr>
          <w:p w14:paraId="4B7748D1" w14:textId="77777777" w:rsidR="00BB2CB4" w:rsidRPr="00222C32" w:rsidRDefault="000674DA">
            <w:pPr>
              <w:pStyle w:val="Summarytabletextrightaligned"/>
            </w:pPr>
            <w:r w:rsidRPr="00222C32">
              <w:t>34.2</w:t>
            </w:r>
          </w:p>
        </w:tc>
        <w:tc>
          <w:tcPr>
            <w:tcW w:w="850" w:type="dxa"/>
            <w:vAlign w:val="bottom"/>
          </w:tcPr>
          <w:p w14:paraId="3A3155B7" w14:textId="77777777" w:rsidR="00BB2CB4" w:rsidRPr="00222C32" w:rsidRDefault="000674DA">
            <w:pPr>
              <w:pStyle w:val="Summarytabletextrightaligned"/>
            </w:pPr>
            <w:r w:rsidRPr="00222C32">
              <w:t>34.8</w:t>
            </w:r>
          </w:p>
        </w:tc>
        <w:tc>
          <w:tcPr>
            <w:tcW w:w="850" w:type="dxa"/>
            <w:vAlign w:val="bottom"/>
          </w:tcPr>
          <w:p w14:paraId="11B21484" w14:textId="77777777" w:rsidR="00BB2CB4" w:rsidRPr="00222C32" w:rsidRDefault="000674DA">
            <w:pPr>
              <w:pStyle w:val="Summarytabletextrightaligned"/>
            </w:pPr>
            <w:r w:rsidRPr="00222C32">
              <w:t>-</w:t>
            </w:r>
          </w:p>
        </w:tc>
        <w:tc>
          <w:tcPr>
            <w:tcW w:w="850" w:type="dxa"/>
            <w:vAlign w:val="bottom"/>
          </w:tcPr>
          <w:p w14:paraId="77C9C6EB" w14:textId="77777777" w:rsidR="00BB2CB4" w:rsidRPr="00222C32" w:rsidRDefault="000674DA">
            <w:pPr>
              <w:pStyle w:val="Summarytabletextrightaligned"/>
            </w:pPr>
            <w:r w:rsidRPr="00222C32">
              <w:t>-</w:t>
            </w:r>
          </w:p>
        </w:tc>
      </w:tr>
      <w:tr w:rsidR="00BB2CB4" w:rsidRPr="00222C32" w14:paraId="594A23DD" w14:textId="77777777" w:rsidTr="00825163">
        <w:tc>
          <w:tcPr>
            <w:tcW w:w="3471" w:type="dxa"/>
            <w:vAlign w:val="bottom"/>
          </w:tcPr>
          <w:p w14:paraId="62236D75" w14:textId="6A9C4790" w:rsidR="00BB2CB4" w:rsidRPr="00222C32" w:rsidRDefault="000674DA">
            <w:pPr>
              <w:pStyle w:val="SummaryAgencyTitle-BP2"/>
            </w:pPr>
            <w:r w:rsidRPr="00222C32">
              <w:t>Attorney‑General</w:t>
            </w:r>
            <w:r w:rsidR="00A67A30">
              <w:t>’</w:t>
            </w:r>
            <w:r w:rsidRPr="00222C32">
              <w:t>s Department</w:t>
            </w:r>
          </w:p>
        </w:tc>
        <w:tc>
          <w:tcPr>
            <w:tcW w:w="850" w:type="dxa"/>
          </w:tcPr>
          <w:p w14:paraId="042AFCC5" w14:textId="77777777" w:rsidR="00BB2CB4" w:rsidRPr="00222C32" w:rsidRDefault="00BB2CB4">
            <w:pPr>
              <w:pStyle w:val="SummaryAgencyTitle-BP2"/>
            </w:pPr>
          </w:p>
        </w:tc>
        <w:tc>
          <w:tcPr>
            <w:tcW w:w="850" w:type="dxa"/>
            <w:shd w:val="clear" w:color="auto" w:fill="E6F2FF"/>
          </w:tcPr>
          <w:p w14:paraId="002FCE30" w14:textId="77777777" w:rsidR="00BB2CB4" w:rsidRPr="00222C32" w:rsidRDefault="00BB2CB4">
            <w:pPr>
              <w:pStyle w:val="SummaryAgencyTitle-BP2"/>
            </w:pPr>
          </w:p>
        </w:tc>
        <w:tc>
          <w:tcPr>
            <w:tcW w:w="850" w:type="dxa"/>
          </w:tcPr>
          <w:p w14:paraId="4505B8E4" w14:textId="77777777" w:rsidR="00BB2CB4" w:rsidRPr="00222C32" w:rsidRDefault="00BB2CB4">
            <w:pPr>
              <w:pStyle w:val="SummaryAgencyTitle-BP2"/>
            </w:pPr>
          </w:p>
        </w:tc>
        <w:tc>
          <w:tcPr>
            <w:tcW w:w="850" w:type="dxa"/>
          </w:tcPr>
          <w:p w14:paraId="0792D82D" w14:textId="77777777" w:rsidR="00BB2CB4" w:rsidRPr="00222C32" w:rsidRDefault="00BB2CB4">
            <w:pPr>
              <w:pStyle w:val="SummaryAgencyTitle-BP2"/>
            </w:pPr>
          </w:p>
        </w:tc>
        <w:tc>
          <w:tcPr>
            <w:tcW w:w="850" w:type="dxa"/>
          </w:tcPr>
          <w:p w14:paraId="277BF3F1" w14:textId="77777777" w:rsidR="00BB2CB4" w:rsidRPr="00222C32" w:rsidRDefault="00BB2CB4">
            <w:pPr>
              <w:pStyle w:val="SummaryAgencyTitle-BP2"/>
            </w:pPr>
          </w:p>
        </w:tc>
      </w:tr>
      <w:tr w:rsidR="00BB2CB4" w:rsidRPr="00222C32" w14:paraId="009B08D6" w14:textId="77777777" w:rsidTr="00825163">
        <w:tc>
          <w:tcPr>
            <w:tcW w:w="3471" w:type="dxa"/>
            <w:vAlign w:val="bottom"/>
          </w:tcPr>
          <w:p w14:paraId="0C4EC1C9" w14:textId="0872448B" w:rsidR="00BB2CB4" w:rsidRPr="00222C32" w:rsidRDefault="000674DA">
            <w:pPr>
              <w:pStyle w:val="SummaryMeasureTitlewithTheme"/>
            </w:pPr>
            <w:r w:rsidRPr="00222C32">
              <w:t>Attorney‑General</w:t>
            </w:r>
            <w:r w:rsidR="00A67A30">
              <w:t>’</w:t>
            </w:r>
            <w:r w:rsidRPr="00222C32">
              <w:t>s Portfolio – additional resourcing</w:t>
            </w:r>
          </w:p>
        </w:tc>
        <w:tc>
          <w:tcPr>
            <w:tcW w:w="850" w:type="dxa"/>
            <w:vAlign w:val="bottom"/>
          </w:tcPr>
          <w:p w14:paraId="446CF018" w14:textId="77777777" w:rsidR="00BB2CB4" w:rsidRPr="00222C32" w:rsidRDefault="000674DA">
            <w:pPr>
              <w:pStyle w:val="Summarytabletextrightaligned"/>
            </w:pPr>
            <w:r w:rsidRPr="00222C32">
              <w:t>-</w:t>
            </w:r>
          </w:p>
        </w:tc>
        <w:tc>
          <w:tcPr>
            <w:tcW w:w="850" w:type="dxa"/>
            <w:shd w:val="clear" w:color="auto" w:fill="E6F2FF"/>
            <w:vAlign w:val="bottom"/>
          </w:tcPr>
          <w:p w14:paraId="2243ABC7" w14:textId="77777777" w:rsidR="00BB2CB4" w:rsidRPr="00222C32" w:rsidRDefault="000674DA">
            <w:pPr>
              <w:pStyle w:val="Summarytabletextrightaligned"/>
            </w:pPr>
            <w:r w:rsidRPr="00222C32">
              <w:t>-</w:t>
            </w:r>
          </w:p>
        </w:tc>
        <w:tc>
          <w:tcPr>
            <w:tcW w:w="850" w:type="dxa"/>
            <w:vAlign w:val="bottom"/>
          </w:tcPr>
          <w:p w14:paraId="1921A9B7" w14:textId="77777777" w:rsidR="00BB2CB4" w:rsidRPr="00222C32" w:rsidRDefault="000674DA">
            <w:pPr>
              <w:pStyle w:val="Summarytabletextrightaligned"/>
            </w:pPr>
            <w:r w:rsidRPr="00222C32">
              <w:t>-1.5</w:t>
            </w:r>
          </w:p>
        </w:tc>
        <w:tc>
          <w:tcPr>
            <w:tcW w:w="850" w:type="dxa"/>
            <w:vAlign w:val="bottom"/>
          </w:tcPr>
          <w:p w14:paraId="3B78A2B4" w14:textId="77777777" w:rsidR="00BB2CB4" w:rsidRPr="00222C32" w:rsidRDefault="000674DA">
            <w:pPr>
              <w:pStyle w:val="Summarytabletextrightaligned"/>
            </w:pPr>
            <w:r w:rsidRPr="00222C32">
              <w:t>-1.0</w:t>
            </w:r>
          </w:p>
        </w:tc>
        <w:tc>
          <w:tcPr>
            <w:tcW w:w="850" w:type="dxa"/>
            <w:vAlign w:val="bottom"/>
          </w:tcPr>
          <w:p w14:paraId="1E06A956" w14:textId="77777777" w:rsidR="00BB2CB4" w:rsidRPr="00222C32" w:rsidRDefault="000674DA">
            <w:pPr>
              <w:pStyle w:val="Summarytabletextrightaligned"/>
            </w:pPr>
            <w:r w:rsidRPr="00222C32">
              <w:t>-</w:t>
            </w:r>
          </w:p>
        </w:tc>
      </w:tr>
      <w:tr w:rsidR="00BB2CB4" w:rsidRPr="00222C32" w14:paraId="542C8893" w14:textId="77777777" w:rsidTr="00825163">
        <w:tc>
          <w:tcPr>
            <w:tcW w:w="3471" w:type="dxa"/>
            <w:vAlign w:val="bottom"/>
          </w:tcPr>
          <w:p w14:paraId="56AE9CE2" w14:textId="77777777" w:rsidR="00BB2CB4" w:rsidRPr="00222C32" w:rsidRDefault="000674DA">
            <w:pPr>
              <w:pStyle w:val="SummaryMeasureTitlewithTheme"/>
            </w:pPr>
            <w:r w:rsidRPr="00222C32">
              <w:t>Working With Children Checks Reform</w:t>
            </w:r>
          </w:p>
        </w:tc>
        <w:tc>
          <w:tcPr>
            <w:tcW w:w="850" w:type="dxa"/>
            <w:vAlign w:val="bottom"/>
          </w:tcPr>
          <w:p w14:paraId="03C56B37" w14:textId="77777777" w:rsidR="00BB2CB4" w:rsidRPr="00222C32" w:rsidRDefault="000674DA">
            <w:pPr>
              <w:pStyle w:val="Summarytabletextrightaligned"/>
            </w:pPr>
            <w:r w:rsidRPr="00222C32">
              <w:t>-</w:t>
            </w:r>
          </w:p>
        </w:tc>
        <w:tc>
          <w:tcPr>
            <w:tcW w:w="850" w:type="dxa"/>
            <w:shd w:val="clear" w:color="auto" w:fill="E6F2FF"/>
            <w:vAlign w:val="bottom"/>
          </w:tcPr>
          <w:p w14:paraId="47AEC524" w14:textId="77777777" w:rsidR="00BB2CB4" w:rsidRPr="00222C32" w:rsidRDefault="000674DA">
            <w:pPr>
              <w:pStyle w:val="Summarytabletextrightaligned"/>
            </w:pPr>
            <w:r w:rsidRPr="00222C32">
              <w:t>0.5</w:t>
            </w:r>
          </w:p>
        </w:tc>
        <w:tc>
          <w:tcPr>
            <w:tcW w:w="850" w:type="dxa"/>
            <w:vAlign w:val="bottom"/>
          </w:tcPr>
          <w:p w14:paraId="16CDDDB5" w14:textId="77777777" w:rsidR="00BB2CB4" w:rsidRPr="00222C32" w:rsidRDefault="000674DA">
            <w:pPr>
              <w:pStyle w:val="Summarytabletextrightaligned"/>
            </w:pPr>
            <w:r w:rsidRPr="00222C32">
              <w:t>-</w:t>
            </w:r>
          </w:p>
        </w:tc>
        <w:tc>
          <w:tcPr>
            <w:tcW w:w="850" w:type="dxa"/>
            <w:vAlign w:val="bottom"/>
          </w:tcPr>
          <w:p w14:paraId="72BF243F" w14:textId="77777777" w:rsidR="00BB2CB4" w:rsidRPr="00222C32" w:rsidRDefault="000674DA">
            <w:pPr>
              <w:pStyle w:val="Summarytabletextrightaligned"/>
            </w:pPr>
            <w:r w:rsidRPr="00222C32">
              <w:t>-</w:t>
            </w:r>
          </w:p>
        </w:tc>
        <w:tc>
          <w:tcPr>
            <w:tcW w:w="850" w:type="dxa"/>
            <w:vAlign w:val="bottom"/>
          </w:tcPr>
          <w:p w14:paraId="29DE6745" w14:textId="77777777" w:rsidR="00BB2CB4" w:rsidRPr="00222C32" w:rsidRDefault="000674DA">
            <w:pPr>
              <w:pStyle w:val="Summarytabletextrightaligned"/>
            </w:pPr>
            <w:r w:rsidRPr="00222C32">
              <w:t>-</w:t>
            </w:r>
          </w:p>
        </w:tc>
      </w:tr>
      <w:tr w:rsidR="00BB2CB4" w:rsidRPr="00222C32" w14:paraId="7BE94959" w14:textId="77777777" w:rsidTr="00825163">
        <w:tc>
          <w:tcPr>
            <w:tcW w:w="3471" w:type="dxa"/>
            <w:vAlign w:val="bottom"/>
          </w:tcPr>
          <w:p w14:paraId="4B804652" w14:textId="77777777" w:rsidR="00BB2CB4" w:rsidRPr="00222C32" w:rsidRDefault="000674DA">
            <w:pPr>
              <w:pStyle w:val="SummaryAgencyTitle-BP2"/>
            </w:pPr>
            <w:r w:rsidRPr="00222C32">
              <w:t>Federal Court of Australia</w:t>
            </w:r>
          </w:p>
        </w:tc>
        <w:tc>
          <w:tcPr>
            <w:tcW w:w="850" w:type="dxa"/>
          </w:tcPr>
          <w:p w14:paraId="1316863E" w14:textId="77777777" w:rsidR="00BB2CB4" w:rsidRPr="00222C32" w:rsidRDefault="00BB2CB4">
            <w:pPr>
              <w:pStyle w:val="SummaryAgencyTitle-BP2"/>
            </w:pPr>
          </w:p>
        </w:tc>
        <w:tc>
          <w:tcPr>
            <w:tcW w:w="850" w:type="dxa"/>
            <w:shd w:val="clear" w:color="auto" w:fill="E6F2FF"/>
          </w:tcPr>
          <w:p w14:paraId="6228B2D1" w14:textId="77777777" w:rsidR="00BB2CB4" w:rsidRPr="00222C32" w:rsidRDefault="00BB2CB4">
            <w:pPr>
              <w:pStyle w:val="SummaryAgencyTitle-BP2"/>
            </w:pPr>
          </w:p>
        </w:tc>
        <w:tc>
          <w:tcPr>
            <w:tcW w:w="850" w:type="dxa"/>
          </w:tcPr>
          <w:p w14:paraId="4E60E1E7" w14:textId="77777777" w:rsidR="00BB2CB4" w:rsidRPr="00222C32" w:rsidRDefault="00BB2CB4">
            <w:pPr>
              <w:pStyle w:val="SummaryAgencyTitle-BP2"/>
            </w:pPr>
          </w:p>
        </w:tc>
        <w:tc>
          <w:tcPr>
            <w:tcW w:w="850" w:type="dxa"/>
          </w:tcPr>
          <w:p w14:paraId="75C73CEC" w14:textId="77777777" w:rsidR="00BB2CB4" w:rsidRPr="00222C32" w:rsidRDefault="00BB2CB4">
            <w:pPr>
              <w:pStyle w:val="SummaryAgencyTitle-BP2"/>
            </w:pPr>
          </w:p>
        </w:tc>
        <w:tc>
          <w:tcPr>
            <w:tcW w:w="850" w:type="dxa"/>
          </w:tcPr>
          <w:p w14:paraId="77791A0D" w14:textId="77777777" w:rsidR="00BB2CB4" w:rsidRPr="00222C32" w:rsidRDefault="00BB2CB4">
            <w:pPr>
              <w:pStyle w:val="SummaryAgencyTitle-BP2"/>
            </w:pPr>
          </w:p>
        </w:tc>
      </w:tr>
      <w:tr w:rsidR="00BB2CB4" w:rsidRPr="00222C32" w14:paraId="52AD0735" w14:textId="77777777" w:rsidTr="00825163">
        <w:tc>
          <w:tcPr>
            <w:tcW w:w="3471" w:type="dxa"/>
            <w:vAlign w:val="bottom"/>
          </w:tcPr>
          <w:p w14:paraId="3FAFD970" w14:textId="77777777" w:rsidR="00BB2CB4" w:rsidRPr="00222C32" w:rsidRDefault="000674DA">
            <w:pPr>
              <w:pStyle w:val="SummaryMeasureTitlewithTheme"/>
            </w:pPr>
            <w:r w:rsidRPr="00222C32">
              <w:t>Competition Reforms(b)</w:t>
            </w:r>
          </w:p>
        </w:tc>
        <w:tc>
          <w:tcPr>
            <w:tcW w:w="850" w:type="dxa"/>
            <w:vAlign w:val="bottom"/>
          </w:tcPr>
          <w:p w14:paraId="58356C23" w14:textId="77777777" w:rsidR="00BB2CB4" w:rsidRPr="00222C32" w:rsidRDefault="000674DA">
            <w:pPr>
              <w:pStyle w:val="Summarytabletextrightaligned"/>
            </w:pPr>
            <w:r w:rsidRPr="00222C32">
              <w:t>-</w:t>
            </w:r>
          </w:p>
        </w:tc>
        <w:tc>
          <w:tcPr>
            <w:tcW w:w="850" w:type="dxa"/>
            <w:shd w:val="clear" w:color="auto" w:fill="E6F2FF"/>
            <w:vAlign w:val="bottom"/>
          </w:tcPr>
          <w:p w14:paraId="14825B60" w14:textId="77777777" w:rsidR="00BB2CB4" w:rsidRPr="00222C32" w:rsidRDefault="000674DA">
            <w:pPr>
              <w:pStyle w:val="Summarytabletextrightaligned"/>
            </w:pPr>
            <w:r w:rsidRPr="00222C32">
              <w:t>2.2</w:t>
            </w:r>
          </w:p>
        </w:tc>
        <w:tc>
          <w:tcPr>
            <w:tcW w:w="850" w:type="dxa"/>
            <w:vAlign w:val="bottom"/>
          </w:tcPr>
          <w:p w14:paraId="67F8317D" w14:textId="77777777" w:rsidR="00BB2CB4" w:rsidRPr="00222C32" w:rsidRDefault="000674DA">
            <w:pPr>
              <w:pStyle w:val="Summarytabletextrightaligned"/>
            </w:pPr>
            <w:r w:rsidRPr="00222C32">
              <w:t>6.4</w:t>
            </w:r>
          </w:p>
        </w:tc>
        <w:tc>
          <w:tcPr>
            <w:tcW w:w="850" w:type="dxa"/>
            <w:vAlign w:val="bottom"/>
          </w:tcPr>
          <w:p w14:paraId="378F6A6B" w14:textId="77777777" w:rsidR="00BB2CB4" w:rsidRPr="00222C32" w:rsidRDefault="000674DA">
            <w:pPr>
              <w:pStyle w:val="Summarytabletextrightaligned"/>
            </w:pPr>
            <w:r w:rsidRPr="00222C32">
              <w:t>6.1</w:t>
            </w:r>
          </w:p>
        </w:tc>
        <w:tc>
          <w:tcPr>
            <w:tcW w:w="850" w:type="dxa"/>
            <w:vAlign w:val="bottom"/>
          </w:tcPr>
          <w:p w14:paraId="13F254D4" w14:textId="77777777" w:rsidR="00BB2CB4" w:rsidRPr="00222C32" w:rsidRDefault="000674DA">
            <w:pPr>
              <w:pStyle w:val="Summarytabletextrightaligned"/>
            </w:pPr>
            <w:r w:rsidRPr="00222C32">
              <w:t>6.2</w:t>
            </w:r>
          </w:p>
        </w:tc>
      </w:tr>
      <w:tr w:rsidR="00BB2CB4" w:rsidRPr="00222C32" w14:paraId="3B5A31AD" w14:textId="77777777" w:rsidTr="00825163">
        <w:tc>
          <w:tcPr>
            <w:tcW w:w="3471" w:type="dxa"/>
            <w:vAlign w:val="bottom"/>
          </w:tcPr>
          <w:p w14:paraId="52FA4CF3" w14:textId="77777777" w:rsidR="00BB2CB4" w:rsidRPr="00222C32" w:rsidRDefault="000674DA">
            <w:pPr>
              <w:pStyle w:val="SummaryAgencyTitle-BP2"/>
            </w:pPr>
            <w:r w:rsidRPr="00222C32">
              <w:t>Office of Parliamentary Counsel</w:t>
            </w:r>
          </w:p>
        </w:tc>
        <w:tc>
          <w:tcPr>
            <w:tcW w:w="850" w:type="dxa"/>
          </w:tcPr>
          <w:p w14:paraId="6766F82B" w14:textId="77777777" w:rsidR="00BB2CB4" w:rsidRPr="00222C32" w:rsidRDefault="00BB2CB4">
            <w:pPr>
              <w:pStyle w:val="SummaryAgencyTitle-BP2"/>
            </w:pPr>
          </w:p>
        </w:tc>
        <w:tc>
          <w:tcPr>
            <w:tcW w:w="850" w:type="dxa"/>
            <w:shd w:val="clear" w:color="auto" w:fill="E6F2FF"/>
          </w:tcPr>
          <w:p w14:paraId="744B670E" w14:textId="77777777" w:rsidR="00BB2CB4" w:rsidRPr="00222C32" w:rsidRDefault="00BB2CB4">
            <w:pPr>
              <w:pStyle w:val="SummaryAgencyTitle-BP2"/>
            </w:pPr>
          </w:p>
        </w:tc>
        <w:tc>
          <w:tcPr>
            <w:tcW w:w="850" w:type="dxa"/>
          </w:tcPr>
          <w:p w14:paraId="0BBD7156" w14:textId="77777777" w:rsidR="00BB2CB4" w:rsidRPr="00222C32" w:rsidRDefault="00BB2CB4">
            <w:pPr>
              <w:pStyle w:val="SummaryAgencyTitle-BP2"/>
            </w:pPr>
          </w:p>
        </w:tc>
        <w:tc>
          <w:tcPr>
            <w:tcW w:w="850" w:type="dxa"/>
          </w:tcPr>
          <w:p w14:paraId="7DB19D6C" w14:textId="77777777" w:rsidR="00BB2CB4" w:rsidRPr="00222C32" w:rsidRDefault="00BB2CB4">
            <w:pPr>
              <w:pStyle w:val="SummaryAgencyTitle-BP2"/>
            </w:pPr>
          </w:p>
        </w:tc>
        <w:tc>
          <w:tcPr>
            <w:tcW w:w="850" w:type="dxa"/>
          </w:tcPr>
          <w:p w14:paraId="21F12662" w14:textId="77777777" w:rsidR="00BB2CB4" w:rsidRPr="00222C32" w:rsidRDefault="00BB2CB4">
            <w:pPr>
              <w:pStyle w:val="SummaryAgencyTitle-BP2"/>
            </w:pPr>
          </w:p>
        </w:tc>
      </w:tr>
      <w:tr w:rsidR="00BB2CB4" w:rsidRPr="00222C32" w14:paraId="123F3153" w14:textId="77777777" w:rsidTr="00825163">
        <w:tc>
          <w:tcPr>
            <w:tcW w:w="3471" w:type="dxa"/>
            <w:vAlign w:val="bottom"/>
          </w:tcPr>
          <w:p w14:paraId="0E309CE8" w14:textId="22BC4B2F" w:rsidR="00BB2CB4" w:rsidRPr="00222C32" w:rsidRDefault="000674DA">
            <w:pPr>
              <w:pStyle w:val="SummaryMeasureTitlewithTheme"/>
            </w:pPr>
            <w:r w:rsidRPr="00222C32">
              <w:t>Attorney‑General</w:t>
            </w:r>
            <w:r w:rsidR="00A67A30">
              <w:t>’</w:t>
            </w:r>
            <w:r w:rsidRPr="00222C32">
              <w:t>s Portfolio – additional resourcing</w:t>
            </w:r>
          </w:p>
        </w:tc>
        <w:tc>
          <w:tcPr>
            <w:tcW w:w="850" w:type="dxa"/>
            <w:tcBorders>
              <w:bottom w:val="single" w:sz="4" w:space="0" w:color="293F5B"/>
            </w:tcBorders>
            <w:vAlign w:val="bottom"/>
          </w:tcPr>
          <w:p w14:paraId="7A0028B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7326529C" w14:textId="77777777" w:rsidR="00BB2CB4" w:rsidRPr="00222C32" w:rsidRDefault="000674DA">
            <w:pPr>
              <w:pStyle w:val="Summarytabletextrightaligned"/>
            </w:pPr>
            <w:r w:rsidRPr="00222C32">
              <w:t>2.8</w:t>
            </w:r>
          </w:p>
        </w:tc>
        <w:tc>
          <w:tcPr>
            <w:tcW w:w="850" w:type="dxa"/>
            <w:tcBorders>
              <w:bottom w:val="single" w:sz="4" w:space="0" w:color="293F5B"/>
            </w:tcBorders>
            <w:vAlign w:val="bottom"/>
          </w:tcPr>
          <w:p w14:paraId="203C26FB" w14:textId="77777777" w:rsidR="00BB2CB4" w:rsidRPr="00222C32" w:rsidRDefault="000674DA">
            <w:pPr>
              <w:pStyle w:val="Summarytabletextrightaligned"/>
            </w:pPr>
            <w:r w:rsidRPr="00222C32">
              <w:t>6.4</w:t>
            </w:r>
          </w:p>
        </w:tc>
        <w:tc>
          <w:tcPr>
            <w:tcW w:w="850" w:type="dxa"/>
            <w:tcBorders>
              <w:bottom w:val="single" w:sz="4" w:space="0" w:color="293F5B"/>
            </w:tcBorders>
            <w:vAlign w:val="bottom"/>
          </w:tcPr>
          <w:p w14:paraId="3EB02BD9" w14:textId="77777777" w:rsidR="00BB2CB4" w:rsidRPr="00222C32" w:rsidRDefault="000674DA">
            <w:pPr>
              <w:pStyle w:val="Summarytabletextrightaligned"/>
            </w:pPr>
            <w:r w:rsidRPr="00222C32">
              <w:t>3.4</w:t>
            </w:r>
          </w:p>
        </w:tc>
        <w:tc>
          <w:tcPr>
            <w:tcW w:w="850" w:type="dxa"/>
            <w:tcBorders>
              <w:bottom w:val="single" w:sz="4" w:space="0" w:color="293F5B"/>
            </w:tcBorders>
            <w:vAlign w:val="bottom"/>
          </w:tcPr>
          <w:p w14:paraId="078EF44F" w14:textId="77777777" w:rsidR="00BB2CB4" w:rsidRPr="00222C32" w:rsidRDefault="000674DA">
            <w:pPr>
              <w:pStyle w:val="Summarytabletextrightaligned"/>
            </w:pPr>
            <w:r w:rsidRPr="00222C32">
              <w:t>3.4</w:t>
            </w:r>
          </w:p>
        </w:tc>
      </w:tr>
      <w:tr w:rsidR="00BB2CB4" w:rsidRPr="00222C32" w14:paraId="747138DD" w14:textId="77777777" w:rsidTr="00825163">
        <w:tc>
          <w:tcPr>
            <w:tcW w:w="3471" w:type="dxa"/>
            <w:vAlign w:val="bottom"/>
          </w:tcPr>
          <w:p w14:paraId="1D540097"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3AA7669D"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31872FF" w14:textId="77777777" w:rsidR="00BB2CB4" w:rsidRPr="00222C32" w:rsidRDefault="000674DA">
            <w:pPr>
              <w:pStyle w:val="Summarytabletextrightalignedbold"/>
            </w:pPr>
            <w:r w:rsidRPr="00222C32">
              <w:t>39.8</w:t>
            </w:r>
          </w:p>
        </w:tc>
        <w:tc>
          <w:tcPr>
            <w:tcW w:w="850" w:type="dxa"/>
            <w:tcBorders>
              <w:top w:val="single" w:sz="4" w:space="0" w:color="293F5B"/>
              <w:bottom w:val="single" w:sz="4" w:space="0" w:color="293F5B"/>
            </w:tcBorders>
            <w:vAlign w:val="bottom"/>
          </w:tcPr>
          <w:p w14:paraId="1C0071F0" w14:textId="77777777" w:rsidR="00BB2CB4" w:rsidRPr="00222C32" w:rsidRDefault="000674DA">
            <w:pPr>
              <w:pStyle w:val="Summarytabletextrightalignedbold"/>
            </w:pPr>
            <w:r w:rsidRPr="00222C32">
              <w:t>46.1</w:t>
            </w:r>
          </w:p>
        </w:tc>
        <w:tc>
          <w:tcPr>
            <w:tcW w:w="850" w:type="dxa"/>
            <w:tcBorders>
              <w:top w:val="single" w:sz="4" w:space="0" w:color="293F5B"/>
              <w:bottom w:val="single" w:sz="4" w:space="0" w:color="293F5B"/>
            </w:tcBorders>
            <w:vAlign w:val="bottom"/>
          </w:tcPr>
          <w:p w14:paraId="581FBABC" w14:textId="77777777" w:rsidR="00BB2CB4" w:rsidRPr="00222C32" w:rsidRDefault="000674DA">
            <w:pPr>
              <w:pStyle w:val="Summarytabletextrightalignedbold"/>
            </w:pPr>
            <w:r w:rsidRPr="00222C32">
              <w:t>8.5</w:t>
            </w:r>
          </w:p>
        </w:tc>
        <w:tc>
          <w:tcPr>
            <w:tcW w:w="850" w:type="dxa"/>
            <w:tcBorders>
              <w:top w:val="single" w:sz="4" w:space="0" w:color="293F5B"/>
              <w:bottom w:val="single" w:sz="4" w:space="0" w:color="293F5B"/>
            </w:tcBorders>
            <w:vAlign w:val="bottom"/>
          </w:tcPr>
          <w:p w14:paraId="544BA120" w14:textId="77777777" w:rsidR="00BB2CB4" w:rsidRPr="00222C32" w:rsidRDefault="000674DA">
            <w:pPr>
              <w:pStyle w:val="Summarytabletextrightalignedbold"/>
            </w:pPr>
            <w:r w:rsidRPr="00222C32">
              <w:t>9.6</w:t>
            </w:r>
          </w:p>
        </w:tc>
      </w:tr>
      <w:tr w:rsidR="00BB2CB4" w:rsidRPr="00222C32" w14:paraId="0F0FF529" w14:textId="77777777" w:rsidTr="00825163">
        <w:tc>
          <w:tcPr>
            <w:tcW w:w="3471" w:type="dxa"/>
            <w:vAlign w:val="bottom"/>
          </w:tcPr>
          <w:p w14:paraId="369F7A3C" w14:textId="77777777" w:rsidR="00BB2CB4" w:rsidRPr="00222C32" w:rsidRDefault="000674DA">
            <w:pPr>
              <w:pStyle w:val="SummaryPortfolioTitle-BP2"/>
            </w:pPr>
            <w:r w:rsidRPr="00222C32">
              <w:t>CLIMATE CHANGE, ENERGY, THE ENVIRONMENT AND WATER</w:t>
            </w:r>
          </w:p>
        </w:tc>
        <w:tc>
          <w:tcPr>
            <w:tcW w:w="850" w:type="dxa"/>
            <w:tcBorders>
              <w:top w:val="single" w:sz="4" w:space="0" w:color="293F5B"/>
            </w:tcBorders>
          </w:tcPr>
          <w:p w14:paraId="1F2124B1"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55896C6C" w14:textId="77777777" w:rsidR="00BB2CB4" w:rsidRPr="00222C32" w:rsidRDefault="00BB2CB4">
            <w:pPr>
              <w:pStyle w:val="MeasureTableTextRightAlignedBefore6ptAfter1pt"/>
            </w:pPr>
          </w:p>
        </w:tc>
        <w:tc>
          <w:tcPr>
            <w:tcW w:w="850" w:type="dxa"/>
            <w:tcBorders>
              <w:top w:val="single" w:sz="4" w:space="0" w:color="293F5B"/>
            </w:tcBorders>
          </w:tcPr>
          <w:p w14:paraId="14114813" w14:textId="77777777" w:rsidR="00BB2CB4" w:rsidRPr="00222C32" w:rsidRDefault="00BB2CB4">
            <w:pPr>
              <w:pStyle w:val="MeasureTableTextRightAlignedBefore6ptAfter1pt"/>
            </w:pPr>
          </w:p>
        </w:tc>
        <w:tc>
          <w:tcPr>
            <w:tcW w:w="850" w:type="dxa"/>
            <w:tcBorders>
              <w:top w:val="single" w:sz="4" w:space="0" w:color="293F5B"/>
            </w:tcBorders>
          </w:tcPr>
          <w:p w14:paraId="7606B666" w14:textId="77777777" w:rsidR="00BB2CB4" w:rsidRPr="00222C32" w:rsidRDefault="00BB2CB4">
            <w:pPr>
              <w:pStyle w:val="MeasureTableTextRightAlignedBefore6ptAfter1pt"/>
            </w:pPr>
          </w:p>
        </w:tc>
        <w:tc>
          <w:tcPr>
            <w:tcW w:w="850" w:type="dxa"/>
            <w:tcBorders>
              <w:top w:val="single" w:sz="4" w:space="0" w:color="293F5B"/>
            </w:tcBorders>
          </w:tcPr>
          <w:p w14:paraId="7A905B6A" w14:textId="77777777" w:rsidR="00BB2CB4" w:rsidRPr="00222C32" w:rsidRDefault="00BB2CB4">
            <w:pPr>
              <w:pStyle w:val="MeasureTableTextRightAlignedBefore6ptAfter1pt"/>
            </w:pPr>
          </w:p>
        </w:tc>
      </w:tr>
      <w:tr w:rsidR="00BB2CB4" w:rsidRPr="00222C32" w14:paraId="7ABBFDF3" w14:textId="77777777" w:rsidTr="00825163">
        <w:tc>
          <w:tcPr>
            <w:tcW w:w="3471" w:type="dxa"/>
            <w:vAlign w:val="bottom"/>
          </w:tcPr>
          <w:p w14:paraId="723CDEEA" w14:textId="77777777" w:rsidR="00BB2CB4" w:rsidRPr="00222C32" w:rsidRDefault="000674DA">
            <w:pPr>
              <w:pStyle w:val="SummaryAgencyTitle-BP2"/>
            </w:pPr>
            <w:r w:rsidRPr="00222C32">
              <w:t>Australian Renewable Energy Agency</w:t>
            </w:r>
          </w:p>
        </w:tc>
        <w:tc>
          <w:tcPr>
            <w:tcW w:w="850" w:type="dxa"/>
          </w:tcPr>
          <w:p w14:paraId="2440999E" w14:textId="77777777" w:rsidR="00BB2CB4" w:rsidRPr="00222C32" w:rsidRDefault="00BB2CB4">
            <w:pPr>
              <w:pStyle w:val="SummaryAgencyTitle-BP2"/>
            </w:pPr>
          </w:p>
        </w:tc>
        <w:tc>
          <w:tcPr>
            <w:tcW w:w="850" w:type="dxa"/>
            <w:shd w:val="clear" w:color="auto" w:fill="E6F2FF"/>
          </w:tcPr>
          <w:p w14:paraId="5D51F75F" w14:textId="77777777" w:rsidR="00BB2CB4" w:rsidRPr="00222C32" w:rsidRDefault="00BB2CB4">
            <w:pPr>
              <w:pStyle w:val="SummaryAgencyTitle-BP2"/>
            </w:pPr>
          </w:p>
        </w:tc>
        <w:tc>
          <w:tcPr>
            <w:tcW w:w="850" w:type="dxa"/>
          </w:tcPr>
          <w:p w14:paraId="2C8BE176" w14:textId="77777777" w:rsidR="00BB2CB4" w:rsidRPr="00222C32" w:rsidRDefault="00BB2CB4">
            <w:pPr>
              <w:pStyle w:val="SummaryAgencyTitle-BP2"/>
            </w:pPr>
          </w:p>
        </w:tc>
        <w:tc>
          <w:tcPr>
            <w:tcW w:w="850" w:type="dxa"/>
          </w:tcPr>
          <w:p w14:paraId="0D553F91" w14:textId="77777777" w:rsidR="00BB2CB4" w:rsidRPr="00222C32" w:rsidRDefault="00BB2CB4">
            <w:pPr>
              <w:pStyle w:val="SummaryAgencyTitle-BP2"/>
            </w:pPr>
          </w:p>
        </w:tc>
        <w:tc>
          <w:tcPr>
            <w:tcW w:w="850" w:type="dxa"/>
          </w:tcPr>
          <w:p w14:paraId="1A744D08" w14:textId="77777777" w:rsidR="00BB2CB4" w:rsidRPr="00222C32" w:rsidRDefault="00BB2CB4">
            <w:pPr>
              <w:pStyle w:val="SummaryAgencyTitle-BP2"/>
            </w:pPr>
          </w:p>
        </w:tc>
      </w:tr>
      <w:tr w:rsidR="00BB2CB4" w:rsidRPr="00222C32" w14:paraId="685746C6" w14:textId="77777777" w:rsidTr="00825163">
        <w:tc>
          <w:tcPr>
            <w:tcW w:w="3471" w:type="dxa"/>
            <w:vAlign w:val="bottom"/>
          </w:tcPr>
          <w:p w14:paraId="190A4F83" w14:textId="77777777" w:rsidR="00BB2CB4" w:rsidRPr="00222C32" w:rsidRDefault="000674DA">
            <w:pPr>
              <w:pStyle w:val="SummaryMeasureTitlewithTheme"/>
            </w:pPr>
            <w:r w:rsidRPr="00222C32">
              <w:t>Climate Change, Energy, the Environment and Water – reprioritisation</w:t>
            </w:r>
          </w:p>
        </w:tc>
        <w:tc>
          <w:tcPr>
            <w:tcW w:w="850" w:type="dxa"/>
            <w:vAlign w:val="bottom"/>
          </w:tcPr>
          <w:p w14:paraId="3B990E5C" w14:textId="77777777" w:rsidR="00BB2CB4" w:rsidRPr="00222C32" w:rsidRDefault="000674DA">
            <w:pPr>
              <w:pStyle w:val="Summarytabletextrightaligned"/>
            </w:pPr>
            <w:r w:rsidRPr="00222C32">
              <w:t>-</w:t>
            </w:r>
          </w:p>
        </w:tc>
        <w:tc>
          <w:tcPr>
            <w:tcW w:w="850" w:type="dxa"/>
            <w:shd w:val="clear" w:color="auto" w:fill="E6F2FF"/>
            <w:vAlign w:val="bottom"/>
          </w:tcPr>
          <w:p w14:paraId="79C8BAFB" w14:textId="77777777" w:rsidR="00BB2CB4" w:rsidRPr="00222C32" w:rsidRDefault="000674DA">
            <w:pPr>
              <w:pStyle w:val="Summarytabletextrightaligned"/>
            </w:pPr>
            <w:r w:rsidRPr="00222C32">
              <w:t>-</w:t>
            </w:r>
          </w:p>
        </w:tc>
        <w:tc>
          <w:tcPr>
            <w:tcW w:w="850" w:type="dxa"/>
            <w:vAlign w:val="bottom"/>
          </w:tcPr>
          <w:p w14:paraId="24BA2E0A" w14:textId="77777777" w:rsidR="00BB2CB4" w:rsidRPr="00222C32" w:rsidRDefault="000674DA">
            <w:pPr>
              <w:pStyle w:val="Summarytabletextrightaligned"/>
            </w:pPr>
            <w:r w:rsidRPr="00222C32">
              <w:t>-57.8</w:t>
            </w:r>
          </w:p>
        </w:tc>
        <w:tc>
          <w:tcPr>
            <w:tcW w:w="850" w:type="dxa"/>
            <w:vAlign w:val="bottom"/>
          </w:tcPr>
          <w:p w14:paraId="1584FD0B" w14:textId="77777777" w:rsidR="00BB2CB4" w:rsidRPr="00222C32" w:rsidRDefault="000674DA">
            <w:pPr>
              <w:pStyle w:val="Summarytabletextrightaligned"/>
            </w:pPr>
            <w:r w:rsidRPr="00222C32">
              <w:t>-154.2</w:t>
            </w:r>
          </w:p>
        </w:tc>
        <w:tc>
          <w:tcPr>
            <w:tcW w:w="850" w:type="dxa"/>
            <w:vAlign w:val="bottom"/>
          </w:tcPr>
          <w:p w14:paraId="29EC4672" w14:textId="77777777" w:rsidR="00BB2CB4" w:rsidRPr="00222C32" w:rsidRDefault="000674DA">
            <w:pPr>
              <w:pStyle w:val="Summarytabletextrightaligned"/>
            </w:pPr>
            <w:r w:rsidRPr="00222C32">
              <w:t>-212.7</w:t>
            </w:r>
          </w:p>
        </w:tc>
      </w:tr>
      <w:tr w:rsidR="00BB2CB4" w:rsidRPr="00222C32" w14:paraId="78A4152C" w14:textId="77777777" w:rsidTr="00825163">
        <w:tc>
          <w:tcPr>
            <w:tcW w:w="3471" w:type="dxa"/>
            <w:vAlign w:val="bottom"/>
          </w:tcPr>
          <w:p w14:paraId="7742FF14" w14:textId="77777777" w:rsidR="00BB2CB4" w:rsidRPr="00222C32" w:rsidRDefault="000674DA">
            <w:pPr>
              <w:pStyle w:val="SummaryMeasureTitlewithTheme"/>
            </w:pPr>
            <w:r w:rsidRPr="00222C32">
              <w:t>Support for the Net Zero Plan(b)</w:t>
            </w:r>
          </w:p>
        </w:tc>
        <w:tc>
          <w:tcPr>
            <w:tcW w:w="850" w:type="dxa"/>
            <w:vAlign w:val="bottom"/>
          </w:tcPr>
          <w:p w14:paraId="6040AAB5" w14:textId="77777777" w:rsidR="00BB2CB4" w:rsidRPr="00222C32" w:rsidRDefault="000674DA">
            <w:pPr>
              <w:pStyle w:val="Summarytabletextrightaligned"/>
            </w:pPr>
            <w:r w:rsidRPr="00222C32">
              <w:t>-</w:t>
            </w:r>
          </w:p>
        </w:tc>
        <w:tc>
          <w:tcPr>
            <w:tcW w:w="850" w:type="dxa"/>
            <w:shd w:val="clear" w:color="auto" w:fill="E6F2FF"/>
            <w:vAlign w:val="bottom"/>
          </w:tcPr>
          <w:p w14:paraId="2BE1D91E" w14:textId="77777777" w:rsidR="00BB2CB4" w:rsidRPr="00222C32" w:rsidRDefault="000674DA">
            <w:pPr>
              <w:pStyle w:val="Summarytabletextrightaligned"/>
            </w:pPr>
            <w:r w:rsidRPr="00222C32">
              <w:t>-</w:t>
            </w:r>
          </w:p>
        </w:tc>
        <w:tc>
          <w:tcPr>
            <w:tcW w:w="850" w:type="dxa"/>
            <w:vAlign w:val="bottom"/>
          </w:tcPr>
          <w:p w14:paraId="125314F0" w14:textId="77777777" w:rsidR="00BB2CB4" w:rsidRPr="00222C32" w:rsidRDefault="000674DA">
            <w:pPr>
              <w:pStyle w:val="Summarytabletextrightaligned"/>
            </w:pPr>
            <w:r w:rsidRPr="00222C32">
              <w:t>6.4</w:t>
            </w:r>
          </w:p>
        </w:tc>
        <w:tc>
          <w:tcPr>
            <w:tcW w:w="850" w:type="dxa"/>
            <w:vAlign w:val="bottom"/>
          </w:tcPr>
          <w:p w14:paraId="18570824" w14:textId="77777777" w:rsidR="00BB2CB4" w:rsidRPr="00222C32" w:rsidRDefault="000674DA">
            <w:pPr>
              <w:pStyle w:val="Summarytabletextrightaligned"/>
            </w:pPr>
            <w:r w:rsidRPr="00222C32">
              <w:t>5.3</w:t>
            </w:r>
          </w:p>
        </w:tc>
        <w:tc>
          <w:tcPr>
            <w:tcW w:w="850" w:type="dxa"/>
            <w:vAlign w:val="bottom"/>
          </w:tcPr>
          <w:p w14:paraId="5DE01575" w14:textId="77777777" w:rsidR="00BB2CB4" w:rsidRPr="00222C32" w:rsidRDefault="000674DA">
            <w:pPr>
              <w:pStyle w:val="Summarytabletextrightaligned"/>
            </w:pPr>
            <w:r w:rsidRPr="00222C32">
              <w:t>46.6</w:t>
            </w:r>
          </w:p>
        </w:tc>
      </w:tr>
      <w:tr w:rsidR="00BB2CB4" w:rsidRPr="00222C32" w14:paraId="68FF5F65" w14:textId="77777777" w:rsidTr="00825163">
        <w:tc>
          <w:tcPr>
            <w:tcW w:w="3471" w:type="dxa"/>
            <w:vAlign w:val="bottom"/>
          </w:tcPr>
          <w:p w14:paraId="49CD39DC" w14:textId="77777777" w:rsidR="00BB2CB4" w:rsidRPr="00222C32" w:rsidRDefault="000674DA">
            <w:pPr>
              <w:pStyle w:val="SummaryAgencyTitle-BP2"/>
            </w:pPr>
            <w:r w:rsidRPr="00222C32">
              <w:t>Bureau of Meteorology</w:t>
            </w:r>
          </w:p>
        </w:tc>
        <w:tc>
          <w:tcPr>
            <w:tcW w:w="850" w:type="dxa"/>
          </w:tcPr>
          <w:p w14:paraId="613196F2" w14:textId="77777777" w:rsidR="00BB2CB4" w:rsidRPr="00222C32" w:rsidRDefault="00BB2CB4">
            <w:pPr>
              <w:pStyle w:val="SummaryAgencyTitle-BP2"/>
            </w:pPr>
          </w:p>
        </w:tc>
        <w:tc>
          <w:tcPr>
            <w:tcW w:w="850" w:type="dxa"/>
            <w:shd w:val="clear" w:color="auto" w:fill="E6F2FF"/>
          </w:tcPr>
          <w:p w14:paraId="46789C94" w14:textId="77777777" w:rsidR="00BB2CB4" w:rsidRPr="00222C32" w:rsidRDefault="00BB2CB4">
            <w:pPr>
              <w:pStyle w:val="SummaryAgencyTitle-BP2"/>
            </w:pPr>
          </w:p>
        </w:tc>
        <w:tc>
          <w:tcPr>
            <w:tcW w:w="850" w:type="dxa"/>
          </w:tcPr>
          <w:p w14:paraId="1C1BAB5D" w14:textId="77777777" w:rsidR="00BB2CB4" w:rsidRPr="00222C32" w:rsidRDefault="00BB2CB4">
            <w:pPr>
              <w:pStyle w:val="SummaryAgencyTitle-BP2"/>
            </w:pPr>
          </w:p>
        </w:tc>
        <w:tc>
          <w:tcPr>
            <w:tcW w:w="850" w:type="dxa"/>
          </w:tcPr>
          <w:p w14:paraId="6C89E134" w14:textId="77777777" w:rsidR="00BB2CB4" w:rsidRPr="00222C32" w:rsidRDefault="00BB2CB4">
            <w:pPr>
              <w:pStyle w:val="SummaryAgencyTitle-BP2"/>
            </w:pPr>
          </w:p>
        </w:tc>
        <w:tc>
          <w:tcPr>
            <w:tcW w:w="850" w:type="dxa"/>
          </w:tcPr>
          <w:p w14:paraId="0091809B" w14:textId="77777777" w:rsidR="00BB2CB4" w:rsidRPr="00222C32" w:rsidRDefault="00BB2CB4">
            <w:pPr>
              <w:pStyle w:val="SummaryAgencyTitle-BP2"/>
            </w:pPr>
          </w:p>
        </w:tc>
      </w:tr>
      <w:tr w:rsidR="00BB2CB4" w:rsidRPr="00222C32" w14:paraId="5BEDE88C" w14:textId="77777777" w:rsidTr="00825163">
        <w:tc>
          <w:tcPr>
            <w:tcW w:w="3471" w:type="dxa"/>
            <w:vAlign w:val="bottom"/>
          </w:tcPr>
          <w:p w14:paraId="27FBA286" w14:textId="77777777" w:rsidR="00BB2CB4" w:rsidRPr="00222C32" w:rsidRDefault="000674DA">
            <w:pPr>
              <w:pStyle w:val="SummaryMeasureTitlewithTheme"/>
            </w:pPr>
            <w:r w:rsidRPr="00222C32">
              <w:t>Weather Radar for Regional Queensland</w:t>
            </w:r>
          </w:p>
        </w:tc>
        <w:tc>
          <w:tcPr>
            <w:tcW w:w="850" w:type="dxa"/>
            <w:vAlign w:val="bottom"/>
          </w:tcPr>
          <w:p w14:paraId="7B96C525" w14:textId="77777777" w:rsidR="00BB2CB4" w:rsidRPr="00222C32" w:rsidRDefault="000674DA">
            <w:pPr>
              <w:pStyle w:val="Summarytabletextrightaligned"/>
            </w:pPr>
            <w:r w:rsidRPr="00222C32">
              <w:t>-</w:t>
            </w:r>
          </w:p>
        </w:tc>
        <w:tc>
          <w:tcPr>
            <w:tcW w:w="850" w:type="dxa"/>
            <w:shd w:val="clear" w:color="auto" w:fill="E6F2FF"/>
            <w:vAlign w:val="bottom"/>
          </w:tcPr>
          <w:p w14:paraId="62160DCE" w14:textId="77777777" w:rsidR="00BB2CB4" w:rsidRPr="00222C32" w:rsidRDefault="000674DA">
            <w:pPr>
              <w:pStyle w:val="Summarytabletextrightaligned"/>
            </w:pPr>
            <w:r w:rsidRPr="00222C32">
              <w:t>1.5</w:t>
            </w:r>
          </w:p>
        </w:tc>
        <w:tc>
          <w:tcPr>
            <w:tcW w:w="850" w:type="dxa"/>
            <w:vAlign w:val="bottom"/>
          </w:tcPr>
          <w:p w14:paraId="031C914C" w14:textId="77777777" w:rsidR="00BB2CB4" w:rsidRPr="00222C32" w:rsidRDefault="000674DA">
            <w:pPr>
              <w:pStyle w:val="Summarytabletextrightaligned"/>
            </w:pPr>
            <w:r w:rsidRPr="00222C32">
              <w:t>3.1</w:t>
            </w:r>
          </w:p>
        </w:tc>
        <w:tc>
          <w:tcPr>
            <w:tcW w:w="850" w:type="dxa"/>
            <w:vAlign w:val="bottom"/>
          </w:tcPr>
          <w:p w14:paraId="79FED4F1" w14:textId="77777777" w:rsidR="00BB2CB4" w:rsidRPr="00222C32" w:rsidRDefault="000674DA">
            <w:pPr>
              <w:pStyle w:val="Summarytabletextrightaligned"/>
            </w:pPr>
            <w:r w:rsidRPr="00222C32">
              <w:t>5.4</w:t>
            </w:r>
          </w:p>
        </w:tc>
        <w:tc>
          <w:tcPr>
            <w:tcW w:w="850" w:type="dxa"/>
            <w:vAlign w:val="bottom"/>
          </w:tcPr>
          <w:p w14:paraId="403C1492" w14:textId="77777777" w:rsidR="00BB2CB4" w:rsidRPr="00222C32" w:rsidRDefault="000674DA">
            <w:pPr>
              <w:pStyle w:val="Summarytabletextrightaligned"/>
            </w:pPr>
            <w:r w:rsidRPr="00222C32">
              <w:t>-</w:t>
            </w:r>
          </w:p>
        </w:tc>
      </w:tr>
      <w:tr w:rsidR="00BB2CB4" w:rsidRPr="00222C32" w14:paraId="6F5E39C7" w14:textId="77777777" w:rsidTr="00825163">
        <w:tc>
          <w:tcPr>
            <w:tcW w:w="3471" w:type="dxa"/>
            <w:vAlign w:val="bottom"/>
          </w:tcPr>
          <w:p w14:paraId="50FF35F3" w14:textId="77777777" w:rsidR="00BB2CB4" w:rsidRPr="00222C32" w:rsidRDefault="000674DA">
            <w:pPr>
              <w:pStyle w:val="SummaryAgencyTitle-BP2"/>
            </w:pPr>
            <w:r w:rsidRPr="00222C32">
              <w:t>Department of Climate Change, Energy, the Environment and Water</w:t>
            </w:r>
          </w:p>
        </w:tc>
        <w:tc>
          <w:tcPr>
            <w:tcW w:w="850" w:type="dxa"/>
          </w:tcPr>
          <w:p w14:paraId="69C5851D" w14:textId="77777777" w:rsidR="00BB2CB4" w:rsidRPr="00222C32" w:rsidRDefault="00BB2CB4">
            <w:pPr>
              <w:pStyle w:val="SummaryAgencyTitle-BP2"/>
            </w:pPr>
          </w:p>
        </w:tc>
        <w:tc>
          <w:tcPr>
            <w:tcW w:w="850" w:type="dxa"/>
            <w:shd w:val="clear" w:color="auto" w:fill="E6F2FF"/>
          </w:tcPr>
          <w:p w14:paraId="5990A192" w14:textId="77777777" w:rsidR="00BB2CB4" w:rsidRPr="00222C32" w:rsidRDefault="00BB2CB4">
            <w:pPr>
              <w:pStyle w:val="SummaryAgencyTitle-BP2"/>
            </w:pPr>
          </w:p>
        </w:tc>
        <w:tc>
          <w:tcPr>
            <w:tcW w:w="850" w:type="dxa"/>
          </w:tcPr>
          <w:p w14:paraId="1C93376E" w14:textId="77777777" w:rsidR="00BB2CB4" w:rsidRPr="00222C32" w:rsidRDefault="00BB2CB4">
            <w:pPr>
              <w:pStyle w:val="SummaryAgencyTitle-BP2"/>
            </w:pPr>
          </w:p>
        </w:tc>
        <w:tc>
          <w:tcPr>
            <w:tcW w:w="850" w:type="dxa"/>
          </w:tcPr>
          <w:p w14:paraId="56C2452F" w14:textId="77777777" w:rsidR="00BB2CB4" w:rsidRPr="00222C32" w:rsidRDefault="00BB2CB4">
            <w:pPr>
              <w:pStyle w:val="SummaryAgencyTitle-BP2"/>
            </w:pPr>
          </w:p>
        </w:tc>
        <w:tc>
          <w:tcPr>
            <w:tcW w:w="850" w:type="dxa"/>
          </w:tcPr>
          <w:p w14:paraId="75E50E30" w14:textId="77777777" w:rsidR="00BB2CB4" w:rsidRPr="00222C32" w:rsidRDefault="00BB2CB4">
            <w:pPr>
              <w:pStyle w:val="SummaryAgencyTitle-BP2"/>
            </w:pPr>
          </w:p>
        </w:tc>
      </w:tr>
      <w:tr w:rsidR="00BB2CB4" w:rsidRPr="00222C32" w14:paraId="2B03764D" w14:textId="77777777" w:rsidTr="00825163">
        <w:tc>
          <w:tcPr>
            <w:tcW w:w="3471" w:type="dxa"/>
            <w:tcBorders>
              <w:bottom w:val="nil"/>
            </w:tcBorders>
            <w:vAlign w:val="bottom"/>
          </w:tcPr>
          <w:p w14:paraId="0CDB6854" w14:textId="77777777" w:rsidR="00BB2CB4" w:rsidRPr="00222C32" w:rsidRDefault="000674DA">
            <w:pPr>
              <w:pStyle w:val="SummaryMeasureTitlewithTheme"/>
            </w:pPr>
            <w:r w:rsidRPr="00222C32">
              <w:t>A Rapidly Transforming Energy System(b)</w:t>
            </w:r>
          </w:p>
        </w:tc>
        <w:tc>
          <w:tcPr>
            <w:tcW w:w="850" w:type="dxa"/>
            <w:tcBorders>
              <w:bottom w:val="nil"/>
            </w:tcBorders>
            <w:vAlign w:val="bottom"/>
          </w:tcPr>
          <w:p w14:paraId="583E1AAF"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61927FF1" w14:textId="77777777" w:rsidR="00BB2CB4" w:rsidRPr="00222C32" w:rsidRDefault="000674DA">
            <w:pPr>
              <w:pStyle w:val="Summarytabletextrightaligned"/>
            </w:pPr>
            <w:r w:rsidRPr="00222C32">
              <w:t>15.2</w:t>
            </w:r>
          </w:p>
        </w:tc>
        <w:tc>
          <w:tcPr>
            <w:tcW w:w="850" w:type="dxa"/>
            <w:tcBorders>
              <w:bottom w:val="nil"/>
            </w:tcBorders>
            <w:vAlign w:val="bottom"/>
          </w:tcPr>
          <w:p w14:paraId="4C432E9F" w14:textId="77777777" w:rsidR="00BB2CB4" w:rsidRPr="00222C32" w:rsidRDefault="000674DA">
            <w:pPr>
              <w:pStyle w:val="Summarytabletextrightaligned"/>
            </w:pPr>
            <w:r w:rsidRPr="00222C32">
              <w:t>11.2</w:t>
            </w:r>
          </w:p>
        </w:tc>
        <w:tc>
          <w:tcPr>
            <w:tcW w:w="850" w:type="dxa"/>
            <w:tcBorders>
              <w:bottom w:val="nil"/>
            </w:tcBorders>
            <w:vAlign w:val="bottom"/>
          </w:tcPr>
          <w:p w14:paraId="48605D15" w14:textId="77777777" w:rsidR="00BB2CB4" w:rsidRPr="00222C32" w:rsidRDefault="000674DA">
            <w:pPr>
              <w:pStyle w:val="Summarytabletextrightaligned"/>
            </w:pPr>
            <w:r w:rsidRPr="00222C32">
              <w:t>3.3</w:t>
            </w:r>
          </w:p>
        </w:tc>
        <w:tc>
          <w:tcPr>
            <w:tcW w:w="850" w:type="dxa"/>
            <w:tcBorders>
              <w:bottom w:val="nil"/>
            </w:tcBorders>
            <w:vAlign w:val="bottom"/>
          </w:tcPr>
          <w:p w14:paraId="33DFC7DF" w14:textId="77777777" w:rsidR="00BB2CB4" w:rsidRPr="00222C32" w:rsidRDefault="000674DA">
            <w:pPr>
              <w:pStyle w:val="Summarytabletextrightaligned"/>
            </w:pPr>
            <w:r w:rsidRPr="00222C32">
              <w:t>3.3</w:t>
            </w:r>
          </w:p>
        </w:tc>
      </w:tr>
      <w:tr w:rsidR="00BB2CB4" w:rsidRPr="00222C32" w14:paraId="590A39C9" w14:textId="77777777" w:rsidTr="00825163">
        <w:tc>
          <w:tcPr>
            <w:tcW w:w="3471" w:type="dxa"/>
            <w:tcBorders>
              <w:top w:val="nil"/>
              <w:bottom w:val="single" w:sz="4" w:space="0" w:color="293F5B"/>
            </w:tcBorders>
            <w:vAlign w:val="bottom"/>
          </w:tcPr>
          <w:p w14:paraId="3EDE3BF8" w14:textId="77777777" w:rsidR="00BB2CB4" w:rsidRPr="00222C32" w:rsidRDefault="000674DA">
            <w:pPr>
              <w:pStyle w:val="SummaryMeasureTitlewithTheme"/>
            </w:pPr>
            <w:r w:rsidRPr="00222C32">
              <w:t>Australian Antarctic Program – continuing funding</w:t>
            </w:r>
          </w:p>
        </w:tc>
        <w:tc>
          <w:tcPr>
            <w:tcW w:w="850" w:type="dxa"/>
            <w:tcBorders>
              <w:top w:val="nil"/>
              <w:bottom w:val="single" w:sz="4" w:space="0" w:color="293F5B"/>
            </w:tcBorders>
            <w:vAlign w:val="bottom"/>
          </w:tcPr>
          <w:p w14:paraId="6EAF6452"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59A885B7" w14:textId="77777777" w:rsidR="00BB2CB4" w:rsidRPr="00222C32" w:rsidRDefault="000674DA">
            <w:pPr>
              <w:pStyle w:val="Summarytabletextrightaligned"/>
            </w:pPr>
            <w:r w:rsidRPr="00222C32">
              <w:t>0.6</w:t>
            </w:r>
          </w:p>
        </w:tc>
        <w:tc>
          <w:tcPr>
            <w:tcW w:w="850" w:type="dxa"/>
            <w:tcBorders>
              <w:top w:val="nil"/>
              <w:bottom w:val="single" w:sz="4" w:space="0" w:color="293F5B"/>
            </w:tcBorders>
            <w:vAlign w:val="bottom"/>
          </w:tcPr>
          <w:p w14:paraId="311E94EC" w14:textId="77777777" w:rsidR="00BB2CB4" w:rsidRPr="00222C32" w:rsidRDefault="000674DA">
            <w:pPr>
              <w:pStyle w:val="Summarytabletextrightaligned"/>
            </w:pPr>
            <w:r w:rsidRPr="00222C32">
              <w:t>16.0</w:t>
            </w:r>
          </w:p>
        </w:tc>
        <w:tc>
          <w:tcPr>
            <w:tcW w:w="850" w:type="dxa"/>
            <w:tcBorders>
              <w:top w:val="nil"/>
              <w:bottom w:val="single" w:sz="4" w:space="0" w:color="293F5B"/>
            </w:tcBorders>
            <w:vAlign w:val="bottom"/>
          </w:tcPr>
          <w:p w14:paraId="7D43FA99" w14:textId="77777777" w:rsidR="00BB2CB4" w:rsidRPr="00222C32" w:rsidRDefault="000674DA">
            <w:pPr>
              <w:pStyle w:val="Summarytabletextrightaligned"/>
            </w:pPr>
            <w:r w:rsidRPr="00222C32">
              <w:t>48.6</w:t>
            </w:r>
          </w:p>
        </w:tc>
        <w:tc>
          <w:tcPr>
            <w:tcW w:w="850" w:type="dxa"/>
            <w:tcBorders>
              <w:top w:val="nil"/>
              <w:bottom w:val="single" w:sz="4" w:space="0" w:color="293F5B"/>
            </w:tcBorders>
            <w:vAlign w:val="bottom"/>
          </w:tcPr>
          <w:p w14:paraId="33F1A9C2" w14:textId="77777777" w:rsidR="00BB2CB4" w:rsidRPr="00222C32" w:rsidRDefault="000674DA">
            <w:pPr>
              <w:pStyle w:val="Summarytabletextrightaligned"/>
            </w:pPr>
            <w:r w:rsidRPr="00222C32">
              <w:t>49.7</w:t>
            </w:r>
          </w:p>
        </w:tc>
      </w:tr>
    </w:tbl>
    <w:p w14:paraId="7857CAB4" w14:textId="77777777" w:rsidR="000D63FB" w:rsidRDefault="000D63FB" w:rsidP="000D63FB">
      <w:pPr>
        <w:sectPr w:rsidR="000D63FB" w:rsidSect="00301ACF">
          <w:headerReference w:type="even" r:id="rId43"/>
          <w:headerReference w:type="default" r:id="rId44"/>
          <w:footerReference w:type="even" r:id="rId45"/>
          <w:footerReference w:type="default" r:id="rId46"/>
          <w:headerReference w:type="first" r:id="rId47"/>
          <w:footerReference w:type="first" r:id="rId48"/>
          <w:type w:val="oddPage"/>
          <w:pgSz w:w="11906" w:h="16838" w:code="9"/>
          <w:pgMar w:top="2835" w:right="2098" w:bottom="2466" w:left="2098" w:header="1814" w:footer="1814" w:gutter="0"/>
          <w:cols w:space="720"/>
          <w:titlePg/>
          <w:docGrid w:linePitch="272"/>
        </w:sectPr>
      </w:pPr>
    </w:p>
    <w:p w14:paraId="5B0850CD" w14:textId="027D469E"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4C271440" w14:textId="77777777" w:rsidTr="00825163">
        <w:tc>
          <w:tcPr>
            <w:tcW w:w="3471" w:type="dxa"/>
            <w:tcBorders>
              <w:top w:val="single" w:sz="4" w:space="0" w:color="293F5B"/>
              <w:bottom w:val="nil"/>
            </w:tcBorders>
            <w:vAlign w:val="bottom"/>
          </w:tcPr>
          <w:p w14:paraId="6910BA96" w14:textId="77777777" w:rsidR="000D63FB" w:rsidRPr="00222C32" w:rsidRDefault="000D63FB" w:rsidP="000D63FB"/>
        </w:tc>
        <w:tc>
          <w:tcPr>
            <w:tcW w:w="850" w:type="dxa"/>
            <w:tcBorders>
              <w:top w:val="single" w:sz="4" w:space="0" w:color="293F5B"/>
              <w:bottom w:val="nil"/>
            </w:tcBorders>
            <w:vAlign w:val="bottom"/>
          </w:tcPr>
          <w:p w14:paraId="41D2FED5"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vAlign w:val="bottom"/>
          </w:tcPr>
          <w:p w14:paraId="56871243"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vAlign w:val="bottom"/>
          </w:tcPr>
          <w:p w14:paraId="16D468DD"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vAlign w:val="bottom"/>
          </w:tcPr>
          <w:p w14:paraId="6DC79590"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vAlign w:val="bottom"/>
          </w:tcPr>
          <w:p w14:paraId="1CC1A6C2" w14:textId="77777777" w:rsidR="000D63FB" w:rsidRPr="00222C32" w:rsidRDefault="000D63FB" w:rsidP="000D63FB">
            <w:pPr>
              <w:pStyle w:val="Summarytabletextrightaligned"/>
            </w:pPr>
            <w:r w:rsidRPr="00222C32">
              <w:t>2028-29</w:t>
            </w:r>
          </w:p>
        </w:tc>
      </w:tr>
      <w:tr w:rsidR="000D63FB" w:rsidRPr="00222C32" w14:paraId="62918FDA" w14:textId="77777777" w:rsidTr="00825163">
        <w:tc>
          <w:tcPr>
            <w:tcW w:w="3471" w:type="dxa"/>
            <w:tcBorders>
              <w:top w:val="nil"/>
            </w:tcBorders>
            <w:vAlign w:val="bottom"/>
          </w:tcPr>
          <w:p w14:paraId="1240C8CC" w14:textId="77777777" w:rsidR="000D63FB" w:rsidRPr="00222C32" w:rsidRDefault="000D63FB" w:rsidP="000D63FB"/>
        </w:tc>
        <w:tc>
          <w:tcPr>
            <w:tcW w:w="850" w:type="dxa"/>
            <w:tcBorders>
              <w:top w:val="nil"/>
              <w:bottom w:val="single" w:sz="4" w:space="0" w:color="293F5B"/>
            </w:tcBorders>
            <w:vAlign w:val="bottom"/>
          </w:tcPr>
          <w:p w14:paraId="5A640303"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vAlign w:val="bottom"/>
          </w:tcPr>
          <w:p w14:paraId="49D4802D"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7846226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35A1A986"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15F13BD8" w14:textId="77777777" w:rsidR="000D63FB" w:rsidRPr="00222C32" w:rsidRDefault="000D63FB" w:rsidP="000D63FB">
            <w:pPr>
              <w:pStyle w:val="Summarytabletextrightaligned"/>
            </w:pPr>
            <w:r w:rsidRPr="00222C32">
              <w:t>$m</w:t>
            </w:r>
          </w:p>
        </w:tc>
      </w:tr>
      <w:tr w:rsidR="000D63FB" w:rsidRPr="00222C32" w14:paraId="6AD9DAF4" w14:textId="77777777" w:rsidTr="00825163">
        <w:tc>
          <w:tcPr>
            <w:tcW w:w="3471" w:type="dxa"/>
            <w:tcBorders>
              <w:bottom w:val="nil"/>
            </w:tcBorders>
            <w:vAlign w:val="bottom"/>
          </w:tcPr>
          <w:p w14:paraId="05489BDB" w14:textId="77777777" w:rsidR="000D63FB" w:rsidRPr="00222C32" w:rsidRDefault="000D63FB" w:rsidP="000D63FB">
            <w:pPr>
              <w:pStyle w:val="SummaryMeasureTitlewithTheme"/>
              <w:rPr>
                <w:b/>
              </w:rPr>
            </w:pPr>
            <w:r w:rsidRPr="00222C32">
              <w:rPr>
                <w:b/>
              </w:rPr>
              <w:t>CLIMATE CHANGE, ENERGY, THE ENVIRONMENT AND WATER (continued)</w:t>
            </w:r>
          </w:p>
        </w:tc>
        <w:tc>
          <w:tcPr>
            <w:tcW w:w="850" w:type="dxa"/>
            <w:tcBorders>
              <w:top w:val="single" w:sz="4" w:space="0" w:color="293F5B"/>
              <w:bottom w:val="nil"/>
            </w:tcBorders>
            <w:vAlign w:val="bottom"/>
          </w:tcPr>
          <w:p w14:paraId="4D8FC520" w14:textId="77777777" w:rsidR="000D63FB" w:rsidRPr="00222C32" w:rsidRDefault="000D63FB">
            <w:pPr>
              <w:pStyle w:val="Summarytabletextrightaligned"/>
            </w:pPr>
          </w:p>
        </w:tc>
        <w:tc>
          <w:tcPr>
            <w:tcW w:w="850" w:type="dxa"/>
            <w:tcBorders>
              <w:top w:val="single" w:sz="4" w:space="0" w:color="293F5B"/>
              <w:bottom w:val="nil"/>
            </w:tcBorders>
            <w:shd w:val="clear" w:color="auto" w:fill="E6F2FF"/>
            <w:vAlign w:val="bottom"/>
          </w:tcPr>
          <w:p w14:paraId="1F8A28AE" w14:textId="77777777" w:rsidR="000D63FB" w:rsidRPr="00222C32" w:rsidRDefault="000D63FB">
            <w:pPr>
              <w:pStyle w:val="Summarytabletextrightaligned"/>
            </w:pPr>
          </w:p>
        </w:tc>
        <w:tc>
          <w:tcPr>
            <w:tcW w:w="850" w:type="dxa"/>
            <w:tcBorders>
              <w:top w:val="single" w:sz="4" w:space="0" w:color="293F5B"/>
              <w:bottom w:val="nil"/>
            </w:tcBorders>
            <w:vAlign w:val="bottom"/>
          </w:tcPr>
          <w:p w14:paraId="12475CB4" w14:textId="77777777" w:rsidR="000D63FB" w:rsidRPr="00222C32" w:rsidRDefault="000D63FB">
            <w:pPr>
              <w:pStyle w:val="Summarytabletextrightaligned"/>
            </w:pPr>
          </w:p>
        </w:tc>
        <w:tc>
          <w:tcPr>
            <w:tcW w:w="850" w:type="dxa"/>
            <w:tcBorders>
              <w:top w:val="single" w:sz="4" w:space="0" w:color="293F5B"/>
              <w:bottom w:val="nil"/>
            </w:tcBorders>
            <w:vAlign w:val="bottom"/>
          </w:tcPr>
          <w:p w14:paraId="56BC0F6D" w14:textId="77777777" w:rsidR="000D63FB" w:rsidRPr="00222C32" w:rsidRDefault="000D63FB">
            <w:pPr>
              <w:pStyle w:val="Summarytabletextrightaligned"/>
            </w:pPr>
          </w:p>
        </w:tc>
        <w:tc>
          <w:tcPr>
            <w:tcW w:w="850" w:type="dxa"/>
            <w:tcBorders>
              <w:top w:val="single" w:sz="4" w:space="0" w:color="293F5B"/>
              <w:bottom w:val="nil"/>
            </w:tcBorders>
            <w:vAlign w:val="bottom"/>
          </w:tcPr>
          <w:p w14:paraId="07A89E9E" w14:textId="77777777" w:rsidR="000D63FB" w:rsidRPr="00222C32" w:rsidRDefault="000D63FB">
            <w:pPr>
              <w:pStyle w:val="Summarytabletextrightaligned"/>
            </w:pPr>
          </w:p>
        </w:tc>
      </w:tr>
      <w:tr w:rsidR="00BB2CB4" w:rsidRPr="00222C32" w14:paraId="35A894E1" w14:textId="77777777" w:rsidTr="00825163">
        <w:tc>
          <w:tcPr>
            <w:tcW w:w="3471" w:type="dxa"/>
            <w:tcBorders>
              <w:top w:val="nil"/>
            </w:tcBorders>
            <w:vAlign w:val="bottom"/>
          </w:tcPr>
          <w:p w14:paraId="42B1AE63" w14:textId="77777777" w:rsidR="00BB2CB4" w:rsidRPr="00222C32" w:rsidRDefault="000674DA">
            <w:pPr>
              <w:pStyle w:val="SummaryMeasureTitlewithTheme"/>
            </w:pPr>
            <w:r w:rsidRPr="00222C32">
              <w:t>Australian Energy Regulator Uplift</w:t>
            </w:r>
          </w:p>
        </w:tc>
        <w:tc>
          <w:tcPr>
            <w:tcW w:w="850" w:type="dxa"/>
            <w:tcBorders>
              <w:top w:val="nil"/>
            </w:tcBorders>
            <w:vAlign w:val="bottom"/>
          </w:tcPr>
          <w:p w14:paraId="357BED99" w14:textId="77777777" w:rsidR="00BB2CB4" w:rsidRPr="00222C32" w:rsidRDefault="000674DA">
            <w:pPr>
              <w:pStyle w:val="Summarytabletextrightaligned"/>
            </w:pPr>
            <w:r w:rsidRPr="00222C32">
              <w:t>-</w:t>
            </w:r>
          </w:p>
        </w:tc>
        <w:tc>
          <w:tcPr>
            <w:tcW w:w="850" w:type="dxa"/>
            <w:tcBorders>
              <w:top w:val="nil"/>
            </w:tcBorders>
            <w:shd w:val="clear" w:color="auto" w:fill="E6F2FF"/>
            <w:vAlign w:val="bottom"/>
          </w:tcPr>
          <w:p w14:paraId="6E56D40E" w14:textId="77777777" w:rsidR="00BB2CB4" w:rsidRPr="00222C32" w:rsidRDefault="000674DA">
            <w:pPr>
              <w:pStyle w:val="Summarytabletextrightaligned"/>
            </w:pPr>
            <w:r w:rsidRPr="00222C32">
              <w:t>-</w:t>
            </w:r>
          </w:p>
        </w:tc>
        <w:tc>
          <w:tcPr>
            <w:tcW w:w="850" w:type="dxa"/>
            <w:tcBorders>
              <w:top w:val="nil"/>
            </w:tcBorders>
            <w:vAlign w:val="bottom"/>
          </w:tcPr>
          <w:p w14:paraId="1412163F" w14:textId="77777777" w:rsidR="00BB2CB4" w:rsidRPr="00222C32" w:rsidRDefault="000674DA">
            <w:pPr>
              <w:pStyle w:val="Summarytabletextrightaligned"/>
            </w:pPr>
            <w:r w:rsidRPr="00222C32">
              <w:t>-</w:t>
            </w:r>
          </w:p>
        </w:tc>
        <w:tc>
          <w:tcPr>
            <w:tcW w:w="850" w:type="dxa"/>
            <w:tcBorders>
              <w:top w:val="nil"/>
            </w:tcBorders>
            <w:vAlign w:val="bottom"/>
          </w:tcPr>
          <w:p w14:paraId="14EC3DCA" w14:textId="77777777" w:rsidR="00BB2CB4" w:rsidRPr="00222C32" w:rsidRDefault="000674DA">
            <w:pPr>
              <w:pStyle w:val="Summarytabletextrightaligned"/>
            </w:pPr>
            <w:r w:rsidRPr="00222C32">
              <w:t>-</w:t>
            </w:r>
          </w:p>
        </w:tc>
        <w:tc>
          <w:tcPr>
            <w:tcW w:w="850" w:type="dxa"/>
            <w:tcBorders>
              <w:top w:val="nil"/>
            </w:tcBorders>
            <w:vAlign w:val="bottom"/>
          </w:tcPr>
          <w:p w14:paraId="460B2C20" w14:textId="77777777" w:rsidR="00BB2CB4" w:rsidRPr="00222C32" w:rsidRDefault="000674DA">
            <w:pPr>
              <w:pStyle w:val="Summarytabletextrightaligned"/>
            </w:pPr>
            <w:r w:rsidRPr="00222C32">
              <w:t>-</w:t>
            </w:r>
          </w:p>
        </w:tc>
      </w:tr>
      <w:tr w:rsidR="00BB2CB4" w:rsidRPr="00222C32" w14:paraId="52CFB58D" w14:textId="77777777" w:rsidTr="00825163">
        <w:tc>
          <w:tcPr>
            <w:tcW w:w="3471" w:type="dxa"/>
            <w:vAlign w:val="bottom"/>
          </w:tcPr>
          <w:p w14:paraId="1F6439A2" w14:textId="77777777" w:rsidR="00BB2CB4" w:rsidRPr="00222C32" w:rsidRDefault="000674DA">
            <w:pPr>
              <w:pStyle w:val="SummaryMeasureTitlewithTheme"/>
            </w:pPr>
            <w:r w:rsidRPr="00222C32">
              <w:t>Climate Change, Energy, the Environment and Water – continuing regulatory functions</w:t>
            </w:r>
          </w:p>
        </w:tc>
        <w:tc>
          <w:tcPr>
            <w:tcW w:w="850" w:type="dxa"/>
            <w:vAlign w:val="bottom"/>
          </w:tcPr>
          <w:p w14:paraId="6303B0AD" w14:textId="77777777" w:rsidR="00BB2CB4" w:rsidRPr="00222C32" w:rsidRDefault="000674DA">
            <w:pPr>
              <w:pStyle w:val="Summarytabletextrightaligned"/>
            </w:pPr>
            <w:r w:rsidRPr="00222C32">
              <w:t>-</w:t>
            </w:r>
          </w:p>
        </w:tc>
        <w:tc>
          <w:tcPr>
            <w:tcW w:w="850" w:type="dxa"/>
            <w:shd w:val="clear" w:color="auto" w:fill="E6F2FF"/>
            <w:vAlign w:val="bottom"/>
          </w:tcPr>
          <w:p w14:paraId="1F9DB8DD" w14:textId="77777777" w:rsidR="00BB2CB4" w:rsidRPr="00222C32" w:rsidRDefault="000674DA">
            <w:pPr>
              <w:pStyle w:val="Summarytabletextrightaligned"/>
            </w:pPr>
            <w:r w:rsidRPr="00222C32">
              <w:t>6.4</w:t>
            </w:r>
          </w:p>
        </w:tc>
        <w:tc>
          <w:tcPr>
            <w:tcW w:w="850" w:type="dxa"/>
            <w:vAlign w:val="bottom"/>
          </w:tcPr>
          <w:p w14:paraId="00C9ABDD" w14:textId="77777777" w:rsidR="00BB2CB4" w:rsidRPr="00222C32" w:rsidRDefault="000674DA">
            <w:pPr>
              <w:pStyle w:val="Summarytabletextrightaligned"/>
            </w:pPr>
            <w:r w:rsidRPr="00222C32">
              <w:t>-</w:t>
            </w:r>
          </w:p>
        </w:tc>
        <w:tc>
          <w:tcPr>
            <w:tcW w:w="850" w:type="dxa"/>
            <w:vAlign w:val="bottom"/>
          </w:tcPr>
          <w:p w14:paraId="53D2EBE4" w14:textId="77777777" w:rsidR="00BB2CB4" w:rsidRPr="00222C32" w:rsidRDefault="000674DA">
            <w:pPr>
              <w:pStyle w:val="Summarytabletextrightaligned"/>
            </w:pPr>
            <w:r w:rsidRPr="00222C32">
              <w:t>-</w:t>
            </w:r>
          </w:p>
        </w:tc>
        <w:tc>
          <w:tcPr>
            <w:tcW w:w="850" w:type="dxa"/>
            <w:vAlign w:val="bottom"/>
          </w:tcPr>
          <w:p w14:paraId="5DB062EB" w14:textId="77777777" w:rsidR="00BB2CB4" w:rsidRPr="00222C32" w:rsidRDefault="000674DA">
            <w:pPr>
              <w:pStyle w:val="Summarytabletextrightaligned"/>
            </w:pPr>
            <w:r w:rsidRPr="00222C32">
              <w:t>-</w:t>
            </w:r>
          </w:p>
        </w:tc>
      </w:tr>
      <w:tr w:rsidR="00BB2CB4" w:rsidRPr="00222C32" w14:paraId="72421A39" w14:textId="77777777" w:rsidTr="00825163">
        <w:tc>
          <w:tcPr>
            <w:tcW w:w="3471" w:type="dxa"/>
            <w:vAlign w:val="bottom"/>
          </w:tcPr>
          <w:p w14:paraId="0574B672" w14:textId="77777777" w:rsidR="00BB2CB4" w:rsidRPr="00222C32" w:rsidRDefault="000674DA">
            <w:pPr>
              <w:pStyle w:val="SummaryMeasureTitlewithTheme"/>
            </w:pPr>
            <w:r w:rsidRPr="00222C32">
              <w:t>Climate Change, Energy, the Environment and Water – reprioritisation</w:t>
            </w:r>
          </w:p>
        </w:tc>
        <w:tc>
          <w:tcPr>
            <w:tcW w:w="850" w:type="dxa"/>
            <w:vAlign w:val="bottom"/>
          </w:tcPr>
          <w:p w14:paraId="6987ED2E" w14:textId="77777777" w:rsidR="00BB2CB4" w:rsidRPr="00222C32" w:rsidRDefault="000674DA">
            <w:pPr>
              <w:pStyle w:val="Summarytabletextrightaligned"/>
            </w:pPr>
            <w:r w:rsidRPr="00222C32">
              <w:t>-</w:t>
            </w:r>
          </w:p>
        </w:tc>
        <w:tc>
          <w:tcPr>
            <w:tcW w:w="850" w:type="dxa"/>
            <w:shd w:val="clear" w:color="auto" w:fill="E6F2FF"/>
            <w:vAlign w:val="bottom"/>
          </w:tcPr>
          <w:p w14:paraId="1EA2FFA4" w14:textId="77777777" w:rsidR="00BB2CB4" w:rsidRPr="00222C32" w:rsidRDefault="000674DA">
            <w:pPr>
              <w:pStyle w:val="Summarytabletextrightaligned"/>
            </w:pPr>
            <w:r w:rsidRPr="00222C32">
              <w:t>-2.5</w:t>
            </w:r>
          </w:p>
        </w:tc>
        <w:tc>
          <w:tcPr>
            <w:tcW w:w="850" w:type="dxa"/>
            <w:vAlign w:val="bottom"/>
          </w:tcPr>
          <w:p w14:paraId="6E35E8B4" w14:textId="77777777" w:rsidR="00BB2CB4" w:rsidRPr="00222C32" w:rsidRDefault="000674DA">
            <w:pPr>
              <w:pStyle w:val="Summarytabletextrightaligned"/>
            </w:pPr>
            <w:r w:rsidRPr="00222C32">
              <w:t>-25.3</w:t>
            </w:r>
          </w:p>
        </w:tc>
        <w:tc>
          <w:tcPr>
            <w:tcW w:w="850" w:type="dxa"/>
            <w:vAlign w:val="bottom"/>
          </w:tcPr>
          <w:p w14:paraId="252D2F16" w14:textId="77777777" w:rsidR="00BB2CB4" w:rsidRPr="00222C32" w:rsidRDefault="000674DA">
            <w:pPr>
              <w:pStyle w:val="Summarytabletextrightaligned"/>
            </w:pPr>
            <w:r w:rsidRPr="00222C32">
              <w:t>-36.2</w:t>
            </w:r>
          </w:p>
        </w:tc>
        <w:tc>
          <w:tcPr>
            <w:tcW w:w="850" w:type="dxa"/>
            <w:vAlign w:val="bottom"/>
          </w:tcPr>
          <w:p w14:paraId="517435D5" w14:textId="77777777" w:rsidR="00BB2CB4" w:rsidRPr="00222C32" w:rsidRDefault="000674DA">
            <w:pPr>
              <w:pStyle w:val="Summarytabletextrightaligned"/>
            </w:pPr>
            <w:r w:rsidRPr="00222C32">
              <w:t>-20.7</w:t>
            </w:r>
          </w:p>
        </w:tc>
      </w:tr>
      <w:tr w:rsidR="00BB2CB4" w:rsidRPr="00222C32" w14:paraId="45A94C9D" w14:textId="77777777" w:rsidTr="00825163">
        <w:tc>
          <w:tcPr>
            <w:tcW w:w="3471" w:type="dxa"/>
            <w:vAlign w:val="bottom"/>
          </w:tcPr>
          <w:p w14:paraId="6CF4E17C" w14:textId="77777777" w:rsidR="00BB2CB4" w:rsidRPr="00222C32" w:rsidRDefault="000674DA">
            <w:pPr>
              <w:pStyle w:val="SummaryMeasureTitlewithTheme"/>
            </w:pPr>
            <w:r w:rsidRPr="00222C32">
              <w:t>Commonwealth Leadership for a Safe Circular Economy – additional funding</w:t>
            </w:r>
          </w:p>
        </w:tc>
        <w:tc>
          <w:tcPr>
            <w:tcW w:w="850" w:type="dxa"/>
            <w:vAlign w:val="bottom"/>
          </w:tcPr>
          <w:p w14:paraId="097B37BA" w14:textId="77777777" w:rsidR="00BB2CB4" w:rsidRPr="00222C32" w:rsidRDefault="000674DA">
            <w:pPr>
              <w:pStyle w:val="Summarytabletextrightaligned"/>
            </w:pPr>
            <w:r w:rsidRPr="00222C32">
              <w:t>-</w:t>
            </w:r>
          </w:p>
        </w:tc>
        <w:tc>
          <w:tcPr>
            <w:tcW w:w="850" w:type="dxa"/>
            <w:shd w:val="clear" w:color="auto" w:fill="E6F2FF"/>
            <w:vAlign w:val="bottom"/>
          </w:tcPr>
          <w:p w14:paraId="5715A0C7" w14:textId="77777777" w:rsidR="00BB2CB4" w:rsidRPr="00222C32" w:rsidRDefault="000674DA">
            <w:pPr>
              <w:pStyle w:val="Summarytabletextrightaligned"/>
            </w:pPr>
            <w:r w:rsidRPr="00222C32">
              <w:t>20.6</w:t>
            </w:r>
          </w:p>
        </w:tc>
        <w:tc>
          <w:tcPr>
            <w:tcW w:w="850" w:type="dxa"/>
            <w:vAlign w:val="bottom"/>
          </w:tcPr>
          <w:p w14:paraId="73C5D3B2" w14:textId="77777777" w:rsidR="00BB2CB4" w:rsidRPr="00222C32" w:rsidRDefault="000674DA">
            <w:pPr>
              <w:pStyle w:val="Summarytabletextrightaligned"/>
            </w:pPr>
            <w:r w:rsidRPr="00222C32">
              <w:t>-</w:t>
            </w:r>
          </w:p>
        </w:tc>
        <w:tc>
          <w:tcPr>
            <w:tcW w:w="850" w:type="dxa"/>
            <w:vAlign w:val="bottom"/>
          </w:tcPr>
          <w:p w14:paraId="075758F7" w14:textId="77777777" w:rsidR="00BB2CB4" w:rsidRPr="00222C32" w:rsidRDefault="000674DA">
            <w:pPr>
              <w:pStyle w:val="Summarytabletextrightaligned"/>
            </w:pPr>
            <w:r w:rsidRPr="00222C32">
              <w:t>-</w:t>
            </w:r>
          </w:p>
        </w:tc>
        <w:tc>
          <w:tcPr>
            <w:tcW w:w="850" w:type="dxa"/>
            <w:vAlign w:val="bottom"/>
          </w:tcPr>
          <w:p w14:paraId="3CFCB49A" w14:textId="77777777" w:rsidR="00BB2CB4" w:rsidRPr="00222C32" w:rsidRDefault="000674DA">
            <w:pPr>
              <w:pStyle w:val="Summarytabletextrightaligned"/>
            </w:pPr>
            <w:r w:rsidRPr="00222C32">
              <w:t>-</w:t>
            </w:r>
          </w:p>
        </w:tc>
      </w:tr>
      <w:tr w:rsidR="00BB2CB4" w:rsidRPr="00222C32" w14:paraId="07E421FC" w14:textId="77777777" w:rsidTr="00825163">
        <w:tc>
          <w:tcPr>
            <w:tcW w:w="3471" w:type="dxa"/>
            <w:vAlign w:val="bottom"/>
          </w:tcPr>
          <w:p w14:paraId="0AED069E" w14:textId="77777777" w:rsidR="00BB2CB4" w:rsidRPr="00222C32" w:rsidRDefault="000674DA">
            <w:pPr>
              <w:pStyle w:val="SummaryMeasureTitlewithTheme"/>
            </w:pPr>
            <w:r w:rsidRPr="00222C32">
              <w:t>Continuing to Streamline and Strengthen our National Environmental Laws</w:t>
            </w:r>
          </w:p>
        </w:tc>
        <w:tc>
          <w:tcPr>
            <w:tcW w:w="850" w:type="dxa"/>
            <w:vAlign w:val="bottom"/>
          </w:tcPr>
          <w:p w14:paraId="42239E3C" w14:textId="77777777" w:rsidR="00BB2CB4" w:rsidRPr="00222C32" w:rsidRDefault="000674DA">
            <w:pPr>
              <w:pStyle w:val="Summarytabletextrightaligned"/>
            </w:pPr>
            <w:r w:rsidRPr="00222C32">
              <w:t>-</w:t>
            </w:r>
          </w:p>
        </w:tc>
        <w:tc>
          <w:tcPr>
            <w:tcW w:w="850" w:type="dxa"/>
            <w:shd w:val="clear" w:color="auto" w:fill="E6F2FF"/>
            <w:vAlign w:val="bottom"/>
          </w:tcPr>
          <w:p w14:paraId="6B7A3E88" w14:textId="77777777" w:rsidR="00BB2CB4" w:rsidRPr="00222C32" w:rsidRDefault="000674DA">
            <w:pPr>
              <w:pStyle w:val="Summarytabletextrightaligned"/>
            </w:pPr>
            <w:r w:rsidRPr="00222C32">
              <w:t>14.4</w:t>
            </w:r>
          </w:p>
        </w:tc>
        <w:tc>
          <w:tcPr>
            <w:tcW w:w="850" w:type="dxa"/>
            <w:vAlign w:val="bottom"/>
          </w:tcPr>
          <w:p w14:paraId="4BBDE656" w14:textId="77777777" w:rsidR="00BB2CB4" w:rsidRPr="00222C32" w:rsidRDefault="000674DA">
            <w:pPr>
              <w:pStyle w:val="Summarytabletextrightaligned"/>
            </w:pPr>
            <w:r w:rsidRPr="00222C32">
              <w:t>-</w:t>
            </w:r>
          </w:p>
        </w:tc>
        <w:tc>
          <w:tcPr>
            <w:tcW w:w="850" w:type="dxa"/>
            <w:vAlign w:val="bottom"/>
          </w:tcPr>
          <w:p w14:paraId="4F3A3FB1" w14:textId="77777777" w:rsidR="00BB2CB4" w:rsidRPr="00222C32" w:rsidRDefault="000674DA">
            <w:pPr>
              <w:pStyle w:val="Summarytabletextrightaligned"/>
            </w:pPr>
            <w:r w:rsidRPr="00222C32">
              <w:t>-</w:t>
            </w:r>
          </w:p>
        </w:tc>
        <w:tc>
          <w:tcPr>
            <w:tcW w:w="850" w:type="dxa"/>
            <w:vAlign w:val="bottom"/>
          </w:tcPr>
          <w:p w14:paraId="08AA49F6" w14:textId="77777777" w:rsidR="00BB2CB4" w:rsidRPr="00222C32" w:rsidRDefault="000674DA">
            <w:pPr>
              <w:pStyle w:val="Summarytabletextrightaligned"/>
            </w:pPr>
            <w:r w:rsidRPr="00222C32">
              <w:t>-</w:t>
            </w:r>
          </w:p>
        </w:tc>
      </w:tr>
      <w:tr w:rsidR="00BB2CB4" w:rsidRPr="00222C32" w14:paraId="664F0DAA" w14:textId="77777777" w:rsidTr="00825163">
        <w:tc>
          <w:tcPr>
            <w:tcW w:w="3471" w:type="dxa"/>
            <w:vAlign w:val="bottom"/>
          </w:tcPr>
          <w:p w14:paraId="55F87C30" w14:textId="77777777" w:rsidR="00BB2CB4" w:rsidRPr="00222C32" w:rsidRDefault="000674DA">
            <w:pPr>
              <w:pStyle w:val="SummaryMeasureTitlewithTheme"/>
            </w:pPr>
            <w:r w:rsidRPr="00222C32">
              <w:t>Expanding the Capacity Investment Scheme</w:t>
            </w:r>
          </w:p>
        </w:tc>
        <w:tc>
          <w:tcPr>
            <w:tcW w:w="850" w:type="dxa"/>
            <w:vAlign w:val="bottom"/>
          </w:tcPr>
          <w:p w14:paraId="38C12DC1" w14:textId="77777777" w:rsidR="00BB2CB4" w:rsidRPr="00222C32" w:rsidRDefault="000674DA">
            <w:pPr>
              <w:pStyle w:val="Summarytabletextrightaligned"/>
            </w:pPr>
            <w:r w:rsidRPr="00222C32">
              <w:t>-</w:t>
            </w:r>
          </w:p>
        </w:tc>
        <w:tc>
          <w:tcPr>
            <w:tcW w:w="850" w:type="dxa"/>
            <w:shd w:val="clear" w:color="auto" w:fill="E6F2FF"/>
            <w:vAlign w:val="bottom"/>
          </w:tcPr>
          <w:p w14:paraId="660529AA" w14:textId="77777777" w:rsidR="00BB2CB4" w:rsidRPr="00222C32" w:rsidRDefault="000674DA">
            <w:pPr>
              <w:pStyle w:val="Summarytabletextrightaligned"/>
            </w:pPr>
            <w:r w:rsidRPr="00222C32">
              <w:t>-</w:t>
            </w:r>
          </w:p>
        </w:tc>
        <w:tc>
          <w:tcPr>
            <w:tcW w:w="850" w:type="dxa"/>
            <w:vAlign w:val="bottom"/>
          </w:tcPr>
          <w:p w14:paraId="6F1C55D1" w14:textId="77777777" w:rsidR="00BB2CB4" w:rsidRPr="00222C32" w:rsidRDefault="000674DA">
            <w:pPr>
              <w:pStyle w:val="Summarytabletextrightaligned"/>
              <w:rPr>
                <w:lang w:val="en-US"/>
              </w:rPr>
            </w:pPr>
            <w:r w:rsidRPr="00222C32">
              <w:rPr>
                <w:lang w:val="en-US"/>
              </w:rPr>
              <w:t>nfp</w:t>
            </w:r>
          </w:p>
        </w:tc>
        <w:tc>
          <w:tcPr>
            <w:tcW w:w="850" w:type="dxa"/>
            <w:vAlign w:val="bottom"/>
          </w:tcPr>
          <w:p w14:paraId="2D1524D1" w14:textId="77777777" w:rsidR="00BB2CB4" w:rsidRPr="00222C32" w:rsidRDefault="000674DA">
            <w:pPr>
              <w:pStyle w:val="Summarytabletextrightaligned"/>
              <w:rPr>
                <w:lang w:val="en-US"/>
              </w:rPr>
            </w:pPr>
            <w:r w:rsidRPr="00222C32">
              <w:rPr>
                <w:lang w:val="en-US"/>
              </w:rPr>
              <w:t>nfp</w:t>
            </w:r>
          </w:p>
        </w:tc>
        <w:tc>
          <w:tcPr>
            <w:tcW w:w="850" w:type="dxa"/>
            <w:vAlign w:val="bottom"/>
          </w:tcPr>
          <w:p w14:paraId="1F32435D" w14:textId="77777777" w:rsidR="00BB2CB4" w:rsidRPr="00222C32" w:rsidRDefault="000674DA">
            <w:pPr>
              <w:pStyle w:val="Summarytabletextrightaligned"/>
              <w:rPr>
                <w:lang w:val="en-US"/>
              </w:rPr>
            </w:pPr>
            <w:r w:rsidRPr="00222C32">
              <w:rPr>
                <w:lang w:val="en-US"/>
              </w:rPr>
              <w:t>nfp</w:t>
            </w:r>
          </w:p>
        </w:tc>
      </w:tr>
      <w:tr w:rsidR="00BB2CB4" w:rsidRPr="00222C32" w14:paraId="5F85834F" w14:textId="77777777" w:rsidTr="00825163">
        <w:tc>
          <w:tcPr>
            <w:tcW w:w="3471" w:type="dxa"/>
            <w:vAlign w:val="bottom"/>
          </w:tcPr>
          <w:p w14:paraId="01CC2C85" w14:textId="2C9D16E1" w:rsidR="00BB2CB4" w:rsidRPr="00222C32" w:rsidRDefault="000674DA">
            <w:pPr>
              <w:pStyle w:val="SummaryMeasureTitlewithTheme"/>
            </w:pPr>
            <w:r w:rsidRPr="00222C32">
              <w:t>Extending Australia</w:t>
            </w:r>
            <w:r w:rsidR="00A67A30">
              <w:t>’</w:t>
            </w:r>
            <w:r w:rsidRPr="00222C32">
              <w:t>s International Climate Change Engagement</w:t>
            </w:r>
          </w:p>
        </w:tc>
        <w:tc>
          <w:tcPr>
            <w:tcW w:w="850" w:type="dxa"/>
            <w:vAlign w:val="bottom"/>
          </w:tcPr>
          <w:p w14:paraId="10D4A42A" w14:textId="77777777" w:rsidR="00BB2CB4" w:rsidRPr="00222C32" w:rsidRDefault="000674DA">
            <w:pPr>
              <w:pStyle w:val="Summarytabletextrightaligned"/>
            </w:pPr>
            <w:r w:rsidRPr="00222C32">
              <w:t>-</w:t>
            </w:r>
          </w:p>
        </w:tc>
        <w:tc>
          <w:tcPr>
            <w:tcW w:w="850" w:type="dxa"/>
            <w:shd w:val="clear" w:color="auto" w:fill="E6F2FF"/>
            <w:vAlign w:val="bottom"/>
          </w:tcPr>
          <w:p w14:paraId="48AA9B6D" w14:textId="77777777" w:rsidR="00BB2CB4" w:rsidRPr="00222C32" w:rsidRDefault="000674DA">
            <w:pPr>
              <w:pStyle w:val="Summarytabletextrightaligned"/>
            </w:pPr>
            <w:r w:rsidRPr="00222C32">
              <w:t>13.6</w:t>
            </w:r>
          </w:p>
        </w:tc>
        <w:tc>
          <w:tcPr>
            <w:tcW w:w="850" w:type="dxa"/>
            <w:vAlign w:val="bottom"/>
          </w:tcPr>
          <w:p w14:paraId="54198FF8" w14:textId="77777777" w:rsidR="00BB2CB4" w:rsidRPr="00222C32" w:rsidRDefault="000674DA">
            <w:pPr>
              <w:pStyle w:val="Summarytabletextrightaligned"/>
            </w:pPr>
            <w:r w:rsidRPr="00222C32">
              <w:t>-</w:t>
            </w:r>
          </w:p>
        </w:tc>
        <w:tc>
          <w:tcPr>
            <w:tcW w:w="850" w:type="dxa"/>
            <w:vAlign w:val="bottom"/>
          </w:tcPr>
          <w:p w14:paraId="73B50218" w14:textId="77777777" w:rsidR="00BB2CB4" w:rsidRPr="00222C32" w:rsidRDefault="000674DA">
            <w:pPr>
              <w:pStyle w:val="Summarytabletextrightaligned"/>
            </w:pPr>
            <w:r w:rsidRPr="00222C32">
              <w:t>-</w:t>
            </w:r>
          </w:p>
        </w:tc>
        <w:tc>
          <w:tcPr>
            <w:tcW w:w="850" w:type="dxa"/>
            <w:vAlign w:val="bottom"/>
          </w:tcPr>
          <w:p w14:paraId="021E4D3B" w14:textId="77777777" w:rsidR="00BB2CB4" w:rsidRPr="00222C32" w:rsidRDefault="000674DA">
            <w:pPr>
              <w:pStyle w:val="Summarytabletextrightaligned"/>
            </w:pPr>
            <w:r w:rsidRPr="00222C32">
              <w:t>-</w:t>
            </w:r>
          </w:p>
        </w:tc>
      </w:tr>
      <w:tr w:rsidR="00BB2CB4" w:rsidRPr="00222C32" w14:paraId="268A0B9E" w14:textId="77777777" w:rsidTr="00825163">
        <w:tc>
          <w:tcPr>
            <w:tcW w:w="3471" w:type="dxa"/>
            <w:vAlign w:val="bottom"/>
          </w:tcPr>
          <w:p w14:paraId="200B545B" w14:textId="77777777" w:rsidR="00BB2CB4" w:rsidRPr="00222C32" w:rsidRDefault="000674DA">
            <w:pPr>
              <w:pStyle w:val="SummaryMeasureTitlewithTheme"/>
            </w:pPr>
            <w:r w:rsidRPr="00222C32">
              <w:t>Finalising Fixed Delivery Carbon Contract Exit Arrangements(b)</w:t>
            </w:r>
          </w:p>
        </w:tc>
        <w:tc>
          <w:tcPr>
            <w:tcW w:w="850" w:type="dxa"/>
            <w:vAlign w:val="bottom"/>
          </w:tcPr>
          <w:p w14:paraId="6DAFEBB1" w14:textId="77777777" w:rsidR="00BB2CB4" w:rsidRPr="00222C32" w:rsidRDefault="000674DA">
            <w:pPr>
              <w:pStyle w:val="Summarytabletextrightaligned"/>
            </w:pPr>
            <w:r w:rsidRPr="00222C32">
              <w:t>-</w:t>
            </w:r>
          </w:p>
        </w:tc>
        <w:tc>
          <w:tcPr>
            <w:tcW w:w="850" w:type="dxa"/>
            <w:shd w:val="clear" w:color="auto" w:fill="E6F2FF"/>
            <w:vAlign w:val="bottom"/>
          </w:tcPr>
          <w:p w14:paraId="10F1CDD4" w14:textId="2183702F" w:rsidR="00BB2CB4" w:rsidRPr="00222C32" w:rsidRDefault="001773A8">
            <w:pPr>
              <w:pStyle w:val="Summarytabletextrightaligned"/>
              <w:rPr>
                <w:lang w:val="en-US"/>
              </w:rPr>
            </w:pPr>
            <w:r>
              <w:rPr>
                <w:lang w:val="en-US"/>
              </w:rPr>
              <w:t>-</w:t>
            </w:r>
          </w:p>
        </w:tc>
        <w:tc>
          <w:tcPr>
            <w:tcW w:w="850" w:type="dxa"/>
            <w:vAlign w:val="bottom"/>
          </w:tcPr>
          <w:p w14:paraId="2772007B"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B892694" w14:textId="77777777" w:rsidR="00BB2CB4" w:rsidRPr="00222C32" w:rsidRDefault="000674DA">
            <w:pPr>
              <w:pStyle w:val="Summarytabletextrightaligned"/>
              <w:rPr>
                <w:lang w:val="en-US"/>
              </w:rPr>
            </w:pPr>
            <w:r w:rsidRPr="00222C32">
              <w:rPr>
                <w:lang w:val="en-US"/>
              </w:rPr>
              <w:t>nfp</w:t>
            </w:r>
          </w:p>
        </w:tc>
        <w:tc>
          <w:tcPr>
            <w:tcW w:w="850" w:type="dxa"/>
            <w:vAlign w:val="bottom"/>
          </w:tcPr>
          <w:p w14:paraId="3799E8F0" w14:textId="77777777" w:rsidR="00BB2CB4" w:rsidRPr="00222C32" w:rsidRDefault="000674DA">
            <w:pPr>
              <w:pStyle w:val="Summarytabletextrightaligned"/>
              <w:rPr>
                <w:lang w:val="en-US"/>
              </w:rPr>
            </w:pPr>
            <w:r w:rsidRPr="00222C32">
              <w:rPr>
                <w:lang w:val="en-US"/>
              </w:rPr>
              <w:t>nfp</w:t>
            </w:r>
          </w:p>
        </w:tc>
      </w:tr>
      <w:tr w:rsidR="00BB2CB4" w:rsidRPr="00222C32" w14:paraId="47877ABF" w14:textId="77777777" w:rsidTr="00825163">
        <w:tc>
          <w:tcPr>
            <w:tcW w:w="3471" w:type="dxa"/>
            <w:vAlign w:val="bottom"/>
          </w:tcPr>
          <w:p w14:paraId="18EC6A5E" w14:textId="77777777" w:rsidR="00BB2CB4" w:rsidRPr="00222C32" w:rsidRDefault="000674DA">
            <w:pPr>
              <w:pStyle w:val="SummaryMeasureTitlewithTheme"/>
            </w:pPr>
            <w:r w:rsidRPr="00222C32">
              <w:t>Local Environment Projects</w:t>
            </w:r>
          </w:p>
        </w:tc>
        <w:tc>
          <w:tcPr>
            <w:tcW w:w="850" w:type="dxa"/>
            <w:vAlign w:val="bottom"/>
          </w:tcPr>
          <w:p w14:paraId="40B953F1" w14:textId="77777777" w:rsidR="00BB2CB4" w:rsidRPr="00222C32" w:rsidRDefault="000674DA">
            <w:pPr>
              <w:pStyle w:val="Summarytabletextrightaligned"/>
            </w:pPr>
            <w:r w:rsidRPr="00222C32">
              <w:t>-</w:t>
            </w:r>
          </w:p>
        </w:tc>
        <w:tc>
          <w:tcPr>
            <w:tcW w:w="850" w:type="dxa"/>
            <w:shd w:val="clear" w:color="auto" w:fill="E6F2FF"/>
            <w:vAlign w:val="bottom"/>
          </w:tcPr>
          <w:p w14:paraId="20D61C72" w14:textId="77777777" w:rsidR="00BB2CB4" w:rsidRPr="00222C32" w:rsidRDefault="000674DA">
            <w:pPr>
              <w:pStyle w:val="Summarytabletextrightaligned"/>
            </w:pPr>
            <w:r w:rsidRPr="00222C32">
              <w:t>18.4</w:t>
            </w:r>
          </w:p>
        </w:tc>
        <w:tc>
          <w:tcPr>
            <w:tcW w:w="850" w:type="dxa"/>
            <w:vAlign w:val="bottom"/>
          </w:tcPr>
          <w:p w14:paraId="510DF75D" w14:textId="77777777" w:rsidR="00BB2CB4" w:rsidRPr="00222C32" w:rsidRDefault="000674DA">
            <w:pPr>
              <w:pStyle w:val="Summarytabletextrightaligned"/>
            </w:pPr>
            <w:r w:rsidRPr="00222C32">
              <w:t>25.2</w:t>
            </w:r>
          </w:p>
        </w:tc>
        <w:tc>
          <w:tcPr>
            <w:tcW w:w="850" w:type="dxa"/>
            <w:vAlign w:val="bottom"/>
          </w:tcPr>
          <w:p w14:paraId="1FD77C3C" w14:textId="77777777" w:rsidR="00BB2CB4" w:rsidRPr="00222C32" w:rsidRDefault="000674DA">
            <w:pPr>
              <w:pStyle w:val="Summarytabletextrightaligned"/>
            </w:pPr>
            <w:r w:rsidRPr="00222C32">
              <w:t>10.9</w:t>
            </w:r>
          </w:p>
        </w:tc>
        <w:tc>
          <w:tcPr>
            <w:tcW w:w="850" w:type="dxa"/>
            <w:vAlign w:val="bottom"/>
          </w:tcPr>
          <w:p w14:paraId="28C5CE48" w14:textId="77777777" w:rsidR="00BB2CB4" w:rsidRPr="00222C32" w:rsidRDefault="000674DA">
            <w:pPr>
              <w:pStyle w:val="Summarytabletextrightaligned"/>
            </w:pPr>
            <w:r w:rsidRPr="00222C32">
              <w:t>-</w:t>
            </w:r>
          </w:p>
        </w:tc>
      </w:tr>
      <w:tr w:rsidR="00BB2CB4" w:rsidRPr="00222C32" w14:paraId="4BCFA18E" w14:textId="77777777" w:rsidTr="00825163">
        <w:tc>
          <w:tcPr>
            <w:tcW w:w="3471" w:type="dxa"/>
            <w:vAlign w:val="bottom"/>
          </w:tcPr>
          <w:p w14:paraId="337CBC04" w14:textId="4A7388A0" w:rsidR="00BB2CB4" w:rsidRPr="00222C32" w:rsidRDefault="000674DA">
            <w:pPr>
              <w:pStyle w:val="SummaryMeasureTitlewithTheme"/>
            </w:pPr>
            <w:r w:rsidRPr="00222C32">
              <w:t>Maintaining Australia</w:t>
            </w:r>
            <w:r w:rsidR="00A67A30">
              <w:t>’</w:t>
            </w:r>
            <w:r w:rsidRPr="00222C32">
              <w:t>s Liquid Fuel Security</w:t>
            </w:r>
          </w:p>
        </w:tc>
        <w:tc>
          <w:tcPr>
            <w:tcW w:w="850" w:type="dxa"/>
            <w:vAlign w:val="bottom"/>
          </w:tcPr>
          <w:p w14:paraId="5345BBFF" w14:textId="77777777" w:rsidR="00BB2CB4" w:rsidRPr="00222C32" w:rsidRDefault="000674DA">
            <w:pPr>
              <w:pStyle w:val="Summarytabletextrightaligned"/>
            </w:pPr>
            <w:r w:rsidRPr="00222C32">
              <w:t>-</w:t>
            </w:r>
          </w:p>
        </w:tc>
        <w:tc>
          <w:tcPr>
            <w:tcW w:w="850" w:type="dxa"/>
            <w:shd w:val="clear" w:color="auto" w:fill="E6F2FF"/>
            <w:vAlign w:val="bottom"/>
          </w:tcPr>
          <w:p w14:paraId="3549F79C" w14:textId="77777777" w:rsidR="00BB2CB4" w:rsidRPr="00222C32" w:rsidRDefault="000674DA">
            <w:pPr>
              <w:pStyle w:val="Summarytabletextrightaligned"/>
            </w:pPr>
            <w:r w:rsidRPr="00222C32">
              <w:t>8.5</w:t>
            </w:r>
          </w:p>
        </w:tc>
        <w:tc>
          <w:tcPr>
            <w:tcW w:w="850" w:type="dxa"/>
            <w:vAlign w:val="bottom"/>
          </w:tcPr>
          <w:p w14:paraId="71ACEA92" w14:textId="77777777" w:rsidR="00BB2CB4" w:rsidRPr="00222C32" w:rsidRDefault="000674DA">
            <w:pPr>
              <w:pStyle w:val="Summarytabletextrightaligned"/>
            </w:pPr>
            <w:r w:rsidRPr="00222C32">
              <w:t>3.4</w:t>
            </w:r>
          </w:p>
        </w:tc>
        <w:tc>
          <w:tcPr>
            <w:tcW w:w="850" w:type="dxa"/>
            <w:vAlign w:val="bottom"/>
          </w:tcPr>
          <w:p w14:paraId="11AFC725" w14:textId="77777777" w:rsidR="00BB2CB4" w:rsidRPr="00222C32" w:rsidRDefault="000674DA">
            <w:pPr>
              <w:pStyle w:val="Summarytabletextrightaligned"/>
            </w:pPr>
            <w:r w:rsidRPr="00222C32">
              <w:t>3.5</w:t>
            </w:r>
          </w:p>
        </w:tc>
        <w:tc>
          <w:tcPr>
            <w:tcW w:w="850" w:type="dxa"/>
            <w:vAlign w:val="bottom"/>
          </w:tcPr>
          <w:p w14:paraId="1F77A3B2" w14:textId="77777777" w:rsidR="00BB2CB4" w:rsidRPr="00222C32" w:rsidRDefault="000674DA">
            <w:pPr>
              <w:pStyle w:val="Summarytabletextrightaligned"/>
            </w:pPr>
            <w:r w:rsidRPr="00222C32">
              <w:t>3.6</w:t>
            </w:r>
          </w:p>
        </w:tc>
      </w:tr>
      <w:tr w:rsidR="00BB2CB4" w:rsidRPr="00222C32" w14:paraId="3C70A39D" w14:textId="77777777" w:rsidTr="00825163">
        <w:tc>
          <w:tcPr>
            <w:tcW w:w="3471" w:type="dxa"/>
            <w:vAlign w:val="bottom"/>
          </w:tcPr>
          <w:p w14:paraId="77759FC5" w14:textId="77777777" w:rsidR="00BB2CB4" w:rsidRPr="00222C32" w:rsidRDefault="000674DA">
            <w:pPr>
              <w:pStyle w:val="SummaryMeasureTitlewithTheme"/>
            </w:pPr>
            <w:r w:rsidRPr="00222C32">
              <w:t>Murray‑Darling Basin Plan – supporting delivery</w:t>
            </w:r>
          </w:p>
        </w:tc>
        <w:tc>
          <w:tcPr>
            <w:tcW w:w="850" w:type="dxa"/>
            <w:vAlign w:val="bottom"/>
          </w:tcPr>
          <w:p w14:paraId="767F4AF0" w14:textId="77777777" w:rsidR="00BB2CB4" w:rsidRPr="00222C32" w:rsidRDefault="000674DA">
            <w:pPr>
              <w:pStyle w:val="Summarytabletextrightaligned"/>
            </w:pPr>
            <w:r w:rsidRPr="00222C32">
              <w:t>-</w:t>
            </w:r>
          </w:p>
        </w:tc>
        <w:tc>
          <w:tcPr>
            <w:tcW w:w="850" w:type="dxa"/>
            <w:shd w:val="clear" w:color="auto" w:fill="E6F2FF"/>
            <w:vAlign w:val="bottom"/>
          </w:tcPr>
          <w:p w14:paraId="0C6ADB7E"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A731F73" w14:textId="77777777" w:rsidR="00BB2CB4" w:rsidRPr="00222C32" w:rsidRDefault="000674DA">
            <w:pPr>
              <w:pStyle w:val="Summarytabletextrightaligned"/>
              <w:rPr>
                <w:lang w:val="en-US"/>
              </w:rPr>
            </w:pPr>
            <w:r w:rsidRPr="00222C32">
              <w:rPr>
                <w:lang w:val="en-US"/>
              </w:rPr>
              <w:t>nfp</w:t>
            </w:r>
          </w:p>
        </w:tc>
        <w:tc>
          <w:tcPr>
            <w:tcW w:w="850" w:type="dxa"/>
            <w:vAlign w:val="bottom"/>
          </w:tcPr>
          <w:p w14:paraId="2D8A8533" w14:textId="77777777" w:rsidR="00BB2CB4" w:rsidRPr="00222C32" w:rsidRDefault="000674DA">
            <w:pPr>
              <w:pStyle w:val="Summarytabletextrightaligned"/>
              <w:rPr>
                <w:lang w:val="en-US"/>
              </w:rPr>
            </w:pPr>
            <w:r w:rsidRPr="00222C32">
              <w:rPr>
                <w:lang w:val="en-US"/>
              </w:rPr>
              <w:t>nfp</w:t>
            </w:r>
          </w:p>
        </w:tc>
        <w:tc>
          <w:tcPr>
            <w:tcW w:w="850" w:type="dxa"/>
            <w:vAlign w:val="bottom"/>
          </w:tcPr>
          <w:p w14:paraId="3624CA46" w14:textId="77777777" w:rsidR="00BB2CB4" w:rsidRPr="00222C32" w:rsidRDefault="000674DA">
            <w:pPr>
              <w:pStyle w:val="Summarytabletextrightaligned"/>
            </w:pPr>
            <w:r w:rsidRPr="00222C32">
              <w:t>-</w:t>
            </w:r>
          </w:p>
        </w:tc>
      </w:tr>
      <w:tr w:rsidR="00BB2CB4" w:rsidRPr="00222C32" w14:paraId="0B29744B" w14:textId="77777777" w:rsidTr="00825163">
        <w:tc>
          <w:tcPr>
            <w:tcW w:w="3471" w:type="dxa"/>
            <w:vAlign w:val="bottom"/>
          </w:tcPr>
          <w:p w14:paraId="4841A31D" w14:textId="77777777" w:rsidR="00BB2CB4" w:rsidRPr="00222C32" w:rsidRDefault="000674DA">
            <w:pPr>
              <w:pStyle w:val="SummaryMeasureTitlewithTheme"/>
            </w:pPr>
            <w:r w:rsidRPr="00222C32">
              <w:t>Oceans Leadership Package – Australian Marine Parks</w:t>
            </w:r>
          </w:p>
        </w:tc>
        <w:tc>
          <w:tcPr>
            <w:tcW w:w="850" w:type="dxa"/>
            <w:vAlign w:val="bottom"/>
          </w:tcPr>
          <w:p w14:paraId="191B6AA7" w14:textId="77777777" w:rsidR="00BB2CB4" w:rsidRPr="00222C32" w:rsidRDefault="000674DA">
            <w:pPr>
              <w:pStyle w:val="Summarytabletextrightaligned"/>
            </w:pPr>
            <w:r w:rsidRPr="00222C32">
              <w:t>-</w:t>
            </w:r>
          </w:p>
        </w:tc>
        <w:tc>
          <w:tcPr>
            <w:tcW w:w="850" w:type="dxa"/>
            <w:shd w:val="clear" w:color="auto" w:fill="E6F2FF"/>
            <w:vAlign w:val="bottom"/>
          </w:tcPr>
          <w:p w14:paraId="4BD73759" w14:textId="77777777" w:rsidR="00BB2CB4" w:rsidRPr="00222C32" w:rsidRDefault="000674DA">
            <w:pPr>
              <w:pStyle w:val="Summarytabletextrightaligned"/>
            </w:pPr>
            <w:r w:rsidRPr="00222C32">
              <w:t>3.6</w:t>
            </w:r>
          </w:p>
        </w:tc>
        <w:tc>
          <w:tcPr>
            <w:tcW w:w="850" w:type="dxa"/>
            <w:vAlign w:val="bottom"/>
          </w:tcPr>
          <w:p w14:paraId="1A733165" w14:textId="77777777" w:rsidR="00BB2CB4" w:rsidRPr="00222C32" w:rsidRDefault="000674DA">
            <w:pPr>
              <w:pStyle w:val="Summarytabletextrightaligned"/>
            </w:pPr>
            <w:r w:rsidRPr="00222C32">
              <w:t>-</w:t>
            </w:r>
          </w:p>
        </w:tc>
        <w:tc>
          <w:tcPr>
            <w:tcW w:w="850" w:type="dxa"/>
            <w:vAlign w:val="bottom"/>
          </w:tcPr>
          <w:p w14:paraId="503A9DEC" w14:textId="77777777" w:rsidR="00BB2CB4" w:rsidRPr="00222C32" w:rsidRDefault="000674DA">
            <w:pPr>
              <w:pStyle w:val="Summarytabletextrightaligned"/>
            </w:pPr>
            <w:r w:rsidRPr="00222C32">
              <w:t>-</w:t>
            </w:r>
          </w:p>
        </w:tc>
        <w:tc>
          <w:tcPr>
            <w:tcW w:w="850" w:type="dxa"/>
            <w:vAlign w:val="bottom"/>
          </w:tcPr>
          <w:p w14:paraId="73C94358" w14:textId="77777777" w:rsidR="00BB2CB4" w:rsidRPr="00222C32" w:rsidRDefault="000674DA">
            <w:pPr>
              <w:pStyle w:val="Summarytabletextrightaligned"/>
            </w:pPr>
            <w:r w:rsidRPr="00222C32">
              <w:t>-</w:t>
            </w:r>
          </w:p>
        </w:tc>
      </w:tr>
      <w:tr w:rsidR="00BB2CB4" w:rsidRPr="00222C32" w14:paraId="4EB55FB2" w14:textId="77777777" w:rsidTr="00825163">
        <w:tc>
          <w:tcPr>
            <w:tcW w:w="3471" w:type="dxa"/>
            <w:vAlign w:val="bottom"/>
          </w:tcPr>
          <w:p w14:paraId="505F1552" w14:textId="77777777" w:rsidR="00BB2CB4" w:rsidRPr="00222C32" w:rsidRDefault="000674DA">
            <w:pPr>
              <w:pStyle w:val="SummaryMeasureTitlewithTheme"/>
            </w:pPr>
            <w:r w:rsidRPr="00222C32">
              <w:t>Saving Native Species (Conservation Planning Component) – continuing funding</w:t>
            </w:r>
          </w:p>
        </w:tc>
        <w:tc>
          <w:tcPr>
            <w:tcW w:w="850" w:type="dxa"/>
            <w:vAlign w:val="bottom"/>
          </w:tcPr>
          <w:p w14:paraId="6AC1CDD8" w14:textId="77777777" w:rsidR="00BB2CB4" w:rsidRPr="00222C32" w:rsidRDefault="000674DA">
            <w:pPr>
              <w:pStyle w:val="Summarytabletextrightaligned"/>
            </w:pPr>
            <w:r w:rsidRPr="00222C32">
              <w:t>-</w:t>
            </w:r>
          </w:p>
        </w:tc>
        <w:tc>
          <w:tcPr>
            <w:tcW w:w="850" w:type="dxa"/>
            <w:shd w:val="clear" w:color="auto" w:fill="E6F2FF"/>
            <w:vAlign w:val="bottom"/>
          </w:tcPr>
          <w:p w14:paraId="2802B641" w14:textId="77777777" w:rsidR="00BB2CB4" w:rsidRPr="00222C32" w:rsidRDefault="000674DA">
            <w:pPr>
              <w:pStyle w:val="Summarytabletextrightaligned"/>
            </w:pPr>
            <w:r w:rsidRPr="00222C32">
              <w:t>9.1</w:t>
            </w:r>
          </w:p>
        </w:tc>
        <w:tc>
          <w:tcPr>
            <w:tcW w:w="850" w:type="dxa"/>
            <w:vAlign w:val="bottom"/>
          </w:tcPr>
          <w:p w14:paraId="0B16ACD7" w14:textId="77777777" w:rsidR="00BB2CB4" w:rsidRPr="00222C32" w:rsidRDefault="000674DA">
            <w:pPr>
              <w:pStyle w:val="Summarytabletextrightaligned"/>
            </w:pPr>
            <w:r w:rsidRPr="00222C32">
              <w:t>-</w:t>
            </w:r>
          </w:p>
        </w:tc>
        <w:tc>
          <w:tcPr>
            <w:tcW w:w="850" w:type="dxa"/>
            <w:vAlign w:val="bottom"/>
          </w:tcPr>
          <w:p w14:paraId="7FF163AE" w14:textId="77777777" w:rsidR="00BB2CB4" w:rsidRPr="00222C32" w:rsidRDefault="000674DA">
            <w:pPr>
              <w:pStyle w:val="Summarytabletextrightaligned"/>
            </w:pPr>
            <w:r w:rsidRPr="00222C32">
              <w:t>-</w:t>
            </w:r>
          </w:p>
        </w:tc>
        <w:tc>
          <w:tcPr>
            <w:tcW w:w="850" w:type="dxa"/>
            <w:vAlign w:val="bottom"/>
          </w:tcPr>
          <w:p w14:paraId="6A8A1786" w14:textId="77777777" w:rsidR="00BB2CB4" w:rsidRPr="00222C32" w:rsidRDefault="000674DA">
            <w:pPr>
              <w:pStyle w:val="Summarytabletextrightaligned"/>
            </w:pPr>
            <w:r w:rsidRPr="00222C32">
              <w:t>-</w:t>
            </w:r>
          </w:p>
        </w:tc>
      </w:tr>
      <w:tr w:rsidR="00BB2CB4" w:rsidRPr="00222C32" w14:paraId="1A1F318F" w14:textId="77777777" w:rsidTr="00825163">
        <w:tc>
          <w:tcPr>
            <w:tcW w:w="3471" w:type="dxa"/>
            <w:vAlign w:val="bottom"/>
          </w:tcPr>
          <w:p w14:paraId="1F251EB6" w14:textId="77777777" w:rsidR="00BB2CB4" w:rsidRPr="00222C32" w:rsidRDefault="000674DA">
            <w:pPr>
              <w:pStyle w:val="SummaryMeasureTitlewithTheme"/>
            </w:pPr>
            <w:r w:rsidRPr="00222C32">
              <w:t>South Australian Marine Algal Bloom Response</w:t>
            </w:r>
          </w:p>
        </w:tc>
        <w:tc>
          <w:tcPr>
            <w:tcW w:w="850" w:type="dxa"/>
            <w:vAlign w:val="bottom"/>
          </w:tcPr>
          <w:p w14:paraId="6E17E6EF" w14:textId="77777777" w:rsidR="00BB2CB4" w:rsidRPr="00222C32" w:rsidRDefault="000674DA">
            <w:pPr>
              <w:pStyle w:val="Summarytabletextrightaligned"/>
            </w:pPr>
            <w:r w:rsidRPr="00222C32">
              <w:t>-</w:t>
            </w:r>
          </w:p>
        </w:tc>
        <w:tc>
          <w:tcPr>
            <w:tcW w:w="850" w:type="dxa"/>
            <w:shd w:val="clear" w:color="auto" w:fill="E6F2FF"/>
            <w:vAlign w:val="bottom"/>
          </w:tcPr>
          <w:p w14:paraId="26034F38" w14:textId="77777777" w:rsidR="00BB2CB4" w:rsidRPr="00222C32" w:rsidRDefault="000674DA">
            <w:pPr>
              <w:pStyle w:val="Summarytabletextrightaligned"/>
            </w:pPr>
            <w:r w:rsidRPr="00222C32">
              <w:t>-0.3</w:t>
            </w:r>
          </w:p>
        </w:tc>
        <w:tc>
          <w:tcPr>
            <w:tcW w:w="850" w:type="dxa"/>
            <w:vAlign w:val="bottom"/>
          </w:tcPr>
          <w:p w14:paraId="6802DC80" w14:textId="77777777" w:rsidR="00BB2CB4" w:rsidRPr="00222C32" w:rsidRDefault="000674DA">
            <w:pPr>
              <w:pStyle w:val="Summarytabletextrightaligned"/>
            </w:pPr>
            <w:r w:rsidRPr="00222C32">
              <w:t>-</w:t>
            </w:r>
          </w:p>
        </w:tc>
        <w:tc>
          <w:tcPr>
            <w:tcW w:w="850" w:type="dxa"/>
            <w:vAlign w:val="bottom"/>
          </w:tcPr>
          <w:p w14:paraId="50D20D70" w14:textId="77777777" w:rsidR="00BB2CB4" w:rsidRPr="00222C32" w:rsidRDefault="000674DA">
            <w:pPr>
              <w:pStyle w:val="Summarytabletextrightaligned"/>
            </w:pPr>
            <w:r w:rsidRPr="00222C32">
              <w:t>-</w:t>
            </w:r>
          </w:p>
        </w:tc>
        <w:tc>
          <w:tcPr>
            <w:tcW w:w="850" w:type="dxa"/>
            <w:vAlign w:val="bottom"/>
          </w:tcPr>
          <w:p w14:paraId="255A73F5" w14:textId="77777777" w:rsidR="00BB2CB4" w:rsidRPr="00222C32" w:rsidRDefault="000674DA">
            <w:pPr>
              <w:pStyle w:val="Summarytabletextrightaligned"/>
            </w:pPr>
            <w:r w:rsidRPr="00222C32">
              <w:t>-</w:t>
            </w:r>
          </w:p>
        </w:tc>
      </w:tr>
      <w:tr w:rsidR="00BB2CB4" w:rsidRPr="00222C32" w14:paraId="5A56BE4A" w14:textId="77777777" w:rsidTr="00825163">
        <w:tc>
          <w:tcPr>
            <w:tcW w:w="3471" w:type="dxa"/>
            <w:vAlign w:val="bottom"/>
          </w:tcPr>
          <w:p w14:paraId="39BCED3A" w14:textId="77777777" w:rsidR="00BB2CB4" w:rsidRPr="00222C32" w:rsidRDefault="000674DA">
            <w:pPr>
              <w:pStyle w:val="SummaryMeasureTitlewithTheme"/>
            </w:pPr>
            <w:r w:rsidRPr="00222C32">
              <w:t>Support for the Net Zero Plan(b)</w:t>
            </w:r>
          </w:p>
        </w:tc>
        <w:tc>
          <w:tcPr>
            <w:tcW w:w="850" w:type="dxa"/>
            <w:vAlign w:val="bottom"/>
          </w:tcPr>
          <w:p w14:paraId="1FE59F57" w14:textId="77777777" w:rsidR="00BB2CB4" w:rsidRPr="00222C32" w:rsidRDefault="000674DA">
            <w:pPr>
              <w:pStyle w:val="Summarytabletextrightaligned"/>
            </w:pPr>
            <w:r w:rsidRPr="00222C32">
              <w:t>-</w:t>
            </w:r>
          </w:p>
        </w:tc>
        <w:tc>
          <w:tcPr>
            <w:tcW w:w="850" w:type="dxa"/>
            <w:shd w:val="clear" w:color="auto" w:fill="E6F2FF"/>
            <w:vAlign w:val="bottom"/>
          </w:tcPr>
          <w:p w14:paraId="471E9B35" w14:textId="77777777" w:rsidR="00BB2CB4" w:rsidRPr="00222C32" w:rsidRDefault="000674DA">
            <w:pPr>
              <w:pStyle w:val="Summarytabletextrightaligned"/>
            </w:pPr>
            <w:r w:rsidRPr="00222C32">
              <w:t>11.8</w:t>
            </w:r>
          </w:p>
        </w:tc>
        <w:tc>
          <w:tcPr>
            <w:tcW w:w="850" w:type="dxa"/>
            <w:vAlign w:val="bottom"/>
          </w:tcPr>
          <w:p w14:paraId="7C35087B" w14:textId="77777777" w:rsidR="00BB2CB4" w:rsidRPr="00222C32" w:rsidRDefault="000674DA">
            <w:pPr>
              <w:pStyle w:val="Summarytabletextrightaligned"/>
            </w:pPr>
            <w:r w:rsidRPr="00222C32">
              <w:t>60.3</w:t>
            </w:r>
          </w:p>
        </w:tc>
        <w:tc>
          <w:tcPr>
            <w:tcW w:w="850" w:type="dxa"/>
            <w:vAlign w:val="bottom"/>
          </w:tcPr>
          <w:p w14:paraId="19935AC9" w14:textId="77777777" w:rsidR="00BB2CB4" w:rsidRPr="00222C32" w:rsidRDefault="000674DA">
            <w:pPr>
              <w:pStyle w:val="Summarytabletextrightaligned"/>
            </w:pPr>
            <w:r w:rsidRPr="00222C32">
              <w:t>64.5</w:t>
            </w:r>
          </w:p>
        </w:tc>
        <w:tc>
          <w:tcPr>
            <w:tcW w:w="850" w:type="dxa"/>
            <w:vAlign w:val="bottom"/>
          </w:tcPr>
          <w:p w14:paraId="450E8D7D" w14:textId="77777777" w:rsidR="00BB2CB4" w:rsidRPr="00222C32" w:rsidRDefault="000674DA">
            <w:pPr>
              <w:pStyle w:val="Summarytabletextrightaligned"/>
            </w:pPr>
            <w:r w:rsidRPr="00222C32">
              <w:t>37.1</w:t>
            </w:r>
          </w:p>
        </w:tc>
      </w:tr>
      <w:tr w:rsidR="00BB2CB4" w:rsidRPr="00222C32" w14:paraId="78A9F808" w14:textId="77777777" w:rsidTr="00825163">
        <w:tc>
          <w:tcPr>
            <w:tcW w:w="3471" w:type="dxa"/>
            <w:vAlign w:val="bottom"/>
          </w:tcPr>
          <w:p w14:paraId="4CCEFA78" w14:textId="77777777" w:rsidR="00BB2CB4" w:rsidRPr="00222C32" w:rsidRDefault="000674DA">
            <w:pPr>
              <w:pStyle w:val="SummaryMeasureTitlewithTheme"/>
            </w:pPr>
            <w:r w:rsidRPr="00222C32">
              <w:t>Sustaining the Cheaper Home Batteries Program</w:t>
            </w:r>
          </w:p>
        </w:tc>
        <w:tc>
          <w:tcPr>
            <w:tcW w:w="850" w:type="dxa"/>
            <w:vAlign w:val="bottom"/>
          </w:tcPr>
          <w:p w14:paraId="3B6BA26A" w14:textId="77777777" w:rsidR="00BB2CB4" w:rsidRPr="00222C32" w:rsidRDefault="000674DA">
            <w:pPr>
              <w:pStyle w:val="Summarytabletextrightaligned"/>
            </w:pPr>
            <w:r w:rsidRPr="00222C32">
              <w:t>-</w:t>
            </w:r>
          </w:p>
        </w:tc>
        <w:tc>
          <w:tcPr>
            <w:tcW w:w="850" w:type="dxa"/>
            <w:shd w:val="clear" w:color="auto" w:fill="E6F2FF"/>
            <w:vAlign w:val="bottom"/>
          </w:tcPr>
          <w:p w14:paraId="2B4287AA" w14:textId="77777777" w:rsidR="00BB2CB4" w:rsidRPr="00222C32" w:rsidRDefault="000674DA">
            <w:pPr>
              <w:pStyle w:val="Summarytabletextrightaligned"/>
            </w:pPr>
            <w:r w:rsidRPr="00222C32">
              <w:t>-357.2</w:t>
            </w:r>
          </w:p>
        </w:tc>
        <w:tc>
          <w:tcPr>
            <w:tcW w:w="850" w:type="dxa"/>
            <w:vAlign w:val="bottom"/>
          </w:tcPr>
          <w:p w14:paraId="325B3F5A" w14:textId="77777777" w:rsidR="00BB2CB4" w:rsidRPr="00222C32" w:rsidRDefault="000674DA">
            <w:pPr>
              <w:pStyle w:val="Summarytabletextrightaligned"/>
            </w:pPr>
            <w:r w:rsidRPr="00222C32">
              <w:t>-2,035.0</w:t>
            </w:r>
          </w:p>
        </w:tc>
        <w:tc>
          <w:tcPr>
            <w:tcW w:w="850" w:type="dxa"/>
            <w:vAlign w:val="bottom"/>
          </w:tcPr>
          <w:p w14:paraId="719A3B2E" w14:textId="77777777" w:rsidR="00BB2CB4" w:rsidRPr="00222C32" w:rsidRDefault="000674DA">
            <w:pPr>
              <w:pStyle w:val="Summarytabletextrightaligned"/>
            </w:pPr>
            <w:r w:rsidRPr="00222C32">
              <w:t>-2,114.9</w:t>
            </w:r>
          </w:p>
        </w:tc>
        <w:tc>
          <w:tcPr>
            <w:tcW w:w="850" w:type="dxa"/>
            <w:vAlign w:val="bottom"/>
          </w:tcPr>
          <w:p w14:paraId="44DD4B99" w14:textId="77777777" w:rsidR="00BB2CB4" w:rsidRPr="00222C32" w:rsidRDefault="000674DA">
            <w:pPr>
              <w:pStyle w:val="Summarytabletextrightaligned"/>
            </w:pPr>
            <w:r w:rsidRPr="00222C32">
              <w:t>-2,162.8</w:t>
            </w:r>
          </w:p>
        </w:tc>
      </w:tr>
      <w:tr w:rsidR="00BB2CB4" w:rsidRPr="00222C32" w14:paraId="7EE8DCEA" w14:textId="77777777" w:rsidTr="00825163">
        <w:tc>
          <w:tcPr>
            <w:tcW w:w="3471" w:type="dxa"/>
            <w:vAlign w:val="bottom"/>
          </w:tcPr>
          <w:p w14:paraId="2B9D47BD" w14:textId="77777777" w:rsidR="00BB2CB4" w:rsidRPr="00222C32" w:rsidRDefault="000674DA">
            <w:pPr>
              <w:pStyle w:val="SummaryAgencyTitle-BP2"/>
            </w:pPr>
            <w:r w:rsidRPr="00222C32">
              <w:t>Director of National Parks</w:t>
            </w:r>
          </w:p>
        </w:tc>
        <w:tc>
          <w:tcPr>
            <w:tcW w:w="850" w:type="dxa"/>
          </w:tcPr>
          <w:p w14:paraId="4BD5E8D0" w14:textId="77777777" w:rsidR="00BB2CB4" w:rsidRPr="00222C32" w:rsidRDefault="00BB2CB4">
            <w:pPr>
              <w:pStyle w:val="SummaryAgencyTitle-BP2"/>
            </w:pPr>
          </w:p>
        </w:tc>
        <w:tc>
          <w:tcPr>
            <w:tcW w:w="850" w:type="dxa"/>
            <w:shd w:val="clear" w:color="auto" w:fill="E6F2FF"/>
          </w:tcPr>
          <w:p w14:paraId="68515484" w14:textId="77777777" w:rsidR="00BB2CB4" w:rsidRPr="00222C32" w:rsidRDefault="00BB2CB4">
            <w:pPr>
              <w:pStyle w:val="SummaryAgencyTitle-BP2"/>
            </w:pPr>
          </w:p>
        </w:tc>
        <w:tc>
          <w:tcPr>
            <w:tcW w:w="850" w:type="dxa"/>
          </w:tcPr>
          <w:p w14:paraId="13244DCF" w14:textId="77777777" w:rsidR="00BB2CB4" w:rsidRPr="00222C32" w:rsidRDefault="00BB2CB4">
            <w:pPr>
              <w:pStyle w:val="SummaryAgencyTitle-BP2"/>
            </w:pPr>
          </w:p>
        </w:tc>
        <w:tc>
          <w:tcPr>
            <w:tcW w:w="850" w:type="dxa"/>
          </w:tcPr>
          <w:p w14:paraId="72C9A95B" w14:textId="77777777" w:rsidR="00BB2CB4" w:rsidRPr="00222C32" w:rsidRDefault="00BB2CB4">
            <w:pPr>
              <w:pStyle w:val="SummaryAgencyTitle-BP2"/>
            </w:pPr>
          </w:p>
        </w:tc>
        <w:tc>
          <w:tcPr>
            <w:tcW w:w="850" w:type="dxa"/>
          </w:tcPr>
          <w:p w14:paraId="3D72F9E0" w14:textId="77777777" w:rsidR="00BB2CB4" w:rsidRPr="00222C32" w:rsidRDefault="00BB2CB4">
            <w:pPr>
              <w:pStyle w:val="SummaryAgencyTitle-BP2"/>
            </w:pPr>
          </w:p>
        </w:tc>
      </w:tr>
      <w:tr w:rsidR="00BB2CB4" w:rsidRPr="00222C32" w14:paraId="34D6581D" w14:textId="77777777" w:rsidTr="00825163">
        <w:tc>
          <w:tcPr>
            <w:tcW w:w="3471" w:type="dxa"/>
            <w:vAlign w:val="bottom"/>
          </w:tcPr>
          <w:p w14:paraId="466FF558" w14:textId="77777777" w:rsidR="00BB2CB4" w:rsidRPr="00222C32" w:rsidRDefault="000674DA">
            <w:pPr>
              <w:pStyle w:val="SummaryMeasureTitlewithTheme"/>
            </w:pPr>
            <w:r w:rsidRPr="00222C32">
              <w:t>Continuing to Support Healthy Oceans</w:t>
            </w:r>
          </w:p>
        </w:tc>
        <w:tc>
          <w:tcPr>
            <w:tcW w:w="850" w:type="dxa"/>
            <w:vAlign w:val="bottom"/>
          </w:tcPr>
          <w:p w14:paraId="50240004" w14:textId="77777777" w:rsidR="00BB2CB4" w:rsidRPr="00222C32" w:rsidRDefault="000674DA">
            <w:pPr>
              <w:pStyle w:val="Summarytabletextrightaligned"/>
            </w:pPr>
            <w:r w:rsidRPr="00222C32">
              <w:t>-</w:t>
            </w:r>
          </w:p>
        </w:tc>
        <w:tc>
          <w:tcPr>
            <w:tcW w:w="850" w:type="dxa"/>
            <w:shd w:val="clear" w:color="auto" w:fill="E6F2FF"/>
            <w:vAlign w:val="bottom"/>
          </w:tcPr>
          <w:p w14:paraId="10218B7F" w14:textId="77777777" w:rsidR="00BB2CB4" w:rsidRPr="00222C32" w:rsidRDefault="000674DA">
            <w:pPr>
              <w:pStyle w:val="Summarytabletextrightaligned"/>
            </w:pPr>
            <w:r w:rsidRPr="00222C32">
              <w:t>3.7</w:t>
            </w:r>
          </w:p>
        </w:tc>
        <w:tc>
          <w:tcPr>
            <w:tcW w:w="850" w:type="dxa"/>
            <w:vAlign w:val="bottom"/>
          </w:tcPr>
          <w:p w14:paraId="71F14C25" w14:textId="77777777" w:rsidR="00BB2CB4" w:rsidRPr="00222C32" w:rsidRDefault="000674DA">
            <w:pPr>
              <w:pStyle w:val="Summarytabletextrightaligned"/>
            </w:pPr>
            <w:r w:rsidRPr="00222C32">
              <w:t>6.9</w:t>
            </w:r>
          </w:p>
        </w:tc>
        <w:tc>
          <w:tcPr>
            <w:tcW w:w="850" w:type="dxa"/>
            <w:vAlign w:val="bottom"/>
          </w:tcPr>
          <w:p w14:paraId="51030C72" w14:textId="77777777" w:rsidR="00BB2CB4" w:rsidRPr="00222C32" w:rsidRDefault="000674DA">
            <w:pPr>
              <w:pStyle w:val="Summarytabletextrightaligned"/>
            </w:pPr>
            <w:r w:rsidRPr="00222C32">
              <w:t>7.2</w:t>
            </w:r>
          </w:p>
        </w:tc>
        <w:tc>
          <w:tcPr>
            <w:tcW w:w="850" w:type="dxa"/>
            <w:vAlign w:val="bottom"/>
          </w:tcPr>
          <w:p w14:paraId="7D01458E" w14:textId="77777777" w:rsidR="00BB2CB4" w:rsidRPr="00222C32" w:rsidRDefault="000674DA">
            <w:pPr>
              <w:pStyle w:val="Summarytabletextrightaligned"/>
            </w:pPr>
            <w:r w:rsidRPr="00222C32">
              <w:t>7.3</w:t>
            </w:r>
          </w:p>
        </w:tc>
      </w:tr>
      <w:tr w:rsidR="00BB2CB4" w:rsidRPr="00222C32" w14:paraId="668837FA" w14:textId="77777777" w:rsidTr="00825163">
        <w:tc>
          <w:tcPr>
            <w:tcW w:w="3471" w:type="dxa"/>
            <w:vAlign w:val="bottom"/>
          </w:tcPr>
          <w:p w14:paraId="1DFF305F" w14:textId="77777777" w:rsidR="00BB2CB4" w:rsidRPr="00222C32" w:rsidRDefault="000674DA">
            <w:pPr>
              <w:pStyle w:val="SummaryMeasureTitlewithTheme"/>
            </w:pPr>
            <w:r w:rsidRPr="00222C32">
              <w:t>Oceans Leadership Package – Australian Marine Parks</w:t>
            </w:r>
          </w:p>
        </w:tc>
        <w:tc>
          <w:tcPr>
            <w:tcW w:w="850" w:type="dxa"/>
            <w:vAlign w:val="bottom"/>
          </w:tcPr>
          <w:p w14:paraId="61EF6C33" w14:textId="77777777" w:rsidR="00BB2CB4" w:rsidRPr="00222C32" w:rsidRDefault="000674DA">
            <w:pPr>
              <w:pStyle w:val="Summarytabletextrightaligned"/>
            </w:pPr>
            <w:r w:rsidRPr="00222C32">
              <w:t>-</w:t>
            </w:r>
          </w:p>
        </w:tc>
        <w:tc>
          <w:tcPr>
            <w:tcW w:w="850" w:type="dxa"/>
            <w:shd w:val="clear" w:color="auto" w:fill="E6F2FF"/>
            <w:vAlign w:val="bottom"/>
          </w:tcPr>
          <w:p w14:paraId="3916C981" w14:textId="77777777" w:rsidR="00BB2CB4" w:rsidRPr="00222C32" w:rsidRDefault="000674DA">
            <w:pPr>
              <w:pStyle w:val="Summarytabletextrightaligned"/>
            </w:pPr>
            <w:r w:rsidRPr="00222C32">
              <w:t>6.7</w:t>
            </w:r>
          </w:p>
        </w:tc>
        <w:tc>
          <w:tcPr>
            <w:tcW w:w="850" w:type="dxa"/>
            <w:vAlign w:val="bottom"/>
          </w:tcPr>
          <w:p w14:paraId="3A3D1FB2" w14:textId="77777777" w:rsidR="00BB2CB4" w:rsidRPr="00222C32" w:rsidRDefault="000674DA">
            <w:pPr>
              <w:pStyle w:val="Summarytabletextrightaligned"/>
            </w:pPr>
            <w:r w:rsidRPr="00222C32">
              <w:t>-</w:t>
            </w:r>
          </w:p>
        </w:tc>
        <w:tc>
          <w:tcPr>
            <w:tcW w:w="850" w:type="dxa"/>
            <w:vAlign w:val="bottom"/>
          </w:tcPr>
          <w:p w14:paraId="55F5D497" w14:textId="77777777" w:rsidR="00BB2CB4" w:rsidRPr="00222C32" w:rsidRDefault="000674DA">
            <w:pPr>
              <w:pStyle w:val="Summarytabletextrightaligned"/>
            </w:pPr>
            <w:r w:rsidRPr="00222C32">
              <w:t>-</w:t>
            </w:r>
          </w:p>
        </w:tc>
        <w:tc>
          <w:tcPr>
            <w:tcW w:w="850" w:type="dxa"/>
            <w:vAlign w:val="bottom"/>
          </w:tcPr>
          <w:p w14:paraId="52E99865" w14:textId="77777777" w:rsidR="00BB2CB4" w:rsidRPr="00222C32" w:rsidRDefault="000674DA">
            <w:pPr>
              <w:pStyle w:val="Summarytabletextrightaligned"/>
            </w:pPr>
            <w:r w:rsidRPr="00222C32">
              <w:t>-</w:t>
            </w:r>
          </w:p>
        </w:tc>
      </w:tr>
      <w:tr w:rsidR="00BB2CB4" w:rsidRPr="00222C32" w14:paraId="54238706" w14:textId="77777777" w:rsidTr="00825163">
        <w:tc>
          <w:tcPr>
            <w:tcW w:w="3471" w:type="dxa"/>
            <w:vAlign w:val="bottom"/>
          </w:tcPr>
          <w:p w14:paraId="12D85122" w14:textId="77777777" w:rsidR="00BB2CB4" w:rsidRPr="00222C32" w:rsidRDefault="000674DA">
            <w:pPr>
              <w:pStyle w:val="SummaryAgencyTitle-BP2"/>
            </w:pPr>
            <w:r w:rsidRPr="00222C32">
              <w:t>Sydney Harbour Federation Trust</w:t>
            </w:r>
          </w:p>
        </w:tc>
        <w:tc>
          <w:tcPr>
            <w:tcW w:w="850" w:type="dxa"/>
          </w:tcPr>
          <w:p w14:paraId="0FAD3AA1" w14:textId="77777777" w:rsidR="00BB2CB4" w:rsidRPr="00222C32" w:rsidRDefault="00BB2CB4">
            <w:pPr>
              <w:pStyle w:val="SummaryAgencyTitle-BP2"/>
            </w:pPr>
          </w:p>
        </w:tc>
        <w:tc>
          <w:tcPr>
            <w:tcW w:w="850" w:type="dxa"/>
            <w:shd w:val="clear" w:color="auto" w:fill="E6F2FF"/>
          </w:tcPr>
          <w:p w14:paraId="03AEEB96" w14:textId="77777777" w:rsidR="00BB2CB4" w:rsidRPr="00222C32" w:rsidRDefault="00BB2CB4">
            <w:pPr>
              <w:pStyle w:val="SummaryAgencyTitle-BP2"/>
            </w:pPr>
          </w:p>
        </w:tc>
        <w:tc>
          <w:tcPr>
            <w:tcW w:w="850" w:type="dxa"/>
          </w:tcPr>
          <w:p w14:paraId="68909CB3" w14:textId="77777777" w:rsidR="00BB2CB4" w:rsidRPr="00222C32" w:rsidRDefault="00BB2CB4">
            <w:pPr>
              <w:pStyle w:val="SummaryAgencyTitle-BP2"/>
            </w:pPr>
          </w:p>
        </w:tc>
        <w:tc>
          <w:tcPr>
            <w:tcW w:w="850" w:type="dxa"/>
          </w:tcPr>
          <w:p w14:paraId="0ED87C9C" w14:textId="77777777" w:rsidR="00BB2CB4" w:rsidRPr="00222C32" w:rsidRDefault="00BB2CB4">
            <w:pPr>
              <w:pStyle w:val="SummaryAgencyTitle-BP2"/>
            </w:pPr>
          </w:p>
        </w:tc>
        <w:tc>
          <w:tcPr>
            <w:tcW w:w="850" w:type="dxa"/>
          </w:tcPr>
          <w:p w14:paraId="223130A2" w14:textId="77777777" w:rsidR="00BB2CB4" w:rsidRPr="00222C32" w:rsidRDefault="00BB2CB4">
            <w:pPr>
              <w:pStyle w:val="SummaryAgencyTitle-BP2"/>
            </w:pPr>
          </w:p>
        </w:tc>
      </w:tr>
      <w:tr w:rsidR="00BB2CB4" w:rsidRPr="00222C32" w14:paraId="1C67D80D" w14:textId="77777777" w:rsidTr="00825163">
        <w:tc>
          <w:tcPr>
            <w:tcW w:w="3471" w:type="dxa"/>
            <w:vAlign w:val="bottom"/>
          </w:tcPr>
          <w:p w14:paraId="71FFD8A7" w14:textId="77777777" w:rsidR="00BB2CB4" w:rsidRPr="00222C32" w:rsidRDefault="000674DA">
            <w:pPr>
              <w:pStyle w:val="SummaryMeasureTitlewithTheme"/>
            </w:pPr>
            <w:r w:rsidRPr="00222C32">
              <w:t>Local Environment Projects</w:t>
            </w:r>
          </w:p>
        </w:tc>
        <w:tc>
          <w:tcPr>
            <w:tcW w:w="850" w:type="dxa"/>
            <w:tcBorders>
              <w:bottom w:val="single" w:sz="4" w:space="0" w:color="293F5B"/>
            </w:tcBorders>
            <w:vAlign w:val="bottom"/>
          </w:tcPr>
          <w:p w14:paraId="7F2778F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2857ECE7" w14:textId="77777777" w:rsidR="00BB2CB4" w:rsidRPr="00222C32" w:rsidRDefault="000674DA">
            <w:pPr>
              <w:pStyle w:val="Summarytabletextrightaligned"/>
            </w:pPr>
            <w:r w:rsidRPr="00222C32">
              <w:t>2.0</w:t>
            </w:r>
          </w:p>
        </w:tc>
        <w:tc>
          <w:tcPr>
            <w:tcW w:w="850" w:type="dxa"/>
            <w:tcBorders>
              <w:bottom w:val="single" w:sz="4" w:space="0" w:color="293F5B"/>
            </w:tcBorders>
            <w:vAlign w:val="bottom"/>
          </w:tcPr>
          <w:p w14:paraId="50281FAD" w14:textId="77777777" w:rsidR="00BB2CB4" w:rsidRPr="00222C32" w:rsidRDefault="000674DA">
            <w:pPr>
              <w:pStyle w:val="Summarytabletextrightaligned"/>
            </w:pPr>
            <w:r w:rsidRPr="00222C32">
              <w:t>3.2</w:t>
            </w:r>
          </w:p>
        </w:tc>
        <w:tc>
          <w:tcPr>
            <w:tcW w:w="850" w:type="dxa"/>
            <w:tcBorders>
              <w:bottom w:val="single" w:sz="4" w:space="0" w:color="293F5B"/>
            </w:tcBorders>
            <w:vAlign w:val="bottom"/>
          </w:tcPr>
          <w:p w14:paraId="2E540DCF" w14:textId="77777777" w:rsidR="00BB2CB4" w:rsidRPr="00222C32" w:rsidRDefault="000674DA">
            <w:pPr>
              <w:pStyle w:val="Summarytabletextrightaligned"/>
            </w:pPr>
            <w:r w:rsidRPr="00222C32">
              <w:t>5.0</w:t>
            </w:r>
          </w:p>
        </w:tc>
        <w:tc>
          <w:tcPr>
            <w:tcW w:w="850" w:type="dxa"/>
            <w:tcBorders>
              <w:bottom w:val="single" w:sz="4" w:space="0" w:color="293F5B"/>
            </w:tcBorders>
            <w:vAlign w:val="bottom"/>
          </w:tcPr>
          <w:p w14:paraId="69A28F7F" w14:textId="77777777" w:rsidR="00BB2CB4" w:rsidRPr="00222C32" w:rsidRDefault="000674DA">
            <w:pPr>
              <w:pStyle w:val="Summarytabletextrightaligned"/>
            </w:pPr>
            <w:r w:rsidRPr="00222C32">
              <w:t>-</w:t>
            </w:r>
          </w:p>
        </w:tc>
      </w:tr>
      <w:tr w:rsidR="00BB2CB4" w:rsidRPr="00222C32" w14:paraId="45B07DC3" w14:textId="77777777" w:rsidTr="00825163">
        <w:tc>
          <w:tcPr>
            <w:tcW w:w="3471" w:type="dxa"/>
            <w:tcBorders>
              <w:bottom w:val="single" w:sz="4" w:space="0" w:color="293F5B"/>
            </w:tcBorders>
            <w:vAlign w:val="bottom"/>
          </w:tcPr>
          <w:p w14:paraId="56D82730"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3D644CAE"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BDE8CCC" w14:textId="77777777" w:rsidR="00BB2CB4" w:rsidRPr="00222C32" w:rsidRDefault="000674DA">
            <w:pPr>
              <w:pStyle w:val="Summarytabletextrightalignedbold"/>
            </w:pPr>
            <w:r w:rsidRPr="00222C32">
              <w:t>-223.7</w:t>
            </w:r>
          </w:p>
        </w:tc>
        <w:tc>
          <w:tcPr>
            <w:tcW w:w="850" w:type="dxa"/>
            <w:tcBorders>
              <w:top w:val="single" w:sz="4" w:space="0" w:color="293F5B"/>
              <w:bottom w:val="single" w:sz="4" w:space="0" w:color="293F5B"/>
            </w:tcBorders>
            <w:vAlign w:val="bottom"/>
          </w:tcPr>
          <w:p w14:paraId="33CC42EE" w14:textId="77777777" w:rsidR="00BB2CB4" w:rsidRPr="00222C32" w:rsidRDefault="000674DA">
            <w:pPr>
              <w:pStyle w:val="Summarytabletextrightalignedbold"/>
            </w:pPr>
            <w:r w:rsidRPr="00222C32">
              <w:t>-1,982.4</w:t>
            </w:r>
          </w:p>
        </w:tc>
        <w:tc>
          <w:tcPr>
            <w:tcW w:w="850" w:type="dxa"/>
            <w:tcBorders>
              <w:top w:val="single" w:sz="4" w:space="0" w:color="293F5B"/>
              <w:bottom w:val="single" w:sz="4" w:space="0" w:color="293F5B"/>
            </w:tcBorders>
            <w:vAlign w:val="bottom"/>
          </w:tcPr>
          <w:p w14:paraId="3E306F9D" w14:textId="77777777" w:rsidR="00BB2CB4" w:rsidRPr="00222C32" w:rsidRDefault="000674DA">
            <w:pPr>
              <w:pStyle w:val="Summarytabletextrightalignedbold"/>
            </w:pPr>
            <w:r w:rsidRPr="00222C32">
              <w:t>-2,151.5</w:t>
            </w:r>
          </w:p>
        </w:tc>
        <w:tc>
          <w:tcPr>
            <w:tcW w:w="850" w:type="dxa"/>
            <w:tcBorders>
              <w:top w:val="single" w:sz="4" w:space="0" w:color="293F5B"/>
              <w:bottom w:val="single" w:sz="4" w:space="0" w:color="293F5B"/>
            </w:tcBorders>
            <w:vAlign w:val="bottom"/>
          </w:tcPr>
          <w:p w14:paraId="6336BAFE" w14:textId="77777777" w:rsidR="00BB2CB4" w:rsidRPr="00222C32" w:rsidRDefault="000674DA">
            <w:pPr>
              <w:pStyle w:val="Summarytabletextrightalignedbold"/>
            </w:pPr>
            <w:r w:rsidRPr="00222C32">
              <w:t>-2,248.6</w:t>
            </w:r>
          </w:p>
        </w:tc>
      </w:tr>
    </w:tbl>
    <w:p w14:paraId="1ED5735D"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7DB7823C" w14:textId="31943234"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72F1A8FF" w14:textId="77777777" w:rsidTr="00825163">
        <w:tc>
          <w:tcPr>
            <w:tcW w:w="3471" w:type="dxa"/>
            <w:tcBorders>
              <w:top w:val="single" w:sz="4" w:space="0" w:color="293F5B"/>
              <w:bottom w:val="nil"/>
            </w:tcBorders>
            <w:vAlign w:val="bottom"/>
          </w:tcPr>
          <w:p w14:paraId="040C34A2" w14:textId="77777777" w:rsidR="000D63FB" w:rsidRPr="00222C32" w:rsidRDefault="000D63FB" w:rsidP="000D63FB"/>
        </w:tc>
        <w:tc>
          <w:tcPr>
            <w:tcW w:w="850" w:type="dxa"/>
            <w:tcBorders>
              <w:top w:val="single" w:sz="4" w:space="0" w:color="293F5B"/>
              <w:bottom w:val="nil"/>
            </w:tcBorders>
          </w:tcPr>
          <w:p w14:paraId="634BCFA4"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6E69A788"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664D0E41"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3528CB93"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791698D2" w14:textId="77777777" w:rsidR="000D63FB" w:rsidRPr="00222C32" w:rsidRDefault="000D63FB" w:rsidP="000D63FB">
            <w:pPr>
              <w:pStyle w:val="Summarytabletextrightaligned"/>
            </w:pPr>
            <w:r w:rsidRPr="00222C32">
              <w:t>2028-29</w:t>
            </w:r>
          </w:p>
        </w:tc>
      </w:tr>
      <w:tr w:rsidR="000D63FB" w:rsidRPr="00222C32" w14:paraId="29DC6A62" w14:textId="77777777" w:rsidTr="00825163">
        <w:tc>
          <w:tcPr>
            <w:tcW w:w="3471" w:type="dxa"/>
            <w:tcBorders>
              <w:top w:val="nil"/>
            </w:tcBorders>
            <w:vAlign w:val="bottom"/>
          </w:tcPr>
          <w:p w14:paraId="3BED3074" w14:textId="77777777" w:rsidR="000D63FB" w:rsidRPr="00222C32" w:rsidRDefault="000D63FB" w:rsidP="000D63FB"/>
        </w:tc>
        <w:tc>
          <w:tcPr>
            <w:tcW w:w="850" w:type="dxa"/>
            <w:tcBorders>
              <w:top w:val="nil"/>
              <w:bottom w:val="single" w:sz="4" w:space="0" w:color="293F5B"/>
            </w:tcBorders>
          </w:tcPr>
          <w:p w14:paraId="1568A8B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6B1C138B"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F26B0C3"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7A57E6A7"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19388F41" w14:textId="77777777" w:rsidR="000D63FB" w:rsidRPr="00222C32" w:rsidRDefault="000D63FB" w:rsidP="000D63FB">
            <w:pPr>
              <w:pStyle w:val="Summarytabletextrightaligned"/>
            </w:pPr>
            <w:r w:rsidRPr="00222C32">
              <w:t>$m</w:t>
            </w:r>
          </w:p>
        </w:tc>
      </w:tr>
      <w:tr w:rsidR="00BB2CB4" w:rsidRPr="00222C32" w14:paraId="15D2A3BA" w14:textId="77777777" w:rsidTr="00825163">
        <w:tc>
          <w:tcPr>
            <w:tcW w:w="3471" w:type="dxa"/>
            <w:vAlign w:val="bottom"/>
          </w:tcPr>
          <w:p w14:paraId="07EA0D2B" w14:textId="77777777" w:rsidR="00BB2CB4" w:rsidRPr="00222C32" w:rsidRDefault="000674DA">
            <w:pPr>
              <w:pStyle w:val="SummaryPortfolioTitle-BP2"/>
            </w:pPr>
            <w:r w:rsidRPr="00222C32">
              <w:t>CROSS PORTFOLIO</w:t>
            </w:r>
          </w:p>
        </w:tc>
        <w:tc>
          <w:tcPr>
            <w:tcW w:w="850" w:type="dxa"/>
            <w:tcBorders>
              <w:top w:val="single" w:sz="4" w:space="0" w:color="293F5B"/>
            </w:tcBorders>
          </w:tcPr>
          <w:p w14:paraId="3907DCC0"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7DAC7914" w14:textId="77777777" w:rsidR="00BB2CB4" w:rsidRPr="00222C32" w:rsidRDefault="00BB2CB4">
            <w:pPr>
              <w:pStyle w:val="MeasureTableTextRightAlignedBefore6ptAfter1pt"/>
            </w:pPr>
          </w:p>
        </w:tc>
        <w:tc>
          <w:tcPr>
            <w:tcW w:w="850" w:type="dxa"/>
            <w:tcBorders>
              <w:top w:val="single" w:sz="4" w:space="0" w:color="293F5B"/>
            </w:tcBorders>
          </w:tcPr>
          <w:p w14:paraId="5CADF178" w14:textId="77777777" w:rsidR="00BB2CB4" w:rsidRPr="00222C32" w:rsidRDefault="00BB2CB4">
            <w:pPr>
              <w:pStyle w:val="MeasureTableTextRightAlignedBefore6ptAfter1pt"/>
            </w:pPr>
          </w:p>
        </w:tc>
        <w:tc>
          <w:tcPr>
            <w:tcW w:w="850" w:type="dxa"/>
            <w:tcBorders>
              <w:top w:val="single" w:sz="4" w:space="0" w:color="293F5B"/>
            </w:tcBorders>
          </w:tcPr>
          <w:p w14:paraId="18157684" w14:textId="77777777" w:rsidR="00BB2CB4" w:rsidRPr="00222C32" w:rsidRDefault="00BB2CB4">
            <w:pPr>
              <w:pStyle w:val="MeasureTableTextRightAlignedBefore6ptAfter1pt"/>
            </w:pPr>
          </w:p>
        </w:tc>
        <w:tc>
          <w:tcPr>
            <w:tcW w:w="850" w:type="dxa"/>
            <w:tcBorders>
              <w:top w:val="single" w:sz="4" w:space="0" w:color="293F5B"/>
            </w:tcBorders>
          </w:tcPr>
          <w:p w14:paraId="0A706B57" w14:textId="77777777" w:rsidR="00BB2CB4" w:rsidRPr="00222C32" w:rsidRDefault="00BB2CB4">
            <w:pPr>
              <w:pStyle w:val="MeasureTableTextRightAlignedBefore6ptAfter1pt"/>
            </w:pPr>
          </w:p>
        </w:tc>
      </w:tr>
      <w:tr w:rsidR="00BB2CB4" w:rsidRPr="00222C32" w14:paraId="72205C5B" w14:textId="77777777" w:rsidTr="00825163">
        <w:tc>
          <w:tcPr>
            <w:tcW w:w="3471" w:type="dxa"/>
            <w:vAlign w:val="bottom"/>
          </w:tcPr>
          <w:p w14:paraId="4CDFD61C" w14:textId="77777777" w:rsidR="00BB2CB4" w:rsidRPr="00222C32" w:rsidRDefault="000674DA">
            <w:pPr>
              <w:pStyle w:val="SummaryAgencyTitle-BP2"/>
            </w:pPr>
            <w:r w:rsidRPr="00222C32">
              <w:t>Various Agencies</w:t>
            </w:r>
          </w:p>
        </w:tc>
        <w:tc>
          <w:tcPr>
            <w:tcW w:w="850" w:type="dxa"/>
          </w:tcPr>
          <w:p w14:paraId="4225CB36" w14:textId="77777777" w:rsidR="00BB2CB4" w:rsidRPr="00222C32" w:rsidRDefault="00BB2CB4">
            <w:pPr>
              <w:pStyle w:val="SummaryAgencyTitle-BP2"/>
            </w:pPr>
          </w:p>
        </w:tc>
        <w:tc>
          <w:tcPr>
            <w:tcW w:w="850" w:type="dxa"/>
            <w:shd w:val="clear" w:color="auto" w:fill="E6F2FF"/>
          </w:tcPr>
          <w:p w14:paraId="3EF1A4B1" w14:textId="77777777" w:rsidR="00BB2CB4" w:rsidRPr="00222C32" w:rsidRDefault="00BB2CB4">
            <w:pPr>
              <w:pStyle w:val="SummaryAgencyTitle-BP2"/>
            </w:pPr>
          </w:p>
        </w:tc>
        <w:tc>
          <w:tcPr>
            <w:tcW w:w="850" w:type="dxa"/>
          </w:tcPr>
          <w:p w14:paraId="5747FE7B" w14:textId="77777777" w:rsidR="00BB2CB4" w:rsidRPr="00222C32" w:rsidRDefault="00BB2CB4">
            <w:pPr>
              <w:pStyle w:val="SummaryAgencyTitle-BP2"/>
            </w:pPr>
          </w:p>
        </w:tc>
        <w:tc>
          <w:tcPr>
            <w:tcW w:w="850" w:type="dxa"/>
          </w:tcPr>
          <w:p w14:paraId="7FFA88E6" w14:textId="77777777" w:rsidR="00BB2CB4" w:rsidRPr="00222C32" w:rsidRDefault="00BB2CB4">
            <w:pPr>
              <w:pStyle w:val="SummaryAgencyTitle-BP2"/>
            </w:pPr>
          </w:p>
        </w:tc>
        <w:tc>
          <w:tcPr>
            <w:tcW w:w="850" w:type="dxa"/>
          </w:tcPr>
          <w:p w14:paraId="4962E60D" w14:textId="77777777" w:rsidR="00BB2CB4" w:rsidRPr="00222C32" w:rsidRDefault="00BB2CB4">
            <w:pPr>
              <w:pStyle w:val="SummaryAgencyTitle-BP2"/>
            </w:pPr>
          </w:p>
        </w:tc>
      </w:tr>
      <w:tr w:rsidR="00BB2CB4" w:rsidRPr="00222C32" w14:paraId="24CEC730" w14:textId="77777777" w:rsidTr="00825163">
        <w:tc>
          <w:tcPr>
            <w:tcW w:w="3471" w:type="dxa"/>
            <w:vAlign w:val="bottom"/>
          </w:tcPr>
          <w:p w14:paraId="5E8414E1" w14:textId="77777777" w:rsidR="00BB2CB4" w:rsidRPr="00222C32" w:rsidRDefault="000674DA">
            <w:pPr>
              <w:pStyle w:val="SummaryMeasureTitlewithTheme"/>
            </w:pPr>
            <w:r w:rsidRPr="00222C32">
              <w:t>Artificial Intelligence Plan for the Australian Public Service – implementation</w:t>
            </w:r>
          </w:p>
        </w:tc>
        <w:tc>
          <w:tcPr>
            <w:tcW w:w="850" w:type="dxa"/>
            <w:vAlign w:val="bottom"/>
          </w:tcPr>
          <w:p w14:paraId="0C21E577" w14:textId="77777777" w:rsidR="00BB2CB4" w:rsidRPr="00222C32" w:rsidRDefault="000674DA">
            <w:pPr>
              <w:pStyle w:val="Summarytabletextrightaligned"/>
            </w:pPr>
            <w:r w:rsidRPr="00222C32">
              <w:t>-</w:t>
            </w:r>
          </w:p>
        </w:tc>
        <w:tc>
          <w:tcPr>
            <w:tcW w:w="850" w:type="dxa"/>
            <w:shd w:val="clear" w:color="auto" w:fill="E6F2FF"/>
            <w:vAlign w:val="bottom"/>
          </w:tcPr>
          <w:p w14:paraId="0B6CC506" w14:textId="77777777" w:rsidR="00BB2CB4" w:rsidRPr="00222C32" w:rsidRDefault="000674DA">
            <w:pPr>
              <w:pStyle w:val="Summarytabletextrightaligned"/>
            </w:pPr>
            <w:r w:rsidRPr="00222C32">
              <w:t>23.4</w:t>
            </w:r>
          </w:p>
        </w:tc>
        <w:tc>
          <w:tcPr>
            <w:tcW w:w="850" w:type="dxa"/>
            <w:vAlign w:val="bottom"/>
          </w:tcPr>
          <w:p w14:paraId="66CF32E5" w14:textId="77777777" w:rsidR="00BB2CB4" w:rsidRPr="00222C32" w:rsidRDefault="000674DA">
            <w:pPr>
              <w:pStyle w:val="Summarytabletextrightaligned"/>
            </w:pPr>
            <w:r w:rsidRPr="00222C32">
              <w:t>86.5</w:t>
            </w:r>
          </w:p>
        </w:tc>
        <w:tc>
          <w:tcPr>
            <w:tcW w:w="850" w:type="dxa"/>
            <w:vAlign w:val="bottom"/>
          </w:tcPr>
          <w:p w14:paraId="35E0727A" w14:textId="77777777" w:rsidR="00BB2CB4" w:rsidRPr="00222C32" w:rsidRDefault="000674DA">
            <w:pPr>
              <w:pStyle w:val="Summarytabletextrightaligned"/>
            </w:pPr>
            <w:r w:rsidRPr="00222C32">
              <w:t>99.4</w:t>
            </w:r>
          </w:p>
        </w:tc>
        <w:tc>
          <w:tcPr>
            <w:tcW w:w="850" w:type="dxa"/>
            <w:vAlign w:val="bottom"/>
          </w:tcPr>
          <w:p w14:paraId="7E9492C0" w14:textId="77777777" w:rsidR="00BB2CB4" w:rsidRPr="00222C32" w:rsidRDefault="000674DA">
            <w:pPr>
              <w:pStyle w:val="Summarytabletextrightaligned"/>
            </w:pPr>
            <w:r w:rsidRPr="00222C32">
              <w:t>15.9</w:t>
            </w:r>
          </w:p>
        </w:tc>
      </w:tr>
      <w:tr w:rsidR="00BB2CB4" w:rsidRPr="00222C32" w14:paraId="6A5F50EE" w14:textId="77777777" w:rsidTr="00825163">
        <w:tc>
          <w:tcPr>
            <w:tcW w:w="3471" w:type="dxa"/>
            <w:vAlign w:val="bottom"/>
          </w:tcPr>
          <w:p w14:paraId="2BBC4498" w14:textId="77777777" w:rsidR="00BB2CB4" w:rsidRPr="00222C32" w:rsidRDefault="000674DA">
            <w:pPr>
              <w:pStyle w:val="SummaryMeasureTitlewithTheme"/>
            </w:pPr>
            <w:r w:rsidRPr="00222C32">
              <w:t>Closing the Gap – further investments</w:t>
            </w:r>
          </w:p>
        </w:tc>
        <w:tc>
          <w:tcPr>
            <w:tcW w:w="850" w:type="dxa"/>
            <w:vAlign w:val="bottom"/>
          </w:tcPr>
          <w:p w14:paraId="70A051FC" w14:textId="77777777" w:rsidR="00BB2CB4" w:rsidRPr="00222C32" w:rsidRDefault="000674DA">
            <w:pPr>
              <w:pStyle w:val="Summarytabletextrightaligned"/>
            </w:pPr>
            <w:r w:rsidRPr="00222C32">
              <w:t>-</w:t>
            </w:r>
          </w:p>
        </w:tc>
        <w:tc>
          <w:tcPr>
            <w:tcW w:w="850" w:type="dxa"/>
            <w:shd w:val="clear" w:color="auto" w:fill="E6F2FF"/>
            <w:vAlign w:val="bottom"/>
          </w:tcPr>
          <w:p w14:paraId="5176176C" w14:textId="77777777" w:rsidR="00BB2CB4" w:rsidRPr="00222C32" w:rsidRDefault="000674DA">
            <w:pPr>
              <w:pStyle w:val="Summarytabletextrightaligned"/>
            </w:pPr>
            <w:r w:rsidRPr="00222C32">
              <w:t>6.0</w:t>
            </w:r>
          </w:p>
        </w:tc>
        <w:tc>
          <w:tcPr>
            <w:tcW w:w="850" w:type="dxa"/>
            <w:vAlign w:val="bottom"/>
          </w:tcPr>
          <w:p w14:paraId="3A6D7336" w14:textId="77777777" w:rsidR="00BB2CB4" w:rsidRPr="00222C32" w:rsidRDefault="000674DA">
            <w:pPr>
              <w:pStyle w:val="Summarytabletextrightaligned"/>
            </w:pPr>
            <w:r w:rsidRPr="00222C32">
              <w:t>87.8</w:t>
            </w:r>
          </w:p>
        </w:tc>
        <w:tc>
          <w:tcPr>
            <w:tcW w:w="850" w:type="dxa"/>
            <w:vAlign w:val="bottom"/>
          </w:tcPr>
          <w:p w14:paraId="13E9A474" w14:textId="77777777" w:rsidR="00BB2CB4" w:rsidRPr="00222C32" w:rsidRDefault="000674DA">
            <w:pPr>
              <w:pStyle w:val="Summarytabletextrightaligned"/>
            </w:pPr>
            <w:r w:rsidRPr="00222C32">
              <w:t>43.7</w:t>
            </w:r>
          </w:p>
        </w:tc>
        <w:tc>
          <w:tcPr>
            <w:tcW w:w="850" w:type="dxa"/>
            <w:vAlign w:val="bottom"/>
          </w:tcPr>
          <w:p w14:paraId="0556B4B6" w14:textId="77777777" w:rsidR="00BB2CB4" w:rsidRPr="00222C32" w:rsidRDefault="000674DA">
            <w:pPr>
              <w:pStyle w:val="Summarytabletextrightaligned"/>
            </w:pPr>
            <w:r w:rsidRPr="00222C32">
              <w:t>23.3</w:t>
            </w:r>
          </w:p>
        </w:tc>
      </w:tr>
      <w:tr w:rsidR="00BB2CB4" w:rsidRPr="00222C32" w14:paraId="1BBE132B" w14:textId="77777777" w:rsidTr="00825163">
        <w:tc>
          <w:tcPr>
            <w:tcW w:w="3471" w:type="dxa"/>
            <w:vAlign w:val="bottom"/>
          </w:tcPr>
          <w:p w14:paraId="65B097BF" w14:textId="77777777" w:rsidR="00BB2CB4" w:rsidRPr="00222C32" w:rsidRDefault="000674DA">
            <w:pPr>
              <w:pStyle w:val="SummaryMeasureTitlewithTheme"/>
            </w:pPr>
            <w:r w:rsidRPr="00222C32">
              <w:t>Ending Gender‑Based Violence – continued investment</w:t>
            </w:r>
          </w:p>
        </w:tc>
        <w:tc>
          <w:tcPr>
            <w:tcW w:w="850" w:type="dxa"/>
            <w:vAlign w:val="bottom"/>
          </w:tcPr>
          <w:p w14:paraId="42BA59B2" w14:textId="77777777" w:rsidR="00BB2CB4" w:rsidRPr="00222C32" w:rsidRDefault="000674DA">
            <w:pPr>
              <w:pStyle w:val="Summarytabletextrightaligned"/>
            </w:pPr>
            <w:r w:rsidRPr="00222C32">
              <w:t>-</w:t>
            </w:r>
          </w:p>
        </w:tc>
        <w:tc>
          <w:tcPr>
            <w:tcW w:w="850" w:type="dxa"/>
            <w:shd w:val="clear" w:color="auto" w:fill="E6F2FF"/>
            <w:vAlign w:val="bottom"/>
          </w:tcPr>
          <w:p w14:paraId="020FDD4E" w14:textId="77777777" w:rsidR="00BB2CB4" w:rsidRPr="00222C32" w:rsidRDefault="000674DA">
            <w:pPr>
              <w:pStyle w:val="Summarytabletextrightaligned"/>
            </w:pPr>
            <w:r w:rsidRPr="00222C32">
              <w:t>35.0</w:t>
            </w:r>
          </w:p>
        </w:tc>
        <w:tc>
          <w:tcPr>
            <w:tcW w:w="850" w:type="dxa"/>
            <w:vAlign w:val="bottom"/>
          </w:tcPr>
          <w:p w14:paraId="35A9B26F" w14:textId="77777777" w:rsidR="00BB2CB4" w:rsidRPr="00222C32" w:rsidRDefault="000674DA">
            <w:pPr>
              <w:pStyle w:val="Summarytabletextrightaligned"/>
            </w:pPr>
            <w:r w:rsidRPr="00222C32">
              <w:t>76.3</w:t>
            </w:r>
          </w:p>
        </w:tc>
        <w:tc>
          <w:tcPr>
            <w:tcW w:w="850" w:type="dxa"/>
            <w:vAlign w:val="bottom"/>
          </w:tcPr>
          <w:p w14:paraId="4A2F0F89" w14:textId="77777777" w:rsidR="00BB2CB4" w:rsidRPr="00222C32" w:rsidRDefault="000674DA">
            <w:pPr>
              <w:pStyle w:val="Summarytabletextrightaligned"/>
            </w:pPr>
            <w:r w:rsidRPr="00222C32">
              <w:t>26.4</w:t>
            </w:r>
          </w:p>
        </w:tc>
        <w:tc>
          <w:tcPr>
            <w:tcW w:w="850" w:type="dxa"/>
            <w:vAlign w:val="bottom"/>
          </w:tcPr>
          <w:p w14:paraId="0A73E8FE" w14:textId="77777777" w:rsidR="00BB2CB4" w:rsidRPr="00222C32" w:rsidRDefault="000674DA">
            <w:pPr>
              <w:pStyle w:val="Summarytabletextrightaligned"/>
            </w:pPr>
            <w:r w:rsidRPr="00222C32">
              <w:t>-</w:t>
            </w:r>
          </w:p>
        </w:tc>
      </w:tr>
      <w:tr w:rsidR="00BB2CB4" w:rsidRPr="00222C32" w14:paraId="6D37438A" w14:textId="77777777" w:rsidTr="00825163">
        <w:tc>
          <w:tcPr>
            <w:tcW w:w="3471" w:type="dxa"/>
            <w:vAlign w:val="bottom"/>
          </w:tcPr>
          <w:p w14:paraId="65F2299E" w14:textId="77777777" w:rsidR="00BB2CB4" w:rsidRPr="00222C32" w:rsidRDefault="000674DA">
            <w:pPr>
              <w:pStyle w:val="SummaryMeasureTitlewithTheme"/>
            </w:pPr>
            <w:r w:rsidRPr="00222C32">
              <w:t>Further Reducing Spending on Consultants, Contractors and Labour Hire, and Non‑wage Expenses</w:t>
            </w:r>
          </w:p>
        </w:tc>
        <w:tc>
          <w:tcPr>
            <w:tcW w:w="850" w:type="dxa"/>
            <w:vAlign w:val="bottom"/>
          </w:tcPr>
          <w:p w14:paraId="163379CD" w14:textId="77777777" w:rsidR="00BB2CB4" w:rsidRPr="00222C32" w:rsidRDefault="000674DA">
            <w:pPr>
              <w:pStyle w:val="Summarytabletextrightaligned"/>
            </w:pPr>
            <w:r w:rsidRPr="00222C32">
              <w:t>-</w:t>
            </w:r>
          </w:p>
        </w:tc>
        <w:tc>
          <w:tcPr>
            <w:tcW w:w="850" w:type="dxa"/>
            <w:shd w:val="clear" w:color="auto" w:fill="E6F2FF"/>
            <w:vAlign w:val="bottom"/>
          </w:tcPr>
          <w:p w14:paraId="4FD47A6C" w14:textId="77777777" w:rsidR="00BB2CB4" w:rsidRPr="00222C32" w:rsidRDefault="000674DA">
            <w:pPr>
              <w:pStyle w:val="Summarytabletextrightaligned"/>
            </w:pPr>
            <w:r w:rsidRPr="00222C32">
              <w:t>-800.0</w:t>
            </w:r>
          </w:p>
        </w:tc>
        <w:tc>
          <w:tcPr>
            <w:tcW w:w="850" w:type="dxa"/>
            <w:vAlign w:val="bottom"/>
          </w:tcPr>
          <w:p w14:paraId="25696FFB" w14:textId="77777777" w:rsidR="00BB2CB4" w:rsidRPr="00222C32" w:rsidRDefault="000674DA">
            <w:pPr>
              <w:pStyle w:val="Summarytabletextrightaligned"/>
            </w:pPr>
            <w:r w:rsidRPr="00222C32">
              <w:t>-2,000.0</w:t>
            </w:r>
          </w:p>
        </w:tc>
        <w:tc>
          <w:tcPr>
            <w:tcW w:w="850" w:type="dxa"/>
            <w:vAlign w:val="bottom"/>
          </w:tcPr>
          <w:p w14:paraId="58F9B57E" w14:textId="77777777" w:rsidR="00BB2CB4" w:rsidRPr="00222C32" w:rsidRDefault="000674DA">
            <w:pPr>
              <w:pStyle w:val="Summarytabletextrightaligned"/>
            </w:pPr>
            <w:r w:rsidRPr="00222C32">
              <w:t>-2,000.0</w:t>
            </w:r>
          </w:p>
        </w:tc>
        <w:tc>
          <w:tcPr>
            <w:tcW w:w="850" w:type="dxa"/>
            <w:vAlign w:val="bottom"/>
          </w:tcPr>
          <w:p w14:paraId="7EB47D49" w14:textId="77777777" w:rsidR="00BB2CB4" w:rsidRPr="00222C32" w:rsidRDefault="000674DA">
            <w:pPr>
              <w:pStyle w:val="Summarytabletextrightaligned"/>
            </w:pPr>
            <w:r w:rsidRPr="00222C32">
              <w:t>-2,000.0</w:t>
            </w:r>
          </w:p>
        </w:tc>
      </w:tr>
      <w:tr w:rsidR="00BB2CB4" w:rsidRPr="00222C32" w14:paraId="1675F4C8" w14:textId="77777777" w:rsidTr="00825163">
        <w:tc>
          <w:tcPr>
            <w:tcW w:w="3471" w:type="dxa"/>
            <w:vAlign w:val="bottom"/>
          </w:tcPr>
          <w:p w14:paraId="7C27063B" w14:textId="4D4D3BE3" w:rsidR="00BB2CB4" w:rsidRPr="00222C32" w:rsidRDefault="000674DA">
            <w:pPr>
              <w:pStyle w:val="SummaryMeasureTitlewithTheme"/>
            </w:pPr>
            <w:r w:rsidRPr="00222C32">
              <w:t>Investing in Australia</w:t>
            </w:r>
            <w:r w:rsidR="00A67A30">
              <w:t>’</w:t>
            </w:r>
            <w:r w:rsidRPr="00222C32">
              <w:t>s Critical Minerals</w:t>
            </w:r>
          </w:p>
        </w:tc>
        <w:tc>
          <w:tcPr>
            <w:tcW w:w="850" w:type="dxa"/>
            <w:vAlign w:val="bottom"/>
          </w:tcPr>
          <w:p w14:paraId="00270471" w14:textId="77777777" w:rsidR="00BB2CB4" w:rsidRPr="00222C32" w:rsidRDefault="000674DA">
            <w:pPr>
              <w:pStyle w:val="Summarytabletextrightaligned"/>
            </w:pPr>
            <w:r w:rsidRPr="00222C32">
              <w:t>-</w:t>
            </w:r>
          </w:p>
        </w:tc>
        <w:tc>
          <w:tcPr>
            <w:tcW w:w="850" w:type="dxa"/>
            <w:shd w:val="clear" w:color="auto" w:fill="E6F2FF"/>
            <w:vAlign w:val="bottom"/>
          </w:tcPr>
          <w:p w14:paraId="73E21207" w14:textId="77777777" w:rsidR="00BB2CB4" w:rsidRPr="00222C32" w:rsidRDefault="000674DA">
            <w:pPr>
              <w:pStyle w:val="Summarytabletextrightaligned"/>
              <w:rPr>
                <w:lang w:val="en-US"/>
              </w:rPr>
            </w:pPr>
            <w:r w:rsidRPr="00222C32">
              <w:rPr>
                <w:lang w:val="en-US"/>
              </w:rPr>
              <w:t>nfp</w:t>
            </w:r>
          </w:p>
        </w:tc>
        <w:tc>
          <w:tcPr>
            <w:tcW w:w="850" w:type="dxa"/>
            <w:vAlign w:val="bottom"/>
          </w:tcPr>
          <w:p w14:paraId="42DA927A"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63224D1"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CBB3F3D" w14:textId="77777777" w:rsidR="00BB2CB4" w:rsidRPr="00222C32" w:rsidRDefault="000674DA">
            <w:pPr>
              <w:pStyle w:val="Summarytabletextrightaligned"/>
              <w:rPr>
                <w:lang w:val="en-US"/>
              </w:rPr>
            </w:pPr>
            <w:r w:rsidRPr="00222C32">
              <w:rPr>
                <w:lang w:val="en-US"/>
              </w:rPr>
              <w:t>nfp</w:t>
            </w:r>
          </w:p>
        </w:tc>
      </w:tr>
      <w:tr w:rsidR="00BB2CB4" w:rsidRPr="00222C32" w14:paraId="7A34F61A" w14:textId="77777777" w:rsidTr="00825163">
        <w:tc>
          <w:tcPr>
            <w:tcW w:w="3471" w:type="dxa"/>
            <w:vAlign w:val="bottom"/>
          </w:tcPr>
          <w:p w14:paraId="463C6C88" w14:textId="77777777" w:rsidR="00BB2CB4" w:rsidRPr="00222C32" w:rsidRDefault="000674DA">
            <w:pPr>
              <w:pStyle w:val="SummaryMeasureTitlewithTheme"/>
            </w:pPr>
            <w:r w:rsidRPr="00222C32">
              <w:t>Support for Community Sector Organisations</w:t>
            </w:r>
          </w:p>
        </w:tc>
        <w:tc>
          <w:tcPr>
            <w:tcW w:w="850" w:type="dxa"/>
            <w:tcBorders>
              <w:bottom w:val="single" w:sz="4" w:space="0" w:color="293F5B"/>
            </w:tcBorders>
            <w:vAlign w:val="bottom"/>
          </w:tcPr>
          <w:p w14:paraId="171C690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37F55622"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59F6191D" w14:textId="77777777" w:rsidR="00BB2CB4" w:rsidRPr="00222C32" w:rsidRDefault="000674DA">
            <w:pPr>
              <w:pStyle w:val="Summarytabletextrightaligned"/>
            </w:pPr>
            <w:r w:rsidRPr="00222C32">
              <w:t>41.0</w:t>
            </w:r>
          </w:p>
        </w:tc>
        <w:tc>
          <w:tcPr>
            <w:tcW w:w="850" w:type="dxa"/>
            <w:tcBorders>
              <w:bottom w:val="single" w:sz="4" w:space="0" w:color="293F5B"/>
            </w:tcBorders>
            <w:vAlign w:val="bottom"/>
          </w:tcPr>
          <w:p w14:paraId="512E414E" w14:textId="77777777" w:rsidR="00BB2CB4" w:rsidRPr="00222C32" w:rsidRDefault="000674DA">
            <w:pPr>
              <w:pStyle w:val="Summarytabletextrightaligned"/>
            </w:pPr>
            <w:r w:rsidRPr="00222C32">
              <w:t>22.4</w:t>
            </w:r>
          </w:p>
        </w:tc>
        <w:tc>
          <w:tcPr>
            <w:tcW w:w="850" w:type="dxa"/>
            <w:tcBorders>
              <w:bottom w:val="single" w:sz="4" w:space="0" w:color="293F5B"/>
            </w:tcBorders>
            <w:vAlign w:val="bottom"/>
          </w:tcPr>
          <w:p w14:paraId="768C2A05" w14:textId="77777777" w:rsidR="00BB2CB4" w:rsidRPr="00222C32" w:rsidRDefault="000674DA">
            <w:pPr>
              <w:pStyle w:val="Summarytabletextrightaligned"/>
            </w:pPr>
            <w:r w:rsidRPr="00222C32">
              <w:t>-</w:t>
            </w:r>
          </w:p>
        </w:tc>
      </w:tr>
      <w:tr w:rsidR="00BB2CB4" w:rsidRPr="00222C32" w14:paraId="235928D7" w14:textId="77777777" w:rsidTr="00825163">
        <w:tc>
          <w:tcPr>
            <w:tcW w:w="3471" w:type="dxa"/>
            <w:vAlign w:val="bottom"/>
          </w:tcPr>
          <w:p w14:paraId="5CD2400D"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08F00F43"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7C863D53" w14:textId="26FF6489" w:rsidR="00BB2CB4" w:rsidRPr="00222C32" w:rsidRDefault="000674DA">
            <w:pPr>
              <w:pStyle w:val="Summarytabletextrightalignedbold"/>
            </w:pPr>
            <w:r w:rsidRPr="00222C32">
              <w:t>-7</w:t>
            </w:r>
            <w:r w:rsidR="005075F1">
              <w:t>35.</w:t>
            </w:r>
            <w:r w:rsidRPr="00222C32">
              <w:t>7</w:t>
            </w:r>
          </w:p>
        </w:tc>
        <w:tc>
          <w:tcPr>
            <w:tcW w:w="850" w:type="dxa"/>
            <w:tcBorders>
              <w:top w:val="single" w:sz="4" w:space="0" w:color="293F5B"/>
              <w:bottom w:val="single" w:sz="4" w:space="0" w:color="293F5B"/>
            </w:tcBorders>
            <w:vAlign w:val="bottom"/>
          </w:tcPr>
          <w:p w14:paraId="44EB9E00" w14:textId="77777777" w:rsidR="00BB2CB4" w:rsidRPr="00222C32" w:rsidRDefault="000674DA">
            <w:pPr>
              <w:pStyle w:val="Summarytabletextrightalignedbold"/>
            </w:pPr>
            <w:r w:rsidRPr="00222C32">
              <w:t>-1,708.4</w:t>
            </w:r>
          </w:p>
        </w:tc>
        <w:tc>
          <w:tcPr>
            <w:tcW w:w="850" w:type="dxa"/>
            <w:tcBorders>
              <w:top w:val="single" w:sz="4" w:space="0" w:color="293F5B"/>
              <w:bottom w:val="single" w:sz="4" w:space="0" w:color="293F5B"/>
            </w:tcBorders>
            <w:vAlign w:val="bottom"/>
          </w:tcPr>
          <w:p w14:paraId="1E1941CA" w14:textId="77777777" w:rsidR="00BB2CB4" w:rsidRPr="00222C32" w:rsidRDefault="000674DA">
            <w:pPr>
              <w:pStyle w:val="Summarytabletextrightalignedbold"/>
            </w:pPr>
            <w:r w:rsidRPr="00222C32">
              <w:t>-1,808.1</w:t>
            </w:r>
          </w:p>
        </w:tc>
        <w:tc>
          <w:tcPr>
            <w:tcW w:w="850" w:type="dxa"/>
            <w:tcBorders>
              <w:top w:val="single" w:sz="4" w:space="0" w:color="293F5B"/>
              <w:bottom w:val="single" w:sz="4" w:space="0" w:color="293F5B"/>
            </w:tcBorders>
            <w:vAlign w:val="bottom"/>
          </w:tcPr>
          <w:p w14:paraId="49FDA96A" w14:textId="77777777" w:rsidR="00BB2CB4" w:rsidRPr="00222C32" w:rsidRDefault="000674DA">
            <w:pPr>
              <w:pStyle w:val="Summarytabletextrightalignedbold"/>
            </w:pPr>
            <w:r w:rsidRPr="00222C32">
              <w:t>-1,960.8</w:t>
            </w:r>
          </w:p>
        </w:tc>
      </w:tr>
      <w:tr w:rsidR="00BB2CB4" w:rsidRPr="00222C32" w14:paraId="0129ED05" w14:textId="77777777" w:rsidTr="00825163">
        <w:tc>
          <w:tcPr>
            <w:tcW w:w="3471" w:type="dxa"/>
            <w:vAlign w:val="bottom"/>
          </w:tcPr>
          <w:p w14:paraId="2E809813" w14:textId="77777777" w:rsidR="00BB2CB4" w:rsidRPr="00222C32" w:rsidRDefault="000674DA">
            <w:pPr>
              <w:pStyle w:val="SummaryPortfolioTitle-BP2"/>
            </w:pPr>
            <w:r w:rsidRPr="00222C32">
              <w:t>DEFENCE</w:t>
            </w:r>
          </w:p>
        </w:tc>
        <w:tc>
          <w:tcPr>
            <w:tcW w:w="850" w:type="dxa"/>
            <w:tcBorders>
              <w:top w:val="single" w:sz="4" w:space="0" w:color="293F5B"/>
            </w:tcBorders>
          </w:tcPr>
          <w:p w14:paraId="1656CDD2"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B22BE9E" w14:textId="77777777" w:rsidR="00BB2CB4" w:rsidRPr="00222C32" w:rsidRDefault="00BB2CB4">
            <w:pPr>
              <w:pStyle w:val="MeasureTableTextRightAlignedBefore6ptAfter1pt"/>
            </w:pPr>
          </w:p>
        </w:tc>
        <w:tc>
          <w:tcPr>
            <w:tcW w:w="850" w:type="dxa"/>
            <w:tcBorders>
              <w:top w:val="single" w:sz="4" w:space="0" w:color="293F5B"/>
            </w:tcBorders>
          </w:tcPr>
          <w:p w14:paraId="1EF77843" w14:textId="77777777" w:rsidR="00BB2CB4" w:rsidRPr="00222C32" w:rsidRDefault="00BB2CB4">
            <w:pPr>
              <w:pStyle w:val="MeasureTableTextRightAlignedBefore6ptAfter1pt"/>
            </w:pPr>
          </w:p>
        </w:tc>
        <w:tc>
          <w:tcPr>
            <w:tcW w:w="850" w:type="dxa"/>
            <w:tcBorders>
              <w:top w:val="single" w:sz="4" w:space="0" w:color="293F5B"/>
            </w:tcBorders>
          </w:tcPr>
          <w:p w14:paraId="16CD530C" w14:textId="77777777" w:rsidR="00BB2CB4" w:rsidRPr="00222C32" w:rsidRDefault="00BB2CB4">
            <w:pPr>
              <w:pStyle w:val="MeasureTableTextRightAlignedBefore6ptAfter1pt"/>
            </w:pPr>
          </w:p>
        </w:tc>
        <w:tc>
          <w:tcPr>
            <w:tcW w:w="850" w:type="dxa"/>
            <w:tcBorders>
              <w:top w:val="single" w:sz="4" w:space="0" w:color="293F5B"/>
            </w:tcBorders>
          </w:tcPr>
          <w:p w14:paraId="5DF7A962" w14:textId="77777777" w:rsidR="00BB2CB4" w:rsidRPr="00222C32" w:rsidRDefault="00BB2CB4">
            <w:pPr>
              <w:pStyle w:val="MeasureTableTextRightAlignedBefore6ptAfter1pt"/>
            </w:pPr>
          </w:p>
        </w:tc>
      </w:tr>
      <w:tr w:rsidR="00BB2CB4" w:rsidRPr="00222C32" w14:paraId="186C7D98" w14:textId="77777777" w:rsidTr="00825163">
        <w:tc>
          <w:tcPr>
            <w:tcW w:w="3471" w:type="dxa"/>
            <w:vAlign w:val="bottom"/>
          </w:tcPr>
          <w:p w14:paraId="4076992E" w14:textId="77777777" w:rsidR="00BB2CB4" w:rsidRPr="00222C32" w:rsidRDefault="000674DA">
            <w:pPr>
              <w:pStyle w:val="SummaryAgencyTitle-BP2"/>
            </w:pPr>
            <w:r w:rsidRPr="00222C32">
              <w:t>Australian Submarine Agency</w:t>
            </w:r>
          </w:p>
        </w:tc>
        <w:tc>
          <w:tcPr>
            <w:tcW w:w="850" w:type="dxa"/>
          </w:tcPr>
          <w:p w14:paraId="20DF54AD" w14:textId="77777777" w:rsidR="00BB2CB4" w:rsidRPr="00222C32" w:rsidRDefault="00BB2CB4">
            <w:pPr>
              <w:pStyle w:val="SummaryAgencyTitle-BP2"/>
            </w:pPr>
          </w:p>
        </w:tc>
        <w:tc>
          <w:tcPr>
            <w:tcW w:w="850" w:type="dxa"/>
            <w:shd w:val="clear" w:color="auto" w:fill="E6F2FF"/>
          </w:tcPr>
          <w:p w14:paraId="32C0436B" w14:textId="77777777" w:rsidR="00BB2CB4" w:rsidRPr="00222C32" w:rsidRDefault="00BB2CB4">
            <w:pPr>
              <w:pStyle w:val="SummaryAgencyTitle-BP2"/>
            </w:pPr>
          </w:p>
        </w:tc>
        <w:tc>
          <w:tcPr>
            <w:tcW w:w="850" w:type="dxa"/>
          </w:tcPr>
          <w:p w14:paraId="14E74028" w14:textId="77777777" w:rsidR="00BB2CB4" w:rsidRPr="00222C32" w:rsidRDefault="00BB2CB4">
            <w:pPr>
              <w:pStyle w:val="SummaryAgencyTitle-BP2"/>
            </w:pPr>
          </w:p>
        </w:tc>
        <w:tc>
          <w:tcPr>
            <w:tcW w:w="850" w:type="dxa"/>
          </w:tcPr>
          <w:p w14:paraId="069501AC" w14:textId="77777777" w:rsidR="00BB2CB4" w:rsidRPr="00222C32" w:rsidRDefault="00BB2CB4">
            <w:pPr>
              <w:pStyle w:val="SummaryAgencyTitle-BP2"/>
            </w:pPr>
          </w:p>
        </w:tc>
        <w:tc>
          <w:tcPr>
            <w:tcW w:w="850" w:type="dxa"/>
          </w:tcPr>
          <w:p w14:paraId="1D6DCD5F" w14:textId="77777777" w:rsidR="00BB2CB4" w:rsidRPr="00222C32" w:rsidRDefault="00BB2CB4">
            <w:pPr>
              <w:pStyle w:val="SummaryAgencyTitle-BP2"/>
            </w:pPr>
          </w:p>
        </w:tc>
      </w:tr>
      <w:tr w:rsidR="00BB2CB4" w:rsidRPr="00222C32" w14:paraId="511E72F2" w14:textId="77777777" w:rsidTr="00825163">
        <w:tc>
          <w:tcPr>
            <w:tcW w:w="3471" w:type="dxa"/>
            <w:vAlign w:val="bottom"/>
          </w:tcPr>
          <w:p w14:paraId="151B0005" w14:textId="77777777" w:rsidR="00BB2CB4" w:rsidRPr="00222C32" w:rsidRDefault="000674DA">
            <w:pPr>
              <w:pStyle w:val="SummaryMeasureTitlewithTheme"/>
            </w:pPr>
            <w:r w:rsidRPr="00222C32">
              <w:t>Nuclear‑Powered Submarine Program – further program support</w:t>
            </w:r>
          </w:p>
        </w:tc>
        <w:tc>
          <w:tcPr>
            <w:tcW w:w="850" w:type="dxa"/>
            <w:vAlign w:val="bottom"/>
          </w:tcPr>
          <w:p w14:paraId="47DC8473" w14:textId="77777777" w:rsidR="00BB2CB4" w:rsidRPr="00222C32" w:rsidRDefault="000674DA">
            <w:pPr>
              <w:pStyle w:val="Summarytabletextrightaligned"/>
            </w:pPr>
            <w:r w:rsidRPr="00222C32">
              <w:t>-</w:t>
            </w:r>
          </w:p>
        </w:tc>
        <w:tc>
          <w:tcPr>
            <w:tcW w:w="850" w:type="dxa"/>
            <w:shd w:val="clear" w:color="auto" w:fill="E6F2FF"/>
            <w:vAlign w:val="bottom"/>
          </w:tcPr>
          <w:p w14:paraId="71D2184D" w14:textId="77777777" w:rsidR="00BB2CB4" w:rsidRPr="00222C32" w:rsidRDefault="000674DA">
            <w:pPr>
              <w:pStyle w:val="Summarytabletextrightaligned"/>
            </w:pPr>
            <w:r w:rsidRPr="00222C32">
              <w:t>-</w:t>
            </w:r>
          </w:p>
        </w:tc>
        <w:tc>
          <w:tcPr>
            <w:tcW w:w="850" w:type="dxa"/>
            <w:vAlign w:val="bottom"/>
          </w:tcPr>
          <w:p w14:paraId="23FB2AB9" w14:textId="77777777" w:rsidR="00BB2CB4" w:rsidRPr="00222C32" w:rsidRDefault="000674DA">
            <w:pPr>
              <w:pStyle w:val="Summarytabletextrightaligned"/>
            </w:pPr>
            <w:r w:rsidRPr="00222C32">
              <w:t>-</w:t>
            </w:r>
          </w:p>
        </w:tc>
        <w:tc>
          <w:tcPr>
            <w:tcW w:w="850" w:type="dxa"/>
            <w:vAlign w:val="bottom"/>
          </w:tcPr>
          <w:p w14:paraId="75A2D2A5" w14:textId="77777777" w:rsidR="00BB2CB4" w:rsidRPr="00222C32" w:rsidRDefault="000674DA">
            <w:pPr>
              <w:pStyle w:val="Summarytabletextrightaligned"/>
            </w:pPr>
            <w:r w:rsidRPr="00222C32">
              <w:t>-</w:t>
            </w:r>
          </w:p>
        </w:tc>
        <w:tc>
          <w:tcPr>
            <w:tcW w:w="850" w:type="dxa"/>
            <w:vAlign w:val="bottom"/>
          </w:tcPr>
          <w:p w14:paraId="0278032C" w14:textId="77777777" w:rsidR="00BB2CB4" w:rsidRPr="00222C32" w:rsidRDefault="000674DA">
            <w:pPr>
              <w:pStyle w:val="Summarytabletextrightaligned"/>
            </w:pPr>
            <w:r w:rsidRPr="00222C32">
              <w:t>-</w:t>
            </w:r>
          </w:p>
        </w:tc>
      </w:tr>
      <w:tr w:rsidR="00BB2CB4" w:rsidRPr="00222C32" w14:paraId="5A37D2A6" w14:textId="77777777" w:rsidTr="00825163">
        <w:tc>
          <w:tcPr>
            <w:tcW w:w="3471" w:type="dxa"/>
            <w:vAlign w:val="bottom"/>
          </w:tcPr>
          <w:p w14:paraId="182C7E18" w14:textId="77777777" w:rsidR="00BB2CB4" w:rsidRPr="00222C32" w:rsidRDefault="000674DA">
            <w:pPr>
              <w:pStyle w:val="SummaryAgencyTitle-BP2"/>
            </w:pPr>
            <w:r w:rsidRPr="00222C32">
              <w:t>Australian War Memorial</w:t>
            </w:r>
          </w:p>
        </w:tc>
        <w:tc>
          <w:tcPr>
            <w:tcW w:w="850" w:type="dxa"/>
          </w:tcPr>
          <w:p w14:paraId="7DEE1078" w14:textId="77777777" w:rsidR="00BB2CB4" w:rsidRPr="00222C32" w:rsidRDefault="00BB2CB4">
            <w:pPr>
              <w:pStyle w:val="SummaryAgencyTitle-BP2"/>
            </w:pPr>
          </w:p>
        </w:tc>
        <w:tc>
          <w:tcPr>
            <w:tcW w:w="850" w:type="dxa"/>
            <w:shd w:val="clear" w:color="auto" w:fill="E6F2FF"/>
          </w:tcPr>
          <w:p w14:paraId="30FABCD0" w14:textId="77777777" w:rsidR="00BB2CB4" w:rsidRPr="00222C32" w:rsidRDefault="00BB2CB4">
            <w:pPr>
              <w:pStyle w:val="SummaryAgencyTitle-BP2"/>
            </w:pPr>
          </w:p>
        </w:tc>
        <w:tc>
          <w:tcPr>
            <w:tcW w:w="850" w:type="dxa"/>
          </w:tcPr>
          <w:p w14:paraId="1E2A3CB9" w14:textId="77777777" w:rsidR="00BB2CB4" w:rsidRPr="00222C32" w:rsidRDefault="00BB2CB4">
            <w:pPr>
              <w:pStyle w:val="SummaryAgencyTitle-BP2"/>
            </w:pPr>
          </w:p>
        </w:tc>
        <w:tc>
          <w:tcPr>
            <w:tcW w:w="850" w:type="dxa"/>
          </w:tcPr>
          <w:p w14:paraId="556851C8" w14:textId="77777777" w:rsidR="00BB2CB4" w:rsidRPr="00222C32" w:rsidRDefault="00BB2CB4">
            <w:pPr>
              <w:pStyle w:val="SummaryAgencyTitle-BP2"/>
            </w:pPr>
          </w:p>
        </w:tc>
        <w:tc>
          <w:tcPr>
            <w:tcW w:w="850" w:type="dxa"/>
          </w:tcPr>
          <w:p w14:paraId="1E1657ED" w14:textId="77777777" w:rsidR="00BB2CB4" w:rsidRPr="00222C32" w:rsidRDefault="00BB2CB4">
            <w:pPr>
              <w:pStyle w:val="SummaryAgencyTitle-BP2"/>
            </w:pPr>
          </w:p>
        </w:tc>
      </w:tr>
      <w:tr w:rsidR="00BB2CB4" w:rsidRPr="00222C32" w14:paraId="1A0F7D64" w14:textId="77777777" w:rsidTr="00825163">
        <w:tc>
          <w:tcPr>
            <w:tcW w:w="3471" w:type="dxa"/>
            <w:vAlign w:val="bottom"/>
          </w:tcPr>
          <w:p w14:paraId="2A9902F2" w14:textId="77777777" w:rsidR="00BB2CB4" w:rsidRPr="00222C32" w:rsidRDefault="000674DA">
            <w:pPr>
              <w:pStyle w:val="SummaryMeasureTitlewithTheme"/>
            </w:pPr>
            <w:r w:rsidRPr="00222C32">
              <w:t>Australian War Memorial – financial sustainability and redevelopment completion</w:t>
            </w:r>
          </w:p>
        </w:tc>
        <w:tc>
          <w:tcPr>
            <w:tcW w:w="850" w:type="dxa"/>
            <w:vAlign w:val="bottom"/>
          </w:tcPr>
          <w:p w14:paraId="4B12D32F" w14:textId="77777777" w:rsidR="00BB2CB4" w:rsidRPr="00222C32" w:rsidRDefault="000674DA">
            <w:pPr>
              <w:pStyle w:val="Summarytabletextrightaligned"/>
            </w:pPr>
            <w:r w:rsidRPr="00222C32">
              <w:t>-</w:t>
            </w:r>
          </w:p>
        </w:tc>
        <w:tc>
          <w:tcPr>
            <w:tcW w:w="850" w:type="dxa"/>
            <w:shd w:val="clear" w:color="auto" w:fill="E6F2FF"/>
            <w:vAlign w:val="bottom"/>
          </w:tcPr>
          <w:p w14:paraId="2C3C80AD" w14:textId="77777777" w:rsidR="00BB2CB4" w:rsidRPr="00222C32" w:rsidRDefault="000674DA">
            <w:pPr>
              <w:pStyle w:val="Summarytabletextrightaligned"/>
            </w:pPr>
            <w:r w:rsidRPr="00222C32">
              <w:t>25.4</w:t>
            </w:r>
          </w:p>
        </w:tc>
        <w:tc>
          <w:tcPr>
            <w:tcW w:w="850" w:type="dxa"/>
            <w:vAlign w:val="bottom"/>
          </w:tcPr>
          <w:p w14:paraId="28213515" w14:textId="77777777" w:rsidR="00BB2CB4" w:rsidRPr="00222C32" w:rsidRDefault="000674DA">
            <w:pPr>
              <w:pStyle w:val="Summarytabletextrightaligned"/>
            </w:pPr>
            <w:r w:rsidRPr="00222C32">
              <w:t>34.2</w:t>
            </w:r>
          </w:p>
        </w:tc>
        <w:tc>
          <w:tcPr>
            <w:tcW w:w="850" w:type="dxa"/>
            <w:vAlign w:val="bottom"/>
          </w:tcPr>
          <w:p w14:paraId="1CFE1E01" w14:textId="77777777" w:rsidR="00BB2CB4" w:rsidRPr="00222C32" w:rsidRDefault="000674DA">
            <w:pPr>
              <w:pStyle w:val="Summarytabletextrightaligned"/>
            </w:pPr>
            <w:r w:rsidRPr="00222C32">
              <w:t>35.2</w:t>
            </w:r>
          </w:p>
        </w:tc>
        <w:tc>
          <w:tcPr>
            <w:tcW w:w="850" w:type="dxa"/>
            <w:vAlign w:val="bottom"/>
          </w:tcPr>
          <w:p w14:paraId="5BD1C8C1" w14:textId="77777777" w:rsidR="00BB2CB4" w:rsidRPr="00222C32" w:rsidRDefault="000674DA">
            <w:pPr>
              <w:pStyle w:val="Summarytabletextrightaligned"/>
            </w:pPr>
            <w:r w:rsidRPr="00222C32">
              <w:t>24.3</w:t>
            </w:r>
          </w:p>
        </w:tc>
      </w:tr>
      <w:tr w:rsidR="00BB2CB4" w:rsidRPr="00222C32" w14:paraId="34BFA495" w14:textId="77777777" w:rsidTr="00825163">
        <w:tc>
          <w:tcPr>
            <w:tcW w:w="3471" w:type="dxa"/>
            <w:vAlign w:val="bottom"/>
          </w:tcPr>
          <w:p w14:paraId="5F4A20AB" w14:textId="2EC092EB" w:rsidR="00BB2CB4" w:rsidRPr="00222C32" w:rsidRDefault="000674DA">
            <w:pPr>
              <w:pStyle w:val="SummaryAgencyTitle-BP2"/>
            </w:pPr>
            <w:r w:rsidRPr="00222C32">
              <w:t>Defence and Veterans</w:t>
            </w:r>
            <w:r w:rsidR="00A67A30">
              <w:t>’</w:t>
            </w:r>
            <w:r w:rsidRPr="00222C32">
              <w:t xml:space="preserve"> Services Commission</w:t>
            </w:r>
          </w:p>
        </w:tc>
        <w:tc>
          <w:tcPr>
            <w:tcW w:w="850" w:type="dxa"/>
          </w:tcPr>
          <w:p w14:paraId="39D43AEE" w14:textId="77777777" w:rsidR="00BB2CB4" w:rsidRPr="00222C32" w:rsidRDefault="00BB2CB4">
            <w:pPr>
              <w:pStyle w:val="SummaryAgencyTitle-BP2"/>
            </w:pPr>
          </w:p>
        </w:tc>
        <w:tc>
          <w:tcPr>
            <w:tcW w:w="850" w:type="dxa"/>
            <w:shd w:val="clear" w:color="auto" w:fill="E6F2FF"/>
          </w:tcPr>
          <w:p w14:paraId="1DE58B23" w14:textId="77777777" w:rsidR="00BB2CB4" w:rsidRPr="00222C32" w:rsidRDefault="00BB2CB4">
            <w:pPr>
              <w:pStyle w:val="SummaryAgencyTitle-BP2"/>
            </w:pPr>
          </w:p>
        </w:tc>
        <w:tc>
          <w:tcPr>
            <w:tcW w:w="850" w:type="dxa"/>
          </w:tcPr>
          <w:p w14:paraId="0A178CEB" w14:textId="77777777" w:rsidR="00BB2CB4" w:rsidRPr="00222C32" w:rsidRDefault="00BB2CB4">
            <w:pPr>
              <w:pStyle w:val="SummaryAgencyTitle-BP2"/>
            </w:pPr>
          </w:p>
        </w:tc>
        <w:tc>
          <w:tcPr>
            <w:tcW w:w="850" w:type="dxa"/>
          </w:tcPr>
          <w:p w14:paraId="4485C69F" w14:textId="77777777" w:rsidR="00BB2CB4" w:rsidRPr="00222C32" w:rsidRDefault="00BB2CB4">
            <w:pPr>
              <w:pStyle w:val="SummaryAgencyTitle-BP2"/>
            </w:pPr>
          </w:p>
        </w:tc>
        <w:tc>
          <w:tcPr>
            <w:tcW w:w="850" w:type="dxa"/>
          </w:tcPr>
          <w:p w14:paraId="5B21A4E4" w14:textId="77777777" w:rsidR="00BB2CB4" w:rsidRPr="00222C32" w:rsidRDefault="00BB2CB4">
            <w:pPr>
              <w:pStyle w:val="SummaryAgencyTitle-BP2"/>
            </w:pPr>
          </w:p>
        </w:tc>
      </w:tr>
      <w:tr w:rsidR="00BB2CB4" w:rsidRPr="00222C32" w14:paraId="1693994E" w14:textId="77777777" w:rsidTr="00825163">
        <w:tc>
          <w:tcPr>
            <w:tcW w:w="3471" w:type="dxa"/>
            <w:vAlign w:val="bottom"/>
          </w:tcPr>
          <w:p w14:paraId="3719B53B" w14:textId="2CD10F39" w:rsidR="00BB2CB4" w:rsidRPr="00222C32" w:rsidRDefault="000674DA">
            <w:pPr>
              <w:pStyle w:val="SummaryMeasureTitlewithTheme"/>
            </w:pPr>
            <w:r w:rsidRPr="00222C32">
              <w:t>Establishment of the Defence and Veterans</w:t>
            </w:r>
            <w:r w:rsidR="00A67A30">
              <w:t>’</w:t>
            </w:r>
            <w:r w:rsidRPr="00222C32">
              <w:t xml:space="preserve"> Services Commission</w:t>
            </w:r>
          </w:p>
        </w:tc>
        <w:tc>
          <w:tcPr>
            <w:tcW w:w="850" w:type="dxa"/>
            <w:vAlign w:val="bottom"/>
          </w:tcPr>
          <w:p w14:paraId="704A6EC0" w14:textId="77777777" w:rsidR="00BB2CB4" w:rsidRPr="00222C32" w:rsidRDefault="000674DA">
            <w:pPr>
              <w:pStyle w:val="Summarytabletextrightaligned"/>
            </w:pPr>
            <w:r w:rsidRPr="00222C32">
              <w:t>-</w:t>
            </w:r>
          </w:p>
        </w:tc>
        <w:tc>
          <w:tcPr>
            <w:tcW w:w="850" w:type="dxa"/>
            <w:shd w:val="clear" w:color="auto" w:fill="E6F2FF"/>
            <w:vAlign w:val="bottom"/>
          </w:tcPr>
          <w:p w14:paraId="72879F2D" w14:textId="77777777" w:rsidR="00BB2CB4" w:rsidRPr="00222C32" w:rsidRDefault="000674DA">
            <w:pPr>
              <w:pStyle w:val="Summarytabletextrightaligned"/>
            </w:pPr>
            <w:r w:rsidRPr="00222C32">
              <w:t>10.0</w:t>
            </w:r>
          </w:p>
        </w:tc>
        <w:tc>
          <w:tcPr>
            <w:tcW w:w="850" w:type="dxa"/>
            <w:vAlign w:val="bottom"/>
          </w:tcPr>
          <w:p w14:paraId="57F2830C" w14:textId="77777777" w:rsidR="00BB2CB4" w:rsidRPr="00222C32" w:rsidRDefault="000674DA">
            <w:pPr>
              <w:pStyle w:val="Summarytabletextrightaligned"/>
            </w:pPr>
            <w:r w:rsidRPr="00222C32">
              <w:t>10.4</w:t>
            </w:r>
          </w:p>
        </w:tc>
        <w:tc>
          <w:tcPr>
            <w:tcW w:w="850" w:type="dxa"/>
            <w:vAlign w:val="bottom"/>
          </w:tcPr>
          <w:p w14:paraId="0D9A4D63" w14:textId="77777777" w:rsidR="00BB2CB4" w:rsidRPr="00222C32" w:rsidRDefault="000674DA">
            <w:pPr>
              <w:pStyle w:val="Summarytabletextrightaligned"/>
            </w:pPr>
            <w:r w:rsidRPr="00222C32">
              <w:t>12.0</w:t>
            </w:r>
          </w:p>
        </w:tc>
        <w:tc>
          <w:tcPr>
            <w:tcW w:w="850" w:type="dxa"/>
            <w:vAlign w:val="bottom"/>
          </w:tcPr>
          <w:p w14:paraId="73978343" w14:textId="77777777" w:rsidR="00BB2CB4" w:rsidRPr="00222C32" w:rsidRDefault="000674DA">
            <w:pPr>
              <w:pStyle w:val="Summarytabletextrightaligned"/>
            </w:pPr>
            <w:r w:rsidRPr="00222C32">
              <w:t>12.2</w:t>
            </w:r>
          </w:p>
        </w:tc>
      </w:tr>
      <w:tr w:rsidR="00BB2CB4" w:rsidRPr="00222C32" w14:paraId="05BEC56D" w14:textId="77777777" w:rsidTr="00825163">
        <w:tc>
          <w:tcPr>
            <w:tcW w:w="3471" w:type="dxa"/>
            <w:vAlign w:val="bottom"/>
          </w:tcPr>
          <w:p w14:paraId="376CF178" w14:textId="77777777" w:rsidR="00BB2CB4" w:rsidRPr="00222C32" w:rsidRDefault="000674DA">
            <w:pPr>
              <w:pStyle w:val="SummaryAgencyTitle-BP2"/>
            </w:pPr>
            <w:r w:rsidRPr="00222C32">
              <w:t>Department of Defence</w:t>
            </w:r>
          </w:p>
        </w:tc>
        <w:tc>
          <w:tcPr>
            <w:tcW w:w="850" w:type="dxa"/>
          </w:tcPr>
          <w:p w14:paraId="697861E8" w14:textId="77777777" w:rsidR="00BB2CB4" w:rsidRPr="00222C32" w:rsidRDefault="00BB2CB4">
            <w:pPr>
              <w:pStyle w:val="SummaryAgencyTitle-BP2"/>
            </w:pPr>
          </w:p>
        </w:tc>
        <w:tc>
          <w:tcPr>
            <w:tcW w:w="850" w:type="dxa"/>
            <w:shd w:val="clear" w:color="auto" w:fill="E6F2FF"/>
          </w:tcPr>
          <w:p w14:paraId="4A50EEE7" w14:textId="77777777" w:rsidR="00BB2CB4" w:rsidRPr="00222C32" w:rsidRDefault="00BB2CB4">
            <w:pPr>
              <w:pStyle w:val="SummaryAgencyTitle-BP2"/>
            </w:pPr>
          </w:p>
        </w:tc>
        <w:tc>
          <w:tcPr>
            <w:tcW w:w="850" w:type="dxa"/>
          </w:tcPr>
          <w:p w14:paraId="1DE9E3CB" w14:textId="77777777" w:rsidR="00BB2CB4" w:rsidRPr="00222C32" w:rsidRDefault="00BB2CB4">
            <w:pPr>
              <w:pStyle w:val="SummaryAgencyTitle-BP2"/>
            </w:pPr>
          </w:p>
        </w:tc>
        <w:tc>
          <w:tcPr>
            <w:tcW w:w="850" w:type="dxa"/>
          </w:tcPr>
          <w:p w14:paraId="30D4AE5A" w14:textId="77777777" w:rsidR="00BB2CB4" w:rsidRPr="00222C32" w:rsidRDefault="00BB2CB4">
            <w:pPr>
              <w:pStyle w:val="SummaryAgencyTitle-BP2"/>
            </w:pPr>
          </w:p>
        </w:tc>
        <w:tc>
          <w:tcPr>
            <w:tcW w:w="850" w:type="dxa"/>
          </w:tcPr>
          <w:p w14:paraId="6A3170BC" w14:textId="77777777" w:rsidR="00BB2CB4" w:rsidRPr="00222C32" w:rsidRDefault="00BB2CB4">
            <w:pPr>
              <w:pStyle w:val="SummaryAgencyTitle-BP2"/>
            </w:pPr>
          </w:p>
        </w:tc>
      </w:tr>
      <w:tr w:rsidR="00BB2CB4" w:rsidRPr="00222C32" w14:paraId="1E4EC5B6" w14:textId="77777777" w:rsidTr="00825163">
        <w:tc>
          <w:tcPr>
            <w:tcW w:w="3471" w:type="dxa"/>
            <w:vAlign w:val="bottom"/>
          </w:tcPr>
          <w:p w14:paraId="02A89402" w14:textId="77777777" w:rsidR="00BB2CB4" w:rsidRPr="00222C32" w:rsidRDefault="000674DA">
            <w:pPr>
              <w:pStyle w:val="SummaryMeasureTitlewithTheme"/>
            </w:pPr>
            <w:r w:rsidRPr="00222C32">
              <w:t>Continued Defence Support to Ukraine</w:t>
            </w:r>
          </w:p>
        </w:tc>
        <w:tc>
          <w:tcPr>
            <w:tcW w:w="850" w:type="dxa"/>
            <w:vAlign w:val="bottom"/>
          </w:tcPr>
          <w:p w14:paraId="1842C70D" w14:textId="77777777" w:rsidR="00BB2CB4" w:rsidRPr="00222C32" w:rsidRDefault="000674DA">
            <w:pPr>
              <w:pStyle w:val="Summarytabletextrightaligned"/>
            </w:pPr>
            <w:r w:rsidRPr="00222C32">
              <w:t>-</w:t>
            </w:r>
          </w:p>
        </w:tc>
        <w:tc>
          <w:tcPr>
            <w:tcW w:w="850" w:type="dxa"/>
            <w:shd w:val="clear" w:color="auto" w:fill="E6F2FF"/>
            <w:vAlign w:val="bottom"/>
          </w:tcPr>
          <w:p w14:paraId="54DB0BA6" w14:textId="77777777" w:rsidR="00BB2CB4" w:rsidRPr="00222C32" w:rsidRDefault="000674DA">
            <w:pPr>
              <w:pStyle w:val="Summarytabletextrightaligned"/>
            </w:pPr>
            <w:r w:rsidRPr="00222C32">
              <w:t>-</w:t>
            </w:r>
          </w:p>
        </w:tc>
        <w:tc>
          <w:tcPr>
            <w:tcW w:w="850" w:type="dxa"/>
            <w:vAlign w:val="bottom"/>
          </w:tcPr>
          <w:p w14:paraId="725ACC8C" w14:textId="77777777" w:rsidR="00BB2CB4" w:rsidRPr="00222C32" w:rsidRDefault="000674DA">
            <w:pPr>
              <w:pStyle w:val="Summarytabletextrightaligned"/>
            </w:pPr>
            <w:r w:rsidRPr="00222C32">
              <w:t>-</w:t>
            </w:r>
          </w:p>
        </w:tc>
        <w:tc>
          <w:tcPr>
            <w:tcW w:w="850" w:type="dxa"/>
            <w:vAlign w:val="bottom"/>
          </w:tcPr>
          <w:p w14:paraId="2066109F" w14:textId="77777777" w:rsidR="00BB2CB4" w:rsidRPr="00222C32" w:rsidRDefault="000674DA">
            <w:pPr>
              <w:pStyle w:val="Summarytabletextrightaligned"/>
            </w:pPr>
            <w:r w:rsidRPr="00222C32">
              <w:t>-</w:t>
            </w:r>
          </w:p>
        </w:tc>
        <w:tc>
          <w:tcPr>
            <w:tcW w:w="850" w:type="dxa"/>
            <w:vAlign w:val="bottom"/>
          </w:tcPr>
          <w:p w14:paraId="06985DAF" w14:textId="77777777" w:rsidR="00BB2CB4" w:rsidRPr="00222C32" w:rsidRDefault="000674DA">
            <w:pPr>
              <w:pStyle w:val="Summarytabletextrightaligned"/>
            </w:pPr>
            <w:r w:rsidRPr="00222C32">
              <w:t>-</w:t>
            </w:r>
          </w:p>
        </w:tc>
      </w:tr>
      <w:tr w:rsidR="00BB2CB4" w:rsidRPr="00222C32" w14:paraId="03E22C47" w14:textId="77777777" w:rsidTr="00825163">
        <w:tc>
          <w:tcPr>
            <w:tcW w:w="3471" w:type="dxa"/>
            <w:vAlign w:val="bottom"/>
          </w:tcPr>
          <w:p w14:paraId="4F03A75D" w14:textId="77777777" w:rsidR="00BB2CB4" w:rsidRPr="00222C32" w:rsidRDefault="000674DA">
            <w:pPr>
              <w:pStyle w:val="SummaryMeasureTitlewithTheme"/>
            </w:pPr>
            <w:r w:rsidRPr="00222C32">
              <w:t>Continuing to Support Veterans and their Families</w:t>
            </w:r>
          </w:p>
        </w:tc>
        <w:tc>
          <w:tcPr>
            <w:tcW w:w="850" w:type="dxa"/>
            <w:vAlign w:val="bottom"/>
          </w:tcPr>
          <w:p w14:paraId="5A38893A" w14:textId="77777777" w:rsidR="00BB2CB4" w:rsidRPr="00222C32" w:rsidRDefault="000674DA">
            <w:pPr>
              <w:pStyle w:val="Summarytabletextrightaligned"/>
            </w:pPr>
            <w:r w:rsidRPr="00222C32">
              <w:t>-</w:t>
            </w:r>
          </w:p>
        </w:tc>
        <w:tc>
          <w:tcPr>
            <w:tcW w:w="850" w:type="dxa"/>
            <w:shd w:val="clear" w:color="auto" w:fill="E6F2FF"/>
            <w:vAlign w:val="bottom"/>
          </w:tcPr>
          <w:p w14:paraId="45F56C3B" w14:textId="77777777" w:rsidR="00BB2CB4" w:rsidRPr="00222C32" w:rsidRDefault="000674DA">
            <w:pPr>
              <w:pStyle w:val="Summarytabletextrightaligned"/>
            </w:pPr>
            <w:r w:rsidRPr="00222C32">
              <w:t>-</w:t>
            </w:r>
          </w:p>
        </w:tc>
        <w:tc>
          <w:tcPr>
            <w:tcW w:w="850" w:type="dxa"/>
            <w:vAlign w:val="bottom"/>
          </w:tcPr>
          <w:p w14:paraId="7345FE6E" w14:textId="77777777" w:rsidR="00BB2CB4" w:rsidRPr="00222C32" w:rsidRDefault="000674DA">
            <w:pPr>
              <w:pStyle w:val="Summarytabletextrightaligned"/>
            </w:pPr>
            <w:r w:rsidRPr="00222C32">
              <w:t>-</w:t>
            </w:r>
          </w:p>
        </w:tc>
        <w:tc>
          <w:tcPr>
            <w:tcW w:w="850" w:type="dxa"/>
            <w:vAlign w:val="bottom"/>
          </w:tcPr>
          <w:p w14:paraId="5F3EAA7C" w14:textId="77777777" w:rsidR="00BB2CB4" w:rsidRPr="00222C32" w:rsidRDefault="000674DA">
            <w:pPr>
              <w:pStyle w:val="Summarytabletextrightaligned"/>
            </w:pPr>
            <w:r w:rsidRPr="00222C32">
              <w:t>-</w:t>
            </w:r>
          </w:p>
        </w:tc>
        <w:tc>
          <w:tcPr>
            <w:tcW w:w="850" w:type="dxa"/>
            <w:vAlign w:val="bottom"/>
          </w:tcPr>
          <w:p w14:paraId="021F3FE0" w14:textId="77777777" w:rsidR="00BB2CB4" w:rsidRPr="00222C32" w:rsidRDefault="000674DA">
            <w:pPr>
              <w:pStyle w:val="Summarytabletextrightaligned"/>
            </w:pPr>
            <w:r w:rsidRPr="00222C32">
              <w:t>-</w:t>
            </w:r>
          </w:p>
        </w:tc>
      </w:tr>
      <w:tr w:rsidR="00BB2CB4" w:rsidRPr="00222C32" w14:paraId="657649B0" w14:textId="77777777" w:rsidTr="00825163">
        <w:tc>
          <w:tcPr>
            <w:tcW w:w="3471" w:type="dxa"/>
            <w:vAlign w:val="bottom"/>
          </w:tcPr>
          <w:p w14:paraId="16C9403E" w14:textId="6B41CCFB" w:rsidR="00BB2CB4" w:rsidRPr="00222C32" w:rsidRDefault="000674DA">
            <w:pPr>
              <w:pStyle w:val="SummaryMeasureTitlewithTheme"/>
            </w:pPr>
            <w:r w:rsidRPr="00222C32">
              <w:t>Department of Veterans</w:t>
            </w:r>
            <w:r w:rsidR="00A67A30">
              <w:t>’</w:t>
            </w:r>
            <w:r w:rsidRPr="00222C32">
              <w:t xml:space="preserve"> Affairs – establishing the Agency for Veteran and Family Wellbeing</w:t>
            </w:r>
          </w:p>
        </w:tc>
        <w:tc>
          <w:tcPr>
            <w:tcW w:w="850" w:type="dxa"/>
            <w:vAlign w:val="bottom"/>
          </w:tcPr>
          <w:p w14:paraId="41B24795" w14:textId="77777777" w:rsidR="00BB2CB4" w:rsidRPr="00222C32" w:rsidRDefault="000674DA">
            <w:pPr>
              <w:pStyle w:val="Summarytabletextrightaligned"/>
            </w:pPr>
            <w:r w:rsidRPr="00222C32">
              <w:t>-</w:t>
            </w:r>
          </w:p>
        </w:tc>
        <w:tc>
          <w:tcPr>
            <w:tcW w:w="850" w:type="dxa"/>
            <w:shd w:val="clear" w:color="auto" w:fill="E6F2FF"/>
            <w:vAlign w:val="bottom"/>
          </w:tcPr>
          <w:p w14:paraId="6F70EB24" w14:textId="77777777" w:rsidR="00BB2CB4" w:rsidRPr="00222C32" w:rsidRDefault="000674DA">
            <w:pPr>
              <w:pStyle w:val="Summarytabletextrightaligned"/>
            </w:pPr>
            <w:r w:rsidRPr="00222C32">
              <w:t>-10.7</w:t>
            </w:r>
          </w:p>
        </w:tc>
        <w:tc>
          <w:tcPr>
            <w:tcW w:w="850" w:type="dxa"/>
            <w:vAlign w:val="bottom"/>
          </w:tcPr>
          <w:p w14:paraId="59F9BBAA" w14:textId="77777777" w:rsidR="00BB2CB4" w:rsidRPr="00222C32" w:rsidRDefault="000674DA">
            <w:pPr>
              <w:pStyle w:val="Summarytabletextrightaligned"/>
            </w:pPr>
            <w:r w:rsidRPr="00222C32">
              <w:t>-23.8</w:t>
            </w:r>
          </w:p>
        </w:tc>
        <w:tc>
          <w:tcPr>
            <w:tcW w:w="850" w:type="dxa"/>
            <w:vAlign w:val="bottom"/>
          </w:tcPr>
          <w:p w14:paraId="5CA13EB3" w14:textId="77777777" w:rsidR="00BB2CB4" w:rsidRPr="00222C32" w:rsidRDefault="000674DA">
            <w:pPr>
              <w:pStyle w:val="Summarytabletextrightaligned"/>
            </w:pPr>
            <w:r w:rsidRPr="00222C32">
              <w:t>-22.9</w:t>
            </w:r>
          </w:p>
        </w:tc>
        <w:tc>
          <w:tcPr>
            <w:tcW w:w="850" w:type="dxa"/>
            <w:vAlign w:val="bottom"/>
          </w:tcPr>
          <w:p w14:paraId="30EF3FFB" w14:textId="77777777" w:rsidR="00BB2CB4" w:rsidRPr="00222C32" w:rsidRDefault="000674DA">
            <w:pPr>
              <w:pStyle w:val="Summarytabletextrightaligned"/>
            </w:pPr>
            <w:r w:rsidRPr="00222C32">
              <w:t>-20.6</w:t>
            </w:r>
          </w:p>
        </w:tc>
      </w:tr>
      <w:tr w:rsidR="00BB2CB4" w:rsidRPr="00222C32" w14:paraId="2E5A928E" w14:textId="77777777" w:rsidTr="00825163">
        <w:tc>
          <w:tcPr>
            <w:tcW w:w="3471" w:type="dxa"/>
            <w:vAlign w:val="bottom"/>
          </w:tcPr>
          <w:p w14:paraId="05F5C60C" w14:textId="566199C4" w:rsidR="00BB2CB4" w:rsidRPr="00222C32" w:rsidRDefault="000674DA">
            <w:pPr>
              <w:pStyle w:val="SummaryMeasureTitlewithTheme"/>
            </w:pPr>
            <w:r w:rsidRPr="00222C32">
              <w:t>Establishment of the Defence and Veterans</w:t>
            </w:r>
            <w:r w:rsidR="00A67A30">
              <w:t>’</w:t>
            </w:r>
            <w:r w:rsidRPr="00222C32">
              <w:t xml:space="preserve"> Services Commission</w:t>
            </w:r>
          </w:p>
        </w:tc>
        <w:tc>
          <w:tcPr>
            <w:tcW w:w="850" w:type="dxa"/>
            <w:vAlign w:val="bottom"/>
          </w:tcPr>
          <w:p w14:paraId="40BB7D6C" w14:textId="77777777" w:rsidR="00BB2CB4" w:rsidRPr="00222C32" w:rsidRDefault="000674DA">
            <w:pPr>
              <w:pStyle w:val="Summarytabletextrightaligned"/>
            </w:pPr>
            <w:r w:rsidRPr="00222C32">
              <w:t>-</w:t>
            </w:r>
          </w:p>
        </w:tc>
        <w:tc>
          <w:tcPr>
            <w:tcW w:w="850" w:type="dxa"/>
            <w:shd w:val="clear" w:color="auto" w:fill="E6F2FF"/>
            <w:vAlign w:val="bottom"/>
          </w:tcPr>
          <w:p w14:paraId="73C76183" w14:textId="77777777" w:rsidR="00BB2CB4" w:rsidRPr="00222C32" w:rsidRDefault="000674DA">
            <w:pPr>
              <w:pStyle w:val="Summarytabletextrightaligned"/>
            </w:pPr>
            <w:r w:rsidRPr="00222C32">
              <w:t>-10.0</w:t>
            </w:r>
          </w:p>
        </w:tc>
        <w:tc>
          <w:tcPr>
            <w:tcW w:w="850" w:type="dxa"/>
            <w:vAlign w:val="bottom"/>
          </w:tcPr>
          <w:p w14:paraId="42F4D128" w14:textId="77777777" w:rsidR="00BB2CB4" w:rsidRPr="00222C32" w:rsidRDefault="000674DA">
            <w:pPr>
              <w:pStyle w:val="Summarytabletextrightaligned"/>
            </w:pPr>
            <w:r w:rsidRPr="00222C32">
              <w:t>-10.4</w:t>
            </w:r>
          </w:p>
        </w:tc>
        <w:tc>
          <w:tcPr>
            <w:tcW w:w="850" w:type="dxa"/>
            <w:vAlign w:val="bottom"/>
          </w:tcPr>
          <w:p w14:paraId="4508BB08" w14:textId="77777777" w:rsidR="00BB2CB4" w:rsidRPr="00222C32" w:rsidRDefault="000674DA">
            <w:pPr>
              <w:pStyle w:val="Summarytabletextrightaligned"/>
            </w:pPr>
            <w:r w:rsidRPr="00222C32">
              <w:t>-12.0</w:t>
            </w:r>
          </w:p>
        </w:tc>
        <w:tc>
          <w:tcPr>
            <w:tcW w:w="850" w:type="dxa"/>
            <w:vAlign w:val="bottom"/>
          </w:tcPr>
          <w:p w14:paraId="7AFBF107" w14:textId="77777777" w:rsidR="00BB2CB4" w:rsidRPr="00222C32" w:rsidRDefault="000674DA">
            <w:pPr>
              <w:pStyle w:val="Summarytabletextrightaligned"/>
            </w:pPr>
            <w:r w:rsidRPr="00222C32">
              <w:t>-12.2</w:t>
            </w:r>
          </w:p>
        </w:tc>
      </w:tr>
      <w:tr w:rsidR="00BB2CB4" w:rsidRPr="00222C32" w14:paraId="6887827B" w14:textId="77777777" w:rsidTr="00825163">
        <w:tc>
          <w:tcPr>
            <w:tcW w:w="3471" w:type="dxa"/>
            <w:vAlign w:val="bottom"/>
          </w:tcPr>
          <w:p w14:paraId="63B5128C" w14:textId="77777777" w:rsidR="00BB2CB4" w:rsidRPr="00222C32" w:rsidRDefault="000674DA">
            <w:pPr>
              <w:pStyle w:val="SummaryMeasureTitlewithTheme"/>
            </w:pPr>
            <w:r w:rsidRPr="00222C32">
              <w:t>Further Investment in Defence Naval Shipbuilding in Australia</w:t>
            </w:r>
          </w:p>
        </w:tc>
        <w:tc>
          <w:tcPr>
            <w:tcW w:w="850" w:type="dxa"/>
            <w:vAlign w:val="bottom"/>
          </w:tcPr>
          <w:p w14:paraId="34957135" w14:textId="77777777" w:rsidR="00BB2CB4" w:rsidRPr="00222C32" w:rsidRDefault="000674DA">
            <w:pPr>
              <w:pStyle w:val="Summarytabletextrightaligned"/>
            </w:pPr>
            <w:r w:rsidRPr="00222C32">
              <w:t>-</w:t>
            </w:r>
          </w:p>
        </w:tc>
        <w:tc>
          <w:tcPr>
            <w:tcW w:w="850" w:type="dxa"/>
            <w:shd w:val="clear" w:color="auto" w:fill="E6F2FF"/>
            <w:vAlign w:val="bottom"/>
          </w:tcPr>
          <w:p w14:paraId="6424CAC1"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2833968" w14:textId="77777777" w:rsidR="00BB2CB4" w:rsidRPr="00222C32" w:rsidRDefault="000674DA">
            <w:pPr>
              <w:pStyle w:val="Summarytabletextrightaligned"/>
              <w:rPr>
                <w:lang w:val="en-US"/>
              </w:rPr>
            </w:pPr>
            <w:r w:rsidRPr="00222C32">
              <w:rPr>
                <w:lang w:val="en-US"/>
              </w:rPr>
              <w:t>nfp</w:t>
            </w:r>
          </w:p>
        </w:tc>
        <w:tc>
          <w:tcPr>
            <w:tcW w:w="850" w:type="dxa"/>
            <w:vAlign w:val="bottom"/>
          </w:tcPr>
          <w:p w14:paraId="2F3E4F2E" w14:textId="77777777" w:rsidR="00BB2CB4" w:rsidRPr="00222C32" w:rsidRDefault="000674DA">
            <w:pPr>
              <w:pStyle w:val="Summarytabletextrightaligned"/>
              <w:rPr>
                <w:lang w:val="en-US"/>
              </w:rPr>
            </w:pPr>
            <w:r w:rsidRPr="00222C32">
              <w:rPr>
                <w:lang w:val="en-US"/>
              </w:rPr>
              <w:t>nfp</w:t>
            </w:r>
          </w:p>
        </w:tc>
        <w:tc>
          <w:tcPr>
            <w:tcW w:w="850" w:type="dxa"/>
            <w:vAlign w:val="bottom"/>
          </w:tcPr>
          <w:p w14:paraId="0470700E" w14:textId="77777777" w:rsidR="00BB2CB4" w:rsidRPr="00222C32" w:rsidRDefault="000674DA">
            <w:pPr>
              <w:pStyle w:val="Summarytabletextrightaligned"/>
              <w:rPr>
                <w:lang w:val="en-US"/>
              </w:rPr>
            </w:pPr>
            <w:r w:rsidRPr="00222C32">
              <w:rPr>
                <w:lang w:val="en-US"/>
              </w:rPr>
              <w:t>nfp</w:t>
            </w:r>
          </w:p>
        </w:tc>
      </w:tr>
      <w:tr w:rsidR="00BB2CB4" w:rsidRPr="00222C32" w14:paraId="3E543225" w14:textId="77777777" w:rsidTr="00825163">
        <w:tc>
          <w:tcPr>
            <w:tcW w:w="3471" w:type="dxa"/>
            <w:vAlign w:val="bottom"/>
          </w:tcPr>
          <w:p w14:paraId="31A587C5" w14:textId="77777777" w:rsidR="00BB2CB4" w:rsidRPr="00222C32" w:rsidRDefault="000674DA">
            <w:pPr>
              <w:pStyle w:val="SummaryMeasureTitlewithTheme"/>
            </w:pPr>
            <w:r w:rsidRPr="00222C32">
              <w:t>Guardian‑class Patrol Boat to the Republic of the Maldives</w:t>
            </w:r>
          </w:p>
        </w:tc>
        <w:tc>
          <w:tcPr>
            <w:tcW w:w="850" w:type="dxa"/>
            <w:vAlign w:val="bottom"/>
          </w:tcPr>
          <w:p w14:paraId="3656574D" w14:textId="77777777" w:rsidR="00BB2CB4" w:rsidRPr="00222C32" w:rsidRDefault="000674DA">
            <w:pPr>
              <w:pStyle w:val="Summarytabletextrightaligned"/>
            </w:pPr>
            <w:r w:rsidRPr="00222C32">
              <w:t>-</w:t>
            </w:r>
          </w:p>
        </w:tc>
        <w:tc>
          <w:tcPr>
            <w:tcW w:w="850" w:type="dxa"/>
            <w:shd w:val="clear" w:color="auto" w:fill="E6F2FF"/>
            <w:vAlign w:val="bottom"/>
          </w:tcPr>
          <w:p w14:paraId="295FEA6F" w14:textId="77777777" w:rsidR="00BB2CB4" w:rsidRPr="00222C32" w:rsidRDefault="000674DA">
            <w:pPr>
              <w:pStyle w:val="Summarytabletextrightaligned"/>
            </w:pPr>
            <w:r w:rsidRPr="00222C32">
              <w:t>-</w:t>
            </w:r>
          </w:p>
        </w:tc>
        <w:tc>
          <w:tcPr>
            <w:tcW w:w="850" w:type="dxa"/>
            <w:vAlign w:val="bottom"/>
          </w:tcPr>
          <w:p w14:paraId="5FB16669" w14:textId="77777777" w:rsidR="00BB2CB4" w:rsidRPr="00222C32" w:rsidRDefault="000674DA">
            <w:pPr>
              <w:pStyle w:val="Summarytabletextrightaligned"/>
            </w:pPr>
            <w:r w:rsidRPr="00222C32">
              <w:t>-</w:t>
            </w:r>
          </w:p>
        </w:tc>
        <w:tc>
          <w:tcPr>
            <w:tcW w:w="850" w:type="dxa"/>
            <w:vAlign w:val="bottom"/>
          </w:tcPr>
          <w:p w14:paraId="33B2ABED" w14:textId="77777777" w:rsidR="00BB2CB4" w:rsidRPr="00222C32" w:rsidRDefault="000674DA">
            <w:pPr>
              <w:pStyle w:val="Summarytabletextrightaligned"/>
            </w:pPr>
            <w:r w:rsidRPr="00222C32">
              <w:t>-</w:t>
            </w:r>
          </w:p>
        </w:tc>
        <w:tc>
          <w:tcPr>
            <w:tcW w:w="850" w:type="dxa"/>
            <w:vAlign w:val="bottom"/>
          </w:tcPr>
          <w:p w14:paraId="687A7E82" w14:textId="77777777" w:rsidR="00BB2CB4" w:rsidRPr="00222C32" w:rsidRDefault="000674DA">
            <w:pPr>
              <w:pStyle w:val="Summarytabletextrightaligned"/>
            </w:pPr>
            <w:r w:rsidRPr="00222C32">
              <w:t>-</w:t>
            </w:r>
          </w:p>
        </w:tc>
      </w:tr>
      <w:tr w:rsidR="00BB2CB4" w:rsidRPr="00222C32" w14:paraId="7B8CB11D" w14:textId="77777777" w:rsidTr="00825163">
        <w:tc>
          <w:tcPr>
            <w:tcW w:w="3471" w:type="dxa"/>
            <w:vAlign w:val="bottom"/>
          </w:tcPr>
          <w:p w14:paraId="3F148504" w14:textId="77777777" w:rsidR="00BB2CB4" w:rsidRPr="00222C32" w:rsidRDefault="000674DA">
            <w:pPr>
              <w:pStyle w:val="SummaryMeasureTitlewithTheme"/>
            </w:pPr>
            <w:r w:rsidRPr="00222C32">
              <w:t>Nuclear‑Powered Submarine Program – further program support</w:t>
            </w:r>
          </w:p>
        </w:tc>
        <w:tc>
          <w:tcPr>
            <w:tcW w:w="850" w:type="dxa"/>
            <w:vAlign w:val="bottom"/>
          </w:tcPr>
          <w:p w14:paraId="113FC08D" w14:textId="77777777" w:rsidR="00BB2CB4" w:rsidRPr="00222C32" w:rsidRDefault="000674DA">
            <w:pPr>
              <w:pStyle w:val="Summarytabletextrightaligned"/>
            </w:pPr>
            <w:r w:rsidRPr="00222C32">
              <w:t>-</w:t>
            </w:r>
          </w:p>
        </w:tc>
        <w:tc>
          <w:tcPr>
            <w:tcW w:w="850" w:type="dxa"/>
            <w:shd w:val="clear" w:color="auto" w:fill="E6F2FF"/>
            <w:vAlign w:val="bottom"/>
          </w:tcPr>
          <w:p w14:paraId="55CA8962"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6055C3A" w14:textId="77777777" w:rsidR="00BB2CB4" w:rsidRPr="00222C32" w:rsidRDefault="000674DA">
            <w:pPr>
              <w:pStyle w:val="Summarytabletextrightaligned"/>
              <w:rPr>
                <w:lang w:val="en-US"/>
              </w:rPr>
            </w:pPr>
            <w:r w:rsidRPr="00222C32">
              <w:rPr>
                <w:lang w:val="en-US"/>
              </w:rPr>
              <w:t>nfp</w:t>
            </w:r>
          </w:p>
        </w:tc>
        <w:tc>
          <w:tcPr>
            <w:tcW w:w="850" w:type="dxa"/>
            <w:vAlign w:val="bottom"/>
          </w:tcPr>
          <w:p w14:paraId="26AFFEEE" w14:textId="77777777" w:rsidR="00BB2CB4" w:rsidRPr="00222C32" w:rsidRDefault="000674DA">
            <w:pPr>
              <w:pStyle w:val="Summarytabletextrightaligned"/>
              <w:rPr>
                <w:lang w:val="en-US"/>
              </w:rPr>
            </w:pPr>
            <w:r w:rsidRPr="00222C32">
              <w:rPr>
                <w:lang w:val="en-US"/>
              </w:rPr>
              <w:t>nfp</w:t>
            </w:r>
          </w:p>
        </w:tc>
        <w:tc>
          <w:tcPr>
            <w:tcW w:w="850" w:type="dxa"/>
            <w:vAlign w:val="bottom"/>
          </w:tcPr>
          <w:p w14:paraId="48D3AC7A" w14:textId="77777777" w:rsidR="00BB2CB4" w:rsidRPr="00222C32" w:rsidRDefault="000674DA">
            <w:pPr>
              <w:pStyle w:val="Summarytabletextrightaligned"/>
              <w:rPr>
                <w:lang w:val="en-US"/>
              </w:rPr>
            </w:pPr>
            <w:r w:rsidRPr="00222C32">
              <w:rPr>
                <w:lang w:val="en-US"/>
              </w:rPr>
              <w:t>nfp</w:t>
            </w:r>
          </w:p>
        </w:tc>
      </w:tr>
      <w:tr w:rsidR="00BB2CB4" w:rsidRPr="00222C32" w14:paraId="044496B5" w14:textId="77777777" w:rsidTr="00825163">
        <w:tc>
          <w:tcPr>
            <w:tcW w:w="3471" w:type="dxa"/>
            <w:tcBorders>
              <w:bottom w:val="nil"/>
            </w:tcBorders>
            <w:vAlign w:val="bottom"/>
          </w:tcPr>
          <w:p w14:paraId="5F739BD8" w14:textId="77777777" w:rsidR="00BB2CB4" w:rsidRPr="00222C32" w:rsidRDefault="000674DA">
            <w:pPr>
              <w:pStyle w:val="SummaryMeasureTitlewithTheme"/>
            </w:pPr>
            <w:r w:rsidRPr="00222C32">
              <w:t>Papua New Guinea – Australia Mutual Defence Treaty</w:t>
            </w:r>
          </w:p>
        </w:tc>
        <w:tc>
          <w:tcPr>
            <w:tcW w:w="850" w:type="dxa"/>
            <w:tcBorders>
              <w:bottom w:val="nil"/>
            </w:tcBorders>
            <w:vAlign w:val="bottom"/>
          </w:tcPr>
          <w:p w14:paraId="712EA67A"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25B57D93" w14:textId="77777777" w:rsidR="00BB2CB4" w:rsidRPr="00222C32" w:rsidRDefault="000674DA">
            <w:pPr>
              <w:pStyle w:val="Summarytabletextrightaligned"/>
            </w:pPr>
            <w:r w:rsidRPr="00222C32">
              <w:t>-</w:t>
            </w:r>
          </w:p>
        </w:tc>
        <w:tc>
          <w:tcPr>
            <w:tcW w:w="850" w:type="dxa"/>
            <w:tcBorders>
              <w:bottom w:val="nil"/>
            </w:tcBorders>
            <w:vAlign w:val="bottom"/>
          </w:tcPr>
          <w:p w14:paraId="3E9F2F91" w14:textId="77777777" w:rsidR="00BB2CB4" w:rsidRPr="00222C32" w:rsidRDefault="000674DA">
            <w:pPr>
              <w:pStyle w:val="Summarytabletextrightaligned"/>
            </w:pPr>
            <w:r w:rsidRPr="00222C32">
              <w:t>-</w:t>
            </w:r>
          </w:p>
        </w:tc>
        <w:tc>
          <w:tcPr>
            <w:tcW w:w="850" w:type="dxa"/>
            <w:tcBorders>
              <w:bottom w:val="nil"/>
            </w:tcBorders>
            <w:vAlign w:val="bottom"/>
          </w:tcPr>
          <w:p w14:paraId="7BF0AC3B" w14:textId="77777777" w:rsidR="00BB2CB4" w:rsidRPr="00222C32" w:rsidRDefault="000674DA">
            <w:pPr>
              <w:pStyle w:val="Summarytabletextrightaligned"/>
            </w:pPr>
            <w:r w:rsidRPr="00222C32">
              <w:t>-</w:t>
            </w:r>
          </w:p>
        </w:tc>
        <w:tc>
          <w:tcPr>
            <w:tcW w:w="850" w:type="dxa"/>
            <w:tcBorders>
              <w:bottom w:val="nil"/>
            </w:tcBorders>
            <w:vAlign w:val="bottom"/>
          </w:tcPr>
          <w:p w14:paraId="5B0C5C7A" w14:textId="77777777" w:rsidR="00BB2CB4" w:rsidRPr="00222C32" w:rsidRDefault="000674DA">
            <w:pPr>
              <w:pStyle w:val="Summarytabletextrightaligned"/>
            </w:pPr>
            <w:r w:rsidRPr="00222C32">
              <w:t>-</w:t>
            </w:r>
          </w:p>
        </w:tc>
      </w:tr>
      <w:tr w:rsidR="00BB2CB4" w:rsidRPr="00222C32" w14:paraId="6DE97F13" w14:textId="77777777" w:rsidTr="00825163">
        <w:tc>
          <w:tcPr>
            <w:tcW w:w="3471" w:type="dxa"/>
            <w:tcBorders>
              <w:top w:val="nil"/>
              <w:bottom w:val="single" w:sz="4" w:space="0" w:color="293F5B"/>
            </w:tcBorders>
            <w:vAlign w:val="bottom"/>
          </w:tcPr>
          <w:p w14:paraId="56563DD2" w14:textId="77777777" w:rsidR="00BB2CB4" w:rsidRPr="00222C32" w:rsidRDefault="000674DA">
            <w:pPr>
              <w:pStyle w:val="SummaryMeasureTitlewithTheme"/>
            </w:pPr>
            <w:r w:rsidRPr="00222C32">
              <w:t>Supporting Defence Community Engagement(b)</w:t>
            </w:r>
          </w:p>
        </w:tc>
        <w:tc>
          <w:tcPr>
            <w:tcW w:w="850" w:type="dxa"/>
            <w:tcBorders>
              <w:top w:val="nil"/>
              <w:bottom w:val="single" w:sz="4" w:space="0" w:color="293F5B"/>
            </w:tcBorders>
            <w:vAlign w:val="bottom"/>
          </w:tcPr>
          <w:p w14:paraId="458E979A"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0A5AC185" w14:textId="77777777" w:rsidR="00BB2CB4" w:rsidRPr="00222C32" w:rsidRDefault="000674DA">
            <w:pPr>
              <w:pStyle w:val="Summarytabletextrightaligned"/>
            </w:pPr>
            <w:r w:rsidRPr="00222C32">
              <w:t>1.7</w:t>
            </w:r>
          </w:p>
        </w:tc>
        <w:tc>
          <w:tcPr>
            <w:tcW w:w="850" w:type="dxa"/>
            <w:tcBorders>
              <w:top w:val="nil"/>
              <w:bottom w:val="single" w:sz="4" w:space="0" w:color="293F5B"/>
            </w:tcBorders>
            <w:vAlign w:val="bottom"/>
          </w:tcPr>
          <w:p w14:paraId="56BEC53C"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6FA1784B"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2090CBDC" w14:textId="77777777" w:rsidR="00BB2CB4" w:rsidRPr="00222C32" w:rsidRDefault="000674DA">
            <w:pPr>
              <w:pStyle w:val="Summarytabletextrightaligned"/>
            </w:pPr>
            <w:r w:rsidRPr="00222C32">
              <w:t>-</w:t>
            </w:r>
          </w:p>
        </w:tc>
      </w:tr>
    </w:tbl>
    <w:p w14:paraId="31BCF909"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39AA8EEF" w14:textId="2B4D9E12"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443DA59D" w14:textId="77777777" w:rsidTr="00825163">
        <w:tc>
          <w:tcPr>
            <w:tcW w:w="3471" w:type="dxa"/>
            <w:tcBorders>
              <w:top w:val="single" w:sz="4" w:space="0" w:color="293F5B"/>
              <w:bottom w:val="nil"/>
            </w:tcBorders>
            <w:vAlign w:val="bottom"/>
          </w:tcPr>
          <w:p w14:paraId="5F3A374C" w14:textId="77777777" w:rsidR="000D63FB" w:rsidRPr="00222C32" w:rsidRDefault="000D63FB" w:rsidP="000D63FB"/>
        </w:tc>
        <w:tc>
          <w:tcPr>
            <w:tcW w:w="850" w:type="dxa"/>
            <w:tcBorders>
              <w:top w:val="single" w:sz="4" w:space="0" w:color="293F5B"/>
              <w:bottom w:val="nil"/>
            </w:tcBorders>
          </w:tcPr>
          <w:p w14:paraId="57683B98"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54C32004"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5CB02593"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6C9E565C"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1163FF16" w14:textId="77777777" w:rsidR="000D63FB" w:rsidRPr="00222C32" w:rsidRDefault="000D63FB" w:rsidP="000D63FB">
            <w:pPr>
              <w:pStyle w:val="Summarytabletextrightaligned"/>
            </w:pPr>
            <w:r w:rsidRPr="00222C32">
              <w:t>2028-29</w:t>
            </w:r>
          </w:p>
        </w:tc>
      </w:tr>
      <w:tr w:rsidR="000D63FB" w:rsidRPr="00222C32" w14:paraId="3CB3E805" w14:textId="77777777" w:rsidTr="00825163">
        <w:tc>
          <w:tcPr>
            <w:tcW w:w="3471" w:type="dxa"/>
            <w:tcBorders>
              <w:top w:val="nil"/>
            </w:tcBorders>
            <w:vAlign w:val="bottom"/>
          </w:tcPr>
          <w:p w14:paraId="0C0761D6" w14:textId="77777777" w:rsidR="000D63FB" w:rsidRPr="00222C32" w:rsidRDefault="000D63FB" w:rsidP="000D63FB"/>
        </w:tc>
        <w:tc>
          <w:tcPr>
            <w:tcW w:w="850" w:type="dxa"/>
            <w:tcBorders>
              <w:top w:val="nil"/>
              <w:bottom w:val="single" w:sz="4" w:space="0" w:color="293F5B"/>
            </w:tcBorders>
          </w:tcPr>
          <w:p w14:paraId="12411481"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65BC5075"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0467902B"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1412782C"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398EC74" w14:textId="77777777" w:rsidR="000D63FB" w:rsidRPr="00222C32" w:rsidRDefault="000D63FB" w:rsidP="000D63FB">
            <w:pPr>
              <w:pStyle w:val="Summarytabletextrightaligned"/>
            </w:pPr>
            <w:r w:rsidRPr="00222C32">
              <w:t>$m</w:t>
            </w:r>
          </w:p>
        </w:tc>
      </w:tr>
      <w:tr w:rsidR="000D63FB" w:rsidRPr="00222C32" w14:paraId="1AAF1961" w14:textId="77777777" w:rsidTr="00825163">
        <w:tc>
          <w:tcPr>
            <w:tcW w:w="3471" w:type="dxa"/>
            <w:tcBorders>
              <w:bottom w:val="nil"/>
            </w:tcBorders>
            <w:vAlign w:val="bottom"/>
          </w:tcPr>
          <w:p w14:paraId="5CD8E567" w14:textId="77777777" w:rsidR="000D63FB" w:rsidRPr="00222C32" w:rsidRDefault="000D63FB" w:rsidP="000D63FB">
            <w:pPr>
              <w:pStyle w:val="SummaryMeasureTitlewithTheme"/>
              <w:rPr>
                <w:b/>
              </w:rPr>
            </w:pPr>
            <w:r w:rsidRPr="00222C32">
              <w:rPr>
                <w:b/>
              </w:rPr>
              <w:t>DEFENCE (continued)</w:t>
            </w:r>
          </w:p>
        </w:tc>
        <w:tc>
          <w:tcPr>
            <w:tcW w:w="850" w:type="dxa"/>
            <w:tcBorders>
              <w:top w:val="single" w:sz="4" w:space="0" w:color="293F5B"/>
              <w:bottom w:val="nil"/>
            </w:tcBorders>
          </w:tcPr>
          <w:p w14:paraId="07E5753E" w14:textId="77777777" w:rsidR="000D63FB" w:rsidRPr="00222C32" w:rsidRDefault="000D63FB">
            <w:pPr>
              <w:pStyle w:val="SummaryAgencyTitle-BP2"/>
            </w:pPr>
          </w:p>
        </w:tc>
        <w:tc>
          <w:tcPr>
            <w:tcW w:w="850" w:type="dxa"/>
            <w:tcBorders>
              <w:top w:val="single" w:sz="4" w:space="0" w:color="293F5B"/>
              <w:bottom w:val="nil"/>
            </w:tcBorders>
            <w:shd w:val="clear" w:color="auto" w:fill="E6F2FF"/>
          </w:tcPr>
          <w:p w14:paraId="08CF7051" w14:textId="77777777" w:rsidR="000D63FB" w:rsidRPr="00222C32" w:rsidRDefault="000D63FB">
            <w:pPr>
              <w:pStyle w:val="SummaryAgencyTitle-BP2"/>
            </w:pPr>
          </w:p>
        </w:tc>
        <w:tc>
          <w:tcPr>
            <w:tcW w:w="850" w:type="dxa"/>
            <w:tcBorders>
              <w:top w:val="single" w:sz="4" w:space="0" w:color="293F5B"/>
              <w:bottom w:val="nil"/>
            </w:tcBorders>
          </w:tcPr>
          <w:p w14:paraId="19148E06" w14:textId="77777777" w:rsidR="000D63FB" w:rsidRPr="00222C32" w:rsidRDefault="000D63FB">
            <w:pPr>
              <w:pStyle w:val="SummaryAgencyTitle-BP2"/>
            </w:pPr>
          </w:p>
        </w:tc>
        <w:tc>
          <w:tcPr>
            <w:tcW w:w="850" w:type="dxa"/>
            <w:tcBorders>
              <w:top w:val="single" w:sz="4" w:space="0" w:color="293F5B"/>
              <w:bottom w:val="nil"/>
            </w:tcBorders>
          </w:tcPr>
          <w:p w14:paraId="4499314E" w14:textId="77777777" w:rsidR="000D63FB" w:rsidRPr="00222C32" w:rsidRDefault="000D63FB">
            <w:pPr>
              <w:pStyle w:val="SummaryAgencyTitle-BP2"/>
            </w:pPr>
          </w:p>
        </w:tc>
        <w:tc>
          <w:tcPr>
            <w:tcW w:w="850" w:type="dxa"/>
            <w:tcBorders>
              <w:top w:val="single" w:sz="4" w:space="0" w:color="293F5B"/>
              <w:bottom w:val="nil"/>
            </w:tcBorders>
          </w:tcPr>
          <w:p w14:paraId="44054EDC" w14:textId="77777777" w:rsidR="000D63FB" w:rsidRPr="00222C32" w:rsidRDefault="000D63FB">
            <w:pPr>
              <w:pStyle w:val="SummaryAgencyTitle-BP2"/>
            </w:pPr>
          </w:p>
        </w:tc>
      </w:tr>
      <w:tr w:rsidR="00BB2CB4" w:rsidRPr="00222C32" w14:paraId="6851EC3D" w14:textId="77777777" w:rsidTr="00825163">
        <w:tc>
          <w:tcPr>
            <w:tcW w:w="3471" w:type="dxa"/>
            <w:tcBorders>
              <w:top w:val="nil"/>
            </w:tcBorders>
            <w:vAlign w:val="bottom"/>
          </w:tcPr>
          <w:p w14:paraId="4A6D4E58" w14:textId="7954D349" w:rsidR="00BB2CB4" w:rsidRPr="00222C32" w:rsidRDefault="000674DA">
            <w:pPr>
              <w:pStyle w:val="SummaryAgencyTitle-BP2"/>
            </w:pPr>
            <w:r w:rsidRPr="00222C32">
              <w:t>Department of Veterans</w:t>
            </w:r>
            <w:r w:rsidR="00A67A30">
              <w:t>’</w:t>
            </w:r>
            <w:r w:rsidRPr="00222C32">
              <w:t xml:space="preserve"> Affairs</w:t>
            </w:r>
          </w:p>
        </w:tc>
        <w:tc>
          <w:tcPr>
            <w:tcW w:w="850" w:type="dxa"/>
            <w:tcBorders>
              <w:top w:val="nil"/>
            </w:tcBorders>
          </w:tcPr>
          <w:p w14:paraId="5E6350F8" w14:textId="77777777" w:rsidR="00BB2CB4" w:rsidRPr="00222C32" w:rsidRDefault="00BB2CB4">
            <w:pPr>
              <w:pStyle w:val="SummaryAgencyTitle-BP2"/>
            </w:pPr>
          </w:p>
        </w:tc>
        <w:tc>
          <w:tcPr>
            <w:tcW w:w="850" w:type="dxa"/>
            <w:tcBorders>
              <w:top w:val="nil"/>
            </w:tcBorders>
            <w:shd w:val="clear" w:color="auto" w:fill="E6F2FF"/>
          </w:tcPr>
          <w:p w14:paraId="2326337B" w14:textId="77777777" w:rsidR="00BB2CB4" w:rsidRPr="00222C32" w:rsidRDefault="00BB2CB4">
            <w:pPr>
              <w:pStyle w:val="SummaryAgencyTitle-BP2"/>
            </w:pPr>
          </w:p>
        </w:tc>
        <w:tc>
          <w:tcPr>
            <w:tcW w:w="850" w:type="dxa"/>
            <w:tcBorders>
              <w:top w:val="nil"/>
            </w:tcBorders>
          </w:tcPr>
          <w:p w14:paraId="0B91B30E" w14:textId="77777777" w:rsidR="00BB2CB4" w:rsidRPr="00222C32" w:rsidRDefault="00BB2CB4">
            <w:pPr>
              <w:pStyle w:val="SummaryAgencyTitle-BP2"/>
            </w:pPr>
          </w:p>
        </w:tc>
        <w:tc>
          <w:tcPr>
            <w:tcW w:w="850" w:type="dxa"/>
            <w:tcBorders>
              <w:top w:val="nil"/>
            </w:tcBorders>
          </w:tcPr>
          <w:p w14:paraId="6F8ECA7E" w14:textId="77777777" w:rsidR="00BB2CB4" w:rsidRPr="00222C32" w:rsidRDefault="00BB2CB4">
            <w:pPr>
              <w:pStyle w:val="SummaryAgencyTitle-BP2"/>
            </w:pPr>
          </w:p>
        </w:tc>
        <w:tc>
          <w:tcPr>
            <w:tcW w:w="850" w:type="dxa"/>
            <w:tcBorders>
              <w:top w:val="nil"/>
            </w:tcBorders>
          </w:tcPr>
          <w:p w14:paraId="53FB3CA2" w14:textId="77777777" w:rsidR="00BB2CB4" w:rsidRPr="00222C32" w:rsidRDefault="00BB2CB4">
            <w:pPr>
              <w:pStyle w:val="SummaryAgencyTitle-BP2"/>
            </w:pPr>
          </w:p>
        </w:tc>
      </w:tr>
      <w:tr w:rsidR="00BB2CB4" w:rsidRPr="00222C32" w14:paraId="1FD52964" w14:textId="77777777" w:rsidTr="00825163">
        <w:tc>
          <w:tcPr>
            <w:tcW w:w="3471" w:type="dxa"/>
            <w:vAlign w:val="bottom"/>
          </w:tcPr>
          <w:p w14:paraId="29E0D4C0" w14:textId="77777777" w:rsidR="00BB2CB4" w:rsidRPr="00222C32" w:rsidRDefault="000674DA">
            <w:pPr>
              <w:pStyle w:val="SummaryMeasureTitlewithTheme"/>
            </w:pPr>
            <w:r w:rsidRPr="00222C32">
              <w:t>A Fairer More Efficient Social Security System(b)</w:t>
            </w:r>
          </w:p>
        </w:tc>
        <w:tc>
          <w:tcPr>
            <w:tcW w:w="850" w:type="dxa"/>
            <w:vAlign w:val="bottom"/>
          </w:tcPr>
          <w:p w14:paraId="314E9581" w14:textId="77777777" w:rsidR="00BB2CB4" w:rsidRPr="00222C32" w:rsidRDefault="000674DA">
            <w:pPr>
              <w:pStyle w:val="Summarytabletextrightaligned"/>
            </w:pPr>
            <w:r w:rsidRPr="00222C32">
              <w:t>-</w:t>
            </w:r>
          </w:p>
        </w:tc>
        <w:tc>
          <w:tcPr>
            <w:tcW w:w="850" w:type="dxa"/>
            <w:shd w:val="clear" w:color="auto" w:fill="E6F2FF"/>
            <w:vAlign w:val="bottom"/>
          </w:tcPr>
          <w:p w14:paraId="2ECA41D8" w14:textId="77777777" w:rsidR="00BB2CB4" w:rsidRPr="00222C32" w:rsidRDefault="000674DA">
            <w:pPr>
              <w:pStyle w:val="Summarytabletextrightaligned"/>
            </w:pPr>
            <w:r w:rsidRPr="00222C32">
              <w:t>0.6</w:t>
            </w:r>
          </w:p>
        </w:tc>
        <w:tc>
          <w:tcPr>
            <w:tcW w:w="850" w:type="dxa"/>
            <w:vAlign w:val="bottom"/>
          </w:tcPr>
          <w:p w14:paraId="204CB5FD" w14:textId="77777777" w:rsidR="00BB2CB4" w:rsidRPr="00222C32" w:rsidRDefault="000674DA">
            <w:pPr>
              <w:pStyle w:val="Summarytabletextrightaligned"/>
            </w:pPr>
            <w:r w:rsidRPr="00222C32">
              <w:t>0.3</w:t>
            </w:r>
          </w:p>
        </w:tc>
        <w:tc>
          <w:tcPr>
            <w:tcW w:w="850" w:type="dxa"/>
            <w:vAlign w:val="bottom"/>
          </w:tcPr>
          <w:p w14:paraId="39EE7F6E" w14:textId="77777777" w:rsidR="00BB2CB4" w:rsidRPr="00222C32" w:rsidRDefault="000674DA">
            <w:pPr>
              <w:pStyle w:val="Summarytabletextrightaligned"/>
            </w:pPr>
            <w:r w:rsidRPr="00222C32">
              <w:t>0.3</w:t>
            </w:r>
          </w:p>
        </w:tc>
        <w:tc>
          <w:tcPr>
            <w:tcW w:w="850" w:type="dxa"/>
            <w:vAlign w:val="bottom"/>
          </w:tcPr>
          <w:p w14:paraId="0D9B749B" w14:textId="77777777" w:rsidR="00BB2CB4" w:rsidRPr="00222C32" w:rsidRDefault="000674DA">
            <w:pPr>
              <w:pStyle w:val="Summarytabletextrightaligned"/>
            </w:pPr>
            <w:r w:rsidRPr="00222C32">
              <w:t>0.3</w:t>
            </w:r>
          </w:p>
        </w:tc>
      </w:tr>
      <w:tr w:rsidR="00BB2CB4" w:rsidRPr="00222C32" w14:paraId="28B4508B" w14:textId="77777777" w:rsidTr="00825163">
        <w:tc>
          <w:tcPr>
            <w:tcW w:w="3471" w:type="dxa"/>
            <w:vAlign w:val="bottom"/>
          </w:tcPr>
          <w:p w14:paraId="4FA194F4" w14:textId="77777777" w:rsidR="00BB2CB4" w:rsidRPr="00222C32" w:rsidRDefault="000674DA">
            <w:pPr>
              <w:pStyle w:val="SummaryMeasureTitlewithTheme"/>
            </w:pPr>
            <w:r w:rsidRPr="00222C32">
              <w:t>An Effective and Clinically Appropriate Medicare Benefits Schedule</w:t>
            </w:r>
          </w:p>
        </w:tc>
        <w:tc>
          <w:tcPr>
            <w:tcW w:w="850" w:type="dxa"/>
            <w:vAlign w:val="bottom"/>
          </w:tcPr>
          <w:p w14:paraId="04DC3441" w14:textId="77777777" w:rsidR="00BB2CB4" w:rsidRPr="00222C32" w:rsidRDefault="000674DA">
            <w:pPr>
              <w:pStyle w:val="Summarytabletextrightaligned"/>
            </w:pPr>
            <w:r w:rsidRPr="00222C32">
              <w:t>-</w:t>
            </w:r>
          </w:p>
        </w:tc>
        <w:tc>
          <w:tcPr>
            <w:tcW w:w="850" w:type="dxa"/>
            <w:shd w:val="clear" w:color="auto" w:fill="E6F2FF"/>
            <w:vAlign w:val="bottom"/>
          </w:tcPr>
          <w:p w14:paraId="0ECD4C67" w14:textId="77777777" w:rsidR="00BB2CB4" w:rsidRPr="00222C32" w:rsidRDefault="000674DA">
            <w:pPr>
              <w:pStyle w:val="Summarytabletextrightaligned"/>
            </w:pPr>
            <w:r w:rsidRPr="00222C32">
              <w:t>..</w:t>
            </w:r>
          </w:p>
        </w:tc>
        <w:tc>
          <w:tcPr>
            <w:tcW w:w="850" w:type="dxa"/>
            <w:vAlign w:val="bottom"/>
          </w:tcPr>
          <w:p w14:paraId="74F8B407" w14:textId="77777777" w:rsidR="00BB2CB4" w:rsidRPr="00222C32" w:rsidRDefault="000674DA">
            <w:pPr>
              <w:pStyle w:val="Summarytabletextrightaligned"/>
            </w:pPr>
            <w:r w:rsidRPr="00222C32">
              <w:t>0.3</w:t>
            </w:r>
          </w:p>
        </w:tc>
        <w:tc>
          <w:tcPr>
            <w:tcW w:w="850" w:type="dxa"/>
            <w:vAlign w:val="bottom"/>
          </w:tcPr>
          <w:p w14:paraId="041F5B9F" w14:textId="77777777" w:rsidR="00BB2CB4" w:rsidRPr="00222C32" w:rsidRDefault="000674DA">
            <w:pPr>
              <w:pStyle w:val="Summarytabletextrightaligned"/>
            </w:pPr>
            <w:r w:rsidRPr="00222C32">
              <w:t>0.5</w:t>
            </w:r>
          </w:p>
        </w:tc>
        <w:tc>
          <w:tcPr>
            <w:tcW w:w="850" w:type="dxa"/>
            <w:vAlign w:val="bottom"/>
          </w:tcPr>
          <w:p w14:paraId="420A859B" w14:textId="77777777" w:rsidR="00BB2CB4" w:rsidRPr="00222C32" w:rsidRDefault="000674DA">
            <w:pPr>
              <w:pStyle w:val="Summarytabletextrightaligned"/>
            </w:pPr>
            <w:r w:rsidRPr="00222C32">
              <w:t>0.7</w:t>
            </w:r>
          </w:p>
        </w:tc>
      </w:tr>
      <w:tr w:rsidR="00BB2CB4" w:rsidRPr="00222C32" w14:paraId="631C71AB" w14:textId="77777777" w:rsidTr="00825163">
        <w:tc>
          <w:tcPr>
            <w:tcW w:w="3471" w:type="dxa"/>
            <w:vAlign w:val="bottom"/>
          </w:tcPr>
          <w:p w14:paraId="2882B80B" w14:textId="77777777" w:rsidR="00BB2CB4" w:rsidRPr="00222C32" w:rsidRDefault="000674DA">
            <w:pPr>
              <w:pStyle w:val="SummaryMeasureTitlewithTheme"/>
            </w:pPr>
            <w:r w:rsidRPr="00222C32">
              <w:t>Continuing to Support Veterans and their Families</w:t>
            </w:r>
          </w:p>
        </w:tc>
        <w:tc>
          <w:tcPr>
            <w:tcW w:w="850" w:type="dxa"/>
            <w:vAlign w:val="bottom"/>
          </w:tcPr>
          <w:p w14:paraId="39DB45C7" w14:textId="77777777" w:rsidR="00BB2CB4" w:rsidRPr="00222C32" w:rsidRDefault="000674DA">
            <w:pPr>
              <w:pStyle w:val="Summarytabletextrightaligned"/>
            </w:pPr>
            <w:r w:rsidRPr="00222C32">
              <w:t>-</w:t>
            </w:r>
          </w:p>
        </w:tc>
        <w:tc>
          <w:tcPr>
            <w:tcW w:w="850" w:type="dxa"/>
            <w:shd w:val="clear" w:color="auto" w:fill="E6F2FF"/>
            <w:vAlign w:val="bottom"/>
          </w:tcPr>
          <w:p w14:paraId="2C10BD95" w14:textId="77777777" w:rsidR="00BB2CB4" w:rsidRPr="00222C32" w:rsidRDefault="000674DA">
            <w:pPr>
              <w:pStyle w:val="Summarytabletextrightaligned"/>
            </w:pPr>
            <w:r w:rsidRPr="00222C32">
              <w:t>0.9</w:t>
            </w:r>
          </w:p>
        </w:tc>
        <w:tc>
          <w:tcPr>
            <w:tcW w:w="850" w:type="dxa"/>
            <w:vAlign w:val="bottom"/>
          </w:tcPr>
          <w:p w14:paraId="1945D240" w14:textId="77777777" w:rsidR="00BB2CB4" w:rsidRPr="00222C32" w:rsidRDefault="000674DA">
            <w:pPr>
              <w:pStyle w:val="Summarytabletextrightaligned"/>
            </w:pPr>
            <w:r w:rsidRPr="00222C32">
              <w:t>38.2</w:t>
            </w:r>
          </w:p>
        </w:tc>
        <w:tc>
          <w:tcPr>
            <w:tcW w:w="850" w:type="dxa"/>
            <w:vAlign w:val="bottom"/>
          </w:tcPr>
          <w:p w14:paraId="269FA1EA" w14:textId="77777777" w:rsidR="00BB2CB4" w:rsidRPr="00222C32" w:rsidRDefault="000674DA">
            <w:pPr>
              <w:pStyle w:val="Summarytabletextrightaligned"/>
            </w:pPr>
            <w:r w:rsidRPr="00222C32">
              <w:t>37.9</w:t>
            </w:r>
          </w:p>
        </w:tc>
        <w:tc>
          <w:tcPr>
            <w:tcW w:w="850" w:type="dxa"/>
            <w:vAlign w:val="bottom"/>
          </w:tcPr>
          <w:p w14:paraId="55135E7B" w14:textId="77777777" w:rsidR="00BB2CB4" w:rsidRPr="00222C32" w:rsidRDefault="000674DA">
            <w:pPr>
              <w:pStyle w:val="Summarytabletextrightaligned"/>
            </w:pPr>
            <w:r w:rsidRPr="00222C32">
              <w:t>0.3</w:t>
            </w:r>
          </w:p>
        </w:tc>
      </w:tr>
      <w:tr w:rsidR="00BB2CB4" w:rsidRPr="00222C32" w14:paraId="4AF2F72B" w14:textId="77777777" w:rsidTr="00825163">
        <w:tc>
          <w:tcPr>
            <w:tcW w:w="3471" w:type="dxa"/>
            <w:vAlign w:val="bottom"/>
          </w:tcPr>
          <w:p w14:paraId="554196EB" w14:textId="463A849D" w:rsidR="00BB2CB4" w:rsidRPr="00222C32" w:rsidRDefault="000674DA">
            <w:pPr>
              <w:pStyle w:val="SummaryMeasureTitlewithTheme"/>
            </w:pPr>
            <w:r w:rsidRPr="00222C32">
              <w:t>Delivering Veterans</w:t>
            </w:r>
            <w:r w:rsidR="00A67A30">
              <w:t>’</w:t>
            </w:r>
            <w:r w:rsidRPr="00222C32">
              <w:t xml:space="preserve"> Affairs Election Commitments</w:t>
            </w:r>
          </w:p>
        </w:tc>
        <w:tc>
          <w:tcPr>
            <w:tcW w:w="850" w:type="dxa"/>
            <w:vAlign w:val="bottom"/>
          </w:tcPr>
          <w:p w14:paraId="5047A17E" w14:textId="77777777" w:rsidR="00BB2CB4" w:rsidRPr="00222C32" w:rsidRDefault="000674DA">
            <w:pPr>
              <w:pStyle w:val="Summarytabletextrightaligned"/>
            </w:pPr>
            <w:r w:rsidRPr="00222C32">
              <w:t>-</w:t>
            </w:r>
          </w:p>
        </w:tc>
        <w:tc>
          <w:tcPr>
            <w:tcW w:w="850" w:type="dxa"/>
            <w:shd w:val="clear" w:color="auto" w:fill="E6F2FF"/>
            <w:vAlign w:val="bottom"/>
          </w:tcPr>
          <w:p w14:paraId="670B3CBB" w14:textId="77777777" w:rsidR="00BB2CB4" w:rsidRPr="00222C32" w:rsidRDefault="000674DA">
            <w:pPr>
              <w:pStyle w:val="Summarytabletextrightaligned"/>
            </w:pPr>
            <w:r w:rsidRPr="00222C32">
              <w:t>2.6</w:t>
            </w:r>
          </w:p>
        </w:tc>
        <w:tc>
          <w:tcPr>
            <w:tcW w:w="850" w:type="dxa"/>
            <w:vAlign w:val="bottom"/>
          </w:tcPr>
          <w:p w14:paraId="3525C998" w14:textId="77777777" w:rsidR="00BB2CB4" w:rsidRPr="00222C32" w:rsidRDefault="000674DA">
            <w:pPr>
              <w:pStyle w:val="Summarytabletextrightaligned"/>
            </w:pPr>
            <w:r w:rsidRPr="00222C32">
              <w:t>5.6</w:t>
            </w:r>
          </w:p>
        </w:tc>
        <w:tc>
          <w:tcPr>
            <w:tcW w:w="850" w:type="dxa"/>
            <w:vAlign w:val="bottom"/>
          </w:tcPr>
          <w:p w14:paraId="05B3A922" w14:textId="77777777" w:rsidR="00BB2CB4" w:rsidRPr="00222C32" w:rsidRDefault="000674DA">
            <w:pPr>
              <w:pStyle w:val="Summarytabletextrightaligned"/>
            </w:pPr>
            <w:r w:rsidRPr="00222C32">
              <w:t>2.2</w:t>
            </w:r>
          </w:p>
        </w:tc>
        <w:tc>
          <w:tcPr>
            <w:tcW w:w="850" w:type="dxa"/>
            <w:vAlign w:val="bottom"/>
          </w:tcPr>
          <w:p w14:paraId="586C39D1" w14:textId="77777777" w:rsidR="00BB2CB4" w:rsidRPr="00222C32" w:rsidRDefault="000674DA">
            <w:pPr>
              <w:pStyle w:val="Summarytabletextrightaligned"/>
            </w:pPr>
            <w:r w:rsidRPr="00222C32">
              <w:t>1.1</w:t>
            </w:r>
          </w:p>
        </w:tc>
      </w:tr>
      <w:tr w:rsidR="00BB2CB4" w:rsidRPr="00222C32" w14:paraId="6488117D" w14:textId="77777777" w:rsidTr="00825163">
        <w:tc>
          <w:tcPr>
            <w:tcW w:w="3471" w:type="dxa"/>
            <w:vAlign w:val="bottom"/>
          </w:tcPr>
          <w:p w14:paraId="66010A34" w14:textId="4DFE66DB" w:rsidR="00BB2CB4" w:rsidRPr="00222C32" w:rsidRDefault="000674DA">
            <w:pPr>
              <w:pStyle w:val="SummaryMeasureTitlewithTheme"/>
            </w:pPr>
            <w:r w:rsidRPr="00222C32">
              <w:t>Department of Veterans</w:t>
            </w:r>
            <w:r w:rsidR="00A67A30">
              <w:t>’</w:t>
            </w:r>
            <w:r w:rsidRPr="00222C32">
              <w:t xml:space="preserve"> Affairs – additional resourcing to support service delivery</w:t>
            </w:r>
          </w:p>
        </w:tc>
        <w:tc>
          <w:tcPr>
            <w:tcW w:w="850" w:type="dxa"/>
            <w:vAlign w:val="bottom"/>
          </w:tcPr>
          <w:p w14:paraId="50F16812" w14:textId="77777777" w:rsidR="00BB2CB4" w:rsidRPr="00222C32" w:rsidRDefault="000674DA">
            <w:pPr>
              <w:pStyle w:val="Summarytabletextrightaligned"/>
            </w:pPr>
            <w:r w:rsidRPr="00222C32">
              <w:t>-</w:t>
            </w:r>
          </w:p>
        </w:tc>
        <w:tc>
          <w:tcPr>
            <w:tcW w:w="850" w:type="dxa"/>
            <w:shd w:val="clear" w:color="auto" w:fill="E6F2FF"/>
            <w:vAlign w:val="bottom"/>
          </w:tcPr>
          <w:p w14:paraId="58326C0E" w14:textId="77777777" w:rsidR="00BB2CB4" w:rsidRPr="00222C32" w:rsidRDefault="000674DA">
            <w:pPr>
              <w:pStyle w:val="Summarytabletextrightaligned"/>
            </w:pPr>
            <w:r w:rsidRPr="00222C32">
              <w:t>32.7</w:t>
            </w:r>
          </w:p>
        </w:tc>
        <w:tc>
          <w:tcPr>
            <w:tcW w:w="850" w:type="dxa"/>
            <w:vAlign w:val="bottom"/>
          </w:tcPr>
          <w:p w14:paraId="2168360C" w14:textId="77777777" w:rsidR="00BB2CB4" w:rsidRPr="00222C32" w:rsidRDefault="000674DA">
            <w:pPr>
              <w:pStyle w:val="Summarytabletextrightaligned"/>
            </w:pPr>
            <w:r w:rsidRPr="00222C32">
              <w:t>137.2</w:t>
            </w:r>
          </w:p>
        </w:tc>
        <w:tc>
          <w:tcPr>
            <w:tcW w:w="850" w:type="dxa"/>
            <w:vAlign w:val="bottom"/>
          </w:tcPr>
          <w:p w14:paraId="35EE1F7C" w14:textId="77777777" w:rsidR="00BB2CB4" w:rsidRPr="00222C32" w:rsidRDefault="000674DA">
            <w:pPr>
              <w:pStyle w:val="Summarytabletextrightaligned"/>
            </w:pPr>
            <w:r w:rsidRPr="00222C32">
              <w:t>135.4</w:t>
            </w:r>
          </w:p>
        </w:tc>
        <w:tc>
          <w:tcPr>
            <w:tcW w:w="850" w:type="dxa"/>
            <w:vAlign w:val="bottom"/>
          </w:tcPr>
          <w:p w14:paraId="0B3AA993" w14:textId="77777777" w:rsidR="00BB2CB4" w:rsidRPr="00222C32" w:rsidRDefault="000674DA">
            <w:pPr>
              <w:pStyle w:val="Summarytabletextrightaligned"/>
            </w:pPr>
            <w:r w:rsidRPr="00222C32">
              <w:t>93.0</w:t>
            </w:r>
          </w:p>
        </w:tc>
      </w:tr>
      <w:tr w:rsidR="00BB2CB4" w:rsidRPr="00222C32" w14:paraId="36F5F285" w14:textId="77777777" w:rsidTr="00825163">
        <w:tc>
          <w:tcPr>
            <w:tcW w:w="3471" w:type="dxa"/>
            <w:vAlign w:val="bottom"/>
          </w:tcPr>
          <w:p w14:paraId="5313E53D" w14:textId="046E0967" w:rsidR="00BB2CB4" w:rsidRPr="00222C32" w:rsidRDefault="000674DA">
            <w:pPr>
              <w:pStyle w:val="SummaryMeasureTitlewithTheme"/>
            </w:pPr>
            <w:r w:rsidRPr="00222C32">
              <w:t>Department of Veterans</w:t>
            </w:r>
            <w:r w:rsidR="00A67A30">
              <w:t>’</w:t>
            </w:r>
            <w:r w:rsidRPr="00222C32">
              <w:t xml:space="preserve"> Affairs – enhancing the </w:t>
            </w:r>
            <w:r w:rsidR="00E354AF">
              <w:t>h</w:t>
            </w:r>
            <w:r w:rsidRPr="00222C32">
              <w:t xml:space="preserve">ealth and </w:t>
            </w:r>
            <w:r w:rsidR="00E354AF">
              <w:t>w</w:t>
            </w:r>
            <w:r w:rsidRPr="00222C32">
              <w:t xml:space="preserve">ellbeing of </w:t>
            </w:r>
            <w:r w:rsidR="00E354AF">
              <w:t>v</w:t>
            </w:r>
            <w:r w:rsidRPr="00222C32">
              <w:t xml:space="preserve">eterans and </w:t>
            </w:r>
            <w:r w:rsidR="00E354AF">
              <w:t>s</w:t>
            </w:r>
            <w:r w:rsidRPr="00222C32">
              <w:t xml:space="preserve">erving </w:t>
            </w:r>
            <w:r w:rsidR="00E354AF">
              <w:t>m</w:t>
            </w:r>
            <w:r w:rsidRPr="00222C32">
              <w:t>embers</w:t>
            </w:r>
          </w:p>
        </w:tc>
        <w:tc>
          <w:tcPr>
            <w:tcW w:w="850" w:type="dxa"/>
            <w:vAlign w:val="bottom"/>
          </w:tcPr>
          <w:p w14:paraId="3D4E4687" w14:textId="77777777" w:rsidR="00BB2CB4" w:rsidRPr="00222C32" w:rsidRDefault="000674DA">
            <w:pPr>
              <w:pStyle w:val="Summarytabletextrightaligned"/>
            </w:pPr>
            <w:r w:rsidRPr="00222C32">
              <w:t>-</w:t>
            </w:r>
          </w:p>
        </w:tc>
        <w:tc>
          <w:tcPr>
            <w:tcW w:w="850" w:type="dxa"/>
            <w:shd w:val="clear" w:color="auto" w:fill="E6F2FF"/>
            <w:vAlign w:val="bottom"/>
          </w:tcPr>
          <w:p w14:paraId="7EF47C0F" w14:textId="77777777" w:rsidR="00BB2CB4" w:rsidRPr="00222C32" w:rsidRDefault="000674DA">
            <w:pPr>
              <w:pStyle w:val="Summarytabletextrightaligned"/>
            </w:pPr>
            <w:r w:rsidRPr="00222C32">
              <w:t>23.8</w:t>
            </w:r>
          </w:p>
        </w:tc>
        <w:tc>
          <w:tcPr>
            <w:tcW w:w="850" w:type="dxa"/>
            <w:vAlign w:val="bottom"/>
          </w:tcPr>
          <w:p w14:paraId="0448558C" w14:textId="77777777" w:rsidR="00BB2CB4" w:rsidRPr="00222C32" w:rsidRDefault="000674DA">
            <w:pPr>
              <w:pStyle w:val="Summarytabletextrightaligned"/>
            </w:pPr>
            <w:r w:rsidRPr="00222C32">
              <w:t>272.5</w:t>
            </w:r>
          </w:p>
        </w:tc>
        <w:tc>
          <w:tcPr>
            <w:tcW w:w="850" w:type="dxa"/>
            <w:vAlign w:val="bottom"/>
          </w:tcPr>
          <w:p w14:paraId="66068657" w14:textId="77777777" w:rsidR="00BB2CB4" w:rsidRPr="00222C32" w:rsidRDefault="000674DA">
            <w:pPr>
              <w:pStyle w:val="Summarytabletextrightaligned"/>
            </w:pPr>
            <w:r w:rsidRPr="00222C32">
              <w:t>235.6</w:t>
            </w:r>
          </w:p>
        </w:tc>
        <w:tc>
          <w:tcPr>
            <w:tcW w:w="850" w:type="dxa"/>
            <w:vAlign w:val="bottom"/>
          </w:tcPr>
          <w:p w14:paraId="235CB76F" w14:textId="77777777" w:rsidR="00BB2CB4" w:rsidRPr="00222C32" w:rsidRDefault="000674DA">
            <w:pPr>
              <w:pStyle w:val="Summarytabletextrightaligned"/>
            </w:pPr>
            <w:r w:rsidRPr="00222C32">
              <w:t>202.4</w:t>
            </w:r>
          </w:p>
        </w:tc>
      </w:tr>
      <w:tr w:rsidR="00BB2CB4" w:rsidRPr="00222C32" w14:paraId="52DDF283" w14:textId="77777777" w:rsidTr="00825163">
        <w:tc>
          <w:tcPr>
            <w:tcW w:w="3471" w:type="dxa"/>
            <w:vAlign w:val="bottom"/>
          </w:tcPr>
          <w:p w14:paraId="14659FF3" w14:textId="6C51D681" w:rsidR="00BB2CB4" w:rsidRPr="00222C32" w:rsidRDefault="000674DA">
            <w:pPr>
              <w:pStyle w:val="SummaryMeasureTitlewithTheme"/>
            </w:pPr>
            <w:r w:rsidRPr="00222C32">
              <w:t>Department of Veterans</w:t>
            </w:r>
            <w:r w:rsidR="00A67A30">
              <w:t>’</w:t>
            </w:r>
            <w:r w:rsidRPr="00222C32">
              <w:t xml:space="preserve"> Affairs – establishing the Agency for Veteran and Family Wellbeing</w:t>
            </w:r>
          </w:p>
        </w:tc>
        <w:tc>
          <w:tcPr>
            <w:tcW w:w="850" w:type="dxa"/>
            <w:vAlign w:val="bottom"/>
          </w:tcPr>
          <w:p w14:paraId="19B5F9A2" w14:textId="77777777" w:rsidR="00BB2CB4" w:rsidRPr="00222C32" w:rsidRDefault="000674DA">
            <w:pPr>
              <w:pStyle w:val="Summarytabletextrightaligned"/>
            </w:pPr>
            <w:r w:rsidRPr="00222C32">
              <w:t>-</w:t>
            </w:r>
          </w:p>
        </w:tc>
        <w:tc>
          <w:tcPr>
            <w:tcW w:w="850" w:type="dxa"/>
            <w:shd w:val="clear" w:color="auto" w:fill="E6F2FF"/>
            <w:vAlign w:val="bottom"/>
          </w:tcPr>
          <w:p w14:paraId="753672D9" w14:textId="77777777" w:rsidR="00BB2CB4" w:rsidRPr="00222C32" w:rsidRDefault="000674DA">
            <w:pPr>
              <w:pStyle w:val="Summarytabletextrightaligned"/>
            </w:pPr>
            <w:r w:rsidRPr="00222C32">
              <w:t>10.7</w:t>
            </w:r>
          </w:p>
        </w:tc>
        <w:tc>
          <w:tcPr>
            <w:tcW w:w="850" w:type="dxa"/>
            <w:vAlign w:val="bottom"/>
          </w:tcPr>
          <w:p w14:paraId="44E0D51C" w14:textId="77777777" w:rsidR="00BB2CB4" w:rsidRPr="00222C32" w:rsidRDefault="000674DA">
            <w:pPr>
              <w:pStyle w:val="Summarytabletextrightaligned"/>
            </w:pPr>
            <w:r w:rsidRPr="00222C32">
              <w:t>23.8</w:t>
            </w:r>
          </w:p>
        </w:tc>
        <w:tc>
          <w:tcPr>
            <w:tcW w:w="850" w:type="dxa"/>
            <w:vAlign w:val="bottom"/>
          </w:tcPr>
          <w:p w14:paraId="005C6AC4" w14:textId="77777777" w:rsidR="00BB2CB4" w:rsidRPr="00222C32" w:rsidRDefault="000674DA">
            <w:pPr>
              <w:pStyle w:val="Summarytabletextrightaligned"/>
            </w:pPr>
            <w:r w:rsidRPr="00222C32">
              <w:t>22.9</w:t>
            </w:r>
          </w:p>
        </w:tc>
        <w:tc>
          <w:tcPr>
            <w:tcW w:w="850" w:type="dxa"/>
            <w:vAlign w:val="bottom"/>
          </w:tcPr>
          <w:p w14:paraId="7478A1A3" w14:textId="77777777" w:rsidR="00BB2CB4" w:rsidRPr="00222C32" w:rsidRDefault="000674DA">
            <w:pPr>
              <w:pStyle w:val="Summarytabletextrightaligned"/>
            </w:pPr>
            <w:r w:rsidRPr="00222C32">
              <w:t>20.6</w:t>
            </w:r>
          </w:p>
        </w:tc>
      </w:tr>
      <w:tr w:rsidR="00BB2CB4" w:rsidRPr="00222C32" w14:paraId="6F3D3EB0" w14:textId="77777777" w:rsidTr="00825163">
        <w:tc>
          <w:tcPr>
            <w:tcW w:w="3471" w:type="dxa"/>
            <w:vAlign w:val="bottom"/>
          </w:tcPr>
          <w:p w14:paraId="27AD5D0A" w14:textId="63E7A221" w:rsidR="00BB2CB4" w:rsidRPr="00222C32" w:rsidRDefault="000674DA">
            <w:pPr>
              <w:pStyle w:val="SummaryMeasureTitlewithTheme"/>
            </w:pPr>
            <w:r w:rsidRPr="00222C32">
              <w:t>Department of Veterans</w:t>
            </w:r>
            <w:r w:rsidR="00A67A30">
              <w:t>’</w:t>
            </w:r>
            <w:r w:rsidRPr="00222C32">
              <w:t xml:space="preserve"> Affairs – strengthening program integrity and veterans</w:t>
            </w:r>
            <w:r w:rsidR="00A67A30">
              <w:t>’</w:t>
            </w:r>
            <w:r w:rsidRPr="00222C32">
              <w:t xml:space="preserve"> advocacy</w:t>
            </w:r>
          </w:p>
        </w:tc>
        <w:tc>
          <w:tcPr>
            <w:tcW w:w="850" w:type="dxa"/>
            <w:vAlign w:val="bottom"/>
          </w:tcPr>
          <w:p w14:paraId="40D70D1E" w14:textId="77777777" w:rsidR="00BB2CB4" w:rsidRPr="00222C32" w:rsidRDefault="000674DA">
            <w:pPr>
              <w:pStyle w:val="Summarytabletextrightaligned"/>
            </w:pPr>
            <w:r w:rsidRPr="00222C32">
              <w:t>-</w:t>
            </w:r>
          </w:p>
        </w:tc>
        <w:tc>
          <w:tcPr>
            <w:tcW w:w="850" w:type="dxa"/>
            <w:shd w:val="clear" w:color="auto" w:fill="E6F2FF"/>
            <w:vAlign w:val="bottom"/>
          </w:tcPr>
          <w:p w14:paraId="151F127D" w14:textId="77777777" w:rsidR="00BB2CB4" w:rsidRPr="00222C32" w:rsidRDefault="000674DA">
            <w:pPr>
              <w:pStyle w:val="Summarytabletextrightaligned"/>
            </w:pPr>
            <w:r w:rsidRPr="00222C32">
              <w:t>-25.6</w:t>
            </w:r>
          </w:p>
        </w:tc>
        <w:tc>
          <w:tcPr>
            <w:tcW w:w="850" w:type="dxa"/>
            <w:vAlign w:val="bottom"/>
          </w:tcPr>
          <w:p w14:paraId="64151009" w14:textId="77777777" w:rsidR="00BB2CB4" w:rsidRPr="00222C32" w:rsidRDefault="000674DA">
            <w:pPr>
              <w:pStyle w:val="Summarytabletextrightaligned"/>
            </w:pPr>
            <w:r w:rsidRPr="00222C32">
              <w:t>-178.6</w:t>
            </w:r>
          </w:p>
        </w:tc>
        <w:tc>
          <w:tcPr>
            <w:tcW w:w="850" w:type="dxa"/>
            <w:vAlign w:val="bottom"/>
          </w:tcPr>
          <w:p w14:paraId="1715262E" w14:textId="77777777" w:rsidR="00BB2CB4" w:rsidRPr="00222C32" w:rsidRDefault="000674DA">
            <w:pPr>
              <w:pStyle w:val="Summarytabletextrightaligned"/>
            </w:pPr>
            <w:r w:rsidRPr="00222C32">
              <w:t>-206.5</w:t>
            </w:r>
          </w:p>
        </w:tc>
        <w:tc>
          <w:tcPr>
            <w:tcW w:w="850" w:type="dxa"/>
            <w:vAlign w:val="bottom"/>
          </w:tcPr>
          <w:p w14:paraId="21665E52" w14:textId="77777777" w:rsidR="00BB2CB4" w:rsidRPr="00222C32" w:rsidRDefault="000674DA">
            <w:pPr>
              <w:pStyle w:val="Summarytabletextrightaligned"/>
            </w:pPr>
            <w:r w:rsidRPr="00222C32">
              <w:t>-272.1</w:t>
            </w:r>
          </w:p>
        </w:tc>
      </w:tr>
      <w:tr w:rsidR="00BB2CB4" w:rsidRPr="00222C32" w14:paraId="2E3F47EB" w14:textId="77777777" w:rsidTr="00825163">
        <w:tc>
          <w:tcPr>
            <w:tcW w:w="3471" w:type="dxa"/>
            <w:vAlign w:val="bottom"/>
          </w:tcPr>
          <w:p w14:paraId="1B9ACA0B" w14:textId="77777777" w:rsidR="00BB2CB4" w:rsidRPr="00222C32" w:rsidRDefault="000674DA">
            <w:pPr>
              <w:pStyle w:val="SummaryMeasureTitlewithTheme"/>
            </w:pPr>
            <w:r w:rsidRPr="00222C32">
              <w:t>Health Workforce</w:t>
            </w:r>
          </w:p>
        </w:tc>
        <w:tc>
          <w:tcPr>
            <w:tcW w:w="850" w:type="dxa"/>
            <w:vAlign w:val="bottom"/>
          </w:tcPr>
          <w:p w14:paraId="1C45D540" w14:textId="77777777" w:rsidR="00BB2CB4" w:rsidRPr="00222C32" w:rsidRDefault="000674DA">
            <w:pPr>
              <w:pStyle w:val="Summarytabletextrightaligned"/>
            </w:pPr>
            <w:r w:rsidRPr="00222C32">
              <w:t>-</w:t>
            </w:r>
          </w:p>
        </w:tc>
        <w:tc>
          <w:tcPr>
            <w:tcW w:w="850" w:type="dxa"/>
            <w:shd w:val="clear" w:color="auto" w:fill="E6F2FF"/>
            <w:vAlign w:val="bottom"/>
          </w:tcPr>
          <w:p w14:paraId="3E12B624" w14:textId="77777777" w:rsidR="00BB2CB4" w:rsidRPr="00222C32" w:rsidRDefault="000674DA">
            <w:pPr>
              <w:pStyle w:val="Summarytabletextrightaligned"/>
            </w:pPr>
            <w:r w:rsidRPr="00222C32">
              <w:t>-</w:t>
            </w:r>
          </w:p>
        </w:tc>
        <w:tc>
          <w:tcPr>
            <w:tcW w:w="850" w:type="dxa"/>
            <w:vAlign w:val="bottom"/>
          </w:tcPr>
          <w:p w14:paraId="6EE25E43" w14:textId="77777777" w:rsidR="00BB2CB4" w:rsidRPr="00222C32" w:rsidRDefault="000674DA">
            <w:pPr>
              <w:pStyle w:val="Summarytabletextrightaligned"/>
            </w:pPr>
            <w:r w:rsidRPr="00222C32">
              <w:t>..</w:t>
            </w:r>
          </w:p>
        </w:tc>
        <w:tc>
          <w:tcPr>
            <w:tcW w:w="850" w:type="dxa"/>
            <w:vAlign w:val="bottom"/>
          </w:tcPr>
          <w:p w14:paraId="7D4732B6" w14:textId="77777777" w:rsidR="00BB2CB4" w:rsidRPr="00222C32" w:rsidRDefault="000674DA">
            <w:pPr>
              <w:pStyle w:val="Summarytabletextrightaligned"/>
            </w:pPr>
            <w:r w:rsidRPr="00222C32">
              <w:t>0.1</w:t>
            </w:r>
          </w:p>
        </w:tc>
        <w:tc>
          <w:tcPr>
            <w:tcW w:w="850" w:type="dxa"/>
            <w:vAlign w:val="bottom"/>
          </w:tcPr>
          <w:p w14:paraId="2F71726B" w14:textId="77777777" w:rsidR="00BB2CB4" w:rsidRPr="00222C32" w:rsidRDefault="000674DA">
            <w:pPr>
              <w:pStyle w:val="Summarytabletextrightaligned"/>
            </w:pPr>
            <w:r w:rsidRPr="00222C32">
              <w:t>0.1</w:t>
            </w:r>
          </w:p>
        </w:tc>
      </w:tr>
      <w:tr w:rsidR="00BB2CB4" w:rsidRPr="00222C32" w14:paraId="6AE26741" w14:textId="77777777" w:rsidTr="00825163">
        <w:tc>
          <w:tcPr>
            <w:tcW w:w="3471" w:type="dxa"/>
            <w:vAlign w:val="bottom"/>
          </w:tcPr>
          <w:p w14:paraId="4CB6BC11" w14:textId="77777777" w:rsidR="00BB2CB4" w:rsidRPr="00222C32" w:rsidRDefault="000674DA">
            <w:pPr>
              <w:pStyle w:val="SummaryMeasureTitlewithTheme"/>
            </w:pPr>
            <w:r w:rsidRPr="00222C32">
              <w:t>More Free Mental Health Services</w:t>
            </w:r>
          </w:p>
        </w:tc>
        <w:tc>
          <w:tcPr>
            <w:tcW w:w="850" w:type="dxa"/>
            <w:vAlign w:val="bottom"/>
          </w:tcPr>
          <w:p w14:paraId="1959ACC6" w14:textId="77777777" w:rsidR="00BB2CB4" w:rsidRPr="00222C32" w:rsidRDefault="000674DA">
            <w:pPr>
              <w:pStyle w:val="Summarytabletextrightaligned"/>
            </w:pPr>
            <w:r w:rsidRPr="00222C32">
              <w:t>-</w:t>
            </w:r>
          </w:p>
        </w:tc>
        <w:tc>
          <w:tcPr>
            <w:tcW w:w="850" w:type="dxa"/>
            <w:shd w:val="clear" w:color="auto" w:fill="E6F2FF"/>
            <w:vAlign w:val="bottom"/>
          </w:tcPr>
          <w:p w14:paraId="2045DE2E" w14:textId="77777777" w:rsidR="00BB2CB4" w:rsidRPr="00222C32" w:rsidRDefault="000674DA">
            <w:pPr>
              <w:pStyle w:val="Summarytabletextrightaligned"/>
            </w:pPr>
            <w:r w:rsidRPr="00222C32">
              <w:t>-</w:t>
            </w:r>
          </w:p>
        </w:tc>
        <w:tc>
          <w:tcPr>
            <w:tcW w:w="850" w:type="dxa"/>
            <w:vAlign w:val="bottom"/>
          </w:tcPr>
          <w:p w14:paraId="336951AB" w14:textId="77777777" w:rsidR="00BB2CB4" w:rsidRPr="00222C32" w:rsidRDefault="000674DA">
            <w:pPr>
              <w:pStyle w:val="Summarytabletextrightaligned"/>
            </w:pPr>
            <w:r w:rsidRPr="00222C32">
              <w:t>..</w:t>
            </w:r>
          </w:p>
        </w:tc>
        <w:tc>
          <w:tcPr>
            <w:tcW w:w="850" w:type="dxa"/>
            <w:vAlign w:val="bottom"/>
          </w:tcPr>
          <w:p w14:paraId="6A6EE77B" w14:textId="77777777" w:rsidR="00BB2CB4" w:rsidRPr="00222C32" w:rsidRDefault="000674DA">
            <w:pPr>
              <w:pStyle w:val="Summarytabletextrightaligned"/>
            </w:pPr>
            <w:r w:rsidRPr="00222C32">
              <w:t>..</w:t>
            </w:r>
          </w:p>
        </w:tc>
        <w:tc>
          <w:tcPr>
            <w:tcW w:w="850" w:type="dxa"/>
            <w:vAlign w:val="bottom"/>
          </w:tcPr>
          <w:p w14:paraId="3BB35C22" w14:textId="77777777" w:rsidR="00BB2CB4" w:rsidRPr="00222C32" w:rsidRDefault="000674DA">
            <w:pPr>
              <w:pStyle w:val="Summarytabletextrightaligned"/>
            </w:pPr>
            <w:r w:rsidRPr="00222C32">
              <w:t>..</w:t>
            </w:r>
          </w:p>
        </w:tc>
      </w:tr>
      <w:tr w:rsidR="00BB2CB4" w:rsidRPr="00222C32" w14:paraId="2DE20507" w14:textId="77777777" w:rsidTr="00825163">
        <w:tc>
          <w:tcPr>
            <w:tcW w:w="3471" w:type="dxa"/>
            <w:vAlign w:val="bottom"/>
          </w:tcPr>
          <w:p w14:paraId="0AA01FD4" w14:textId="77777777" w:rsidR="00BB2CB4" w:rsidRPr="00222C32" w:rsidRDefault="000674DA">
            <w:pPr>
              <w:pStyle w:val="SummaryMeasureTitlewithTheme"/>
            </w:pPr>
            <w:r w:rsidRPr="00222C32">
              <w:t>Pharmaceutical Benefits Scheme New and Amended Listings(b)</w:t>
            </w:r>
          </w:p>
        </w:tc>
        <w:tc>
          <w:tcPr>
            <w:tcW w:w="850" w:type="dxa"/>
            <w:vAlign w:val="bottom"/>
          </w:tcPr>
          <w:p w14:paraId="3BF1BB31" w14:textId="77777777" w:rsidR="00BB2CB4" w:rsidRPr="00222C32" w:rsidRDefault="000674DA">
            <w:pPr>
              <w:pStyle w:val="Summarytabletextrightaligned"/>
            </w:pPr>
            <w:r w:rsidRPr="00222C32">
              <w:t>-</w:t>
            </w:r>
          </w:p>
        </w:tc>
        <w:tc>
          <w:tcPr>
            <w:tcW w:w="850" w:type="dxa"/>
            <w:shd w:val="clear" w:color="auto" w:fill="E6F2FF"/>
            <w:vAlign w:val="bottom"/>
          </w:tcPr>
          <w:p w14:paraId="43A722F6" w14:textId="77777777" w:rsidR="00BB2CB4" w:rsidRPr="00222C32" w:rsidRDefault="000674DA">
            <w:pPr>
              <w:pStyle w:val="Summarytabletextrightaligned"/>
            </w:pPr>
            <w:r w:rsidRPr="00222C32">
              <w:t>5.3</w:t>
            </w:r>
          </w:p>
        </w:tc>
        <w:tc>
          <w:tcPr>
            <w:tcW w:w="850" w:type="dxa"/>
            <w:vAlign w:val="bottom"/>
          </w:tcPr>
          <w:p w14:paraId="7DF5213D" w14:textId="77777777" w:rsidR="00BB2CB4" w:rsidRPr="00222C32" w:rsidRDefault="000674DA">
            <w:pPr>
              <w:pStyle w:val="Summarytabletextrightaligned"/>
            </w:pPr>
            <w:r w:rsidRPr="00222C32">
              <w:t>9.0</w:t>
            </w:r>
          </w:p>
        </w:tc>
        <w:tc>
          <w:tcPr>
            <w:tcW w:w="850" w:type="dxa"/>
            <w:vAlign w:val="bottom"/>
          </w:tcPr>
          <w:p w14:paraId="40091440" w14:textId="77777777" w:rsidR="00BB2CB4" w:rsidRPr="00222C32" w:rsidRDefault="000674DA">
            <w:pPr>
              <w:pStyle w:val="Summarytabletextrightaligned"/>
            </w:pPr>
            <w:r w:rsidRPr="00222C32">
              <w:t>11.1</w:t>
            </w:r>
          </w:p>
        </w:tc>
        <w:tc>
          <w:tcPr>
            <w:tcW w:w="850" w:type="dxa"/>
            <w:vAlign w:val="bottom"/>
          </w:tcPr>
          <w:p w14:paraId="375AB517" w14:textId="77777777" w:rsidR="00BB2CB4" w:rsidRPr="00222C32" w:rsidRDefault="000674DA">
            <w:pPr>
              <w:pStyle w:val="Summarytabletextrightaligned"/>
            </w:pPr>
            <w:r w:rsidRPr="00222C32">
              <w:t>13.0</w:t>
            </w:r>
          </w:p>
        </w:tc>
      </w:tr>
      <w:tr w:rsidR="00BB2CB4" w:rsidRPr="00222C32" w14:paraId="04E10FE5" w14:textId="77777777" w:rsidTr="00825163">
        <w:tc>
          <w:tcPr>
            <w:tcW w:w="3471" w:type="dxa"/>
            <w:vAlign w:val="bottom"/>
          </w:tcPr>
          <w:p w14:paraId="52E7B6EE" w14:textId="77777777" w:rsidR="00BB2CB4" w:rsidRPr="00222C32" w:rsidRDefault="000674DA">
            <w:pPr>
              <w:pStyle w:val="SummaryMeasureTitlewithTheme"/>
            </w:pPr>
            <w:r w:rsidRPr="00222C32">
              <w:t>Resetting Social Security Deeming Rates(b)</w:t>
            </w:r>
          </w:p>
        </w:tc>
        <w:tc>
          <w:tcPr>
            <w:tcW w:w="850" w:type="dxa"/>
            <w:tcBorders>
              <w:bottom w:val="single" w:sz="4" w:space="0" w:color="293F5B"/>
            </w:tcBorders>
            <w:vAlign w:val="bottom"/>
          </w:tcPr>
          <w:p w14:paraId="1E61BD0D"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269E677A" w14:textId="77777777" w:rsidR="00BB2CB4" w:rsidRPr="00222C32" w:rsidRDefault="000674DA">
            <w:pPr>
              <w:pStyle w:val="Summarytabletextrightaligned"/>
            </w:pPr>
            <w:r w:rsidRPr="00222C32">
              <w:t>-6.5</w:t>
            </w:r>
          </w:p>
        </w:tc>
        <w:tc>
          <w:tcPr>
            <w:tcW w:w="850" w:type="dxa"/>
            <w:tcBorders>
              <w:bottom w:val="single" w:sz="4" w:space="0" w:color="293F5B"/>
            </w:tcBorders>
            <w:vAlign w:val="bottom"/>
          </w:tcPr>
          <w:p w14:paraId="25F47F4D" w14:textId="77777777" w:rsidR="00BB2CB4" w:rsidRPr="00222C32" w:rsidRDefault="000674DA">
            <w:pPr>
              <w:pStyle w:val="Summarytabletextrightaligned"/>
            </w:pPr>
            <w:r w:rsidRPr="00222C32">
              <w:t>-12.3</w:t>
            </w:r>
          </w:p>
        </w:tc>
        <w:tc>
          <w:tcPr>
            <w:tcW w:w="850" w:type="dxa"/>
            <w:tcBorders>
              <w:bottom w:val="single" w:sz="4" w:space="0" w:color="293F5B"/>
            </w:tcBorders>
            <w:vAlign w:val="bottom"/>
          </w:tcPr>
          <w:p w14:paraId="2FC4677E" w14:textId="77777777" w:rsidR="00BB2CB4" w:rsidRPr="00222C32" w:rsidRDefault="000674DA">
            <w:pPr>
              <w:pStyle w:val="Summarytabletextrightaligned"/>
            </w:pPr>
            <w:r w:rsidRPr="00222C32">
              <w:t>-11.9</w:t>
            </w:r>
          </w:p>
        </w:tc>
        <w:tc>
          <w:tcPr>
            <w:tcW w:w="850" w:type="dxa"/>
            <w:tcBorders>
              <w:bottom w:val="single" w:sz="4" w:space="0" w:color="293F5B"/>
            </w:tcBorders>
            <w:vAlign w:val="bottom"/>
          </w:tcPr>
          <w:p w14:paraId="1CC3214C" w14:textId="77777777" w:rsidR="00BB2CB4" w:rsidRPr="00222C32" w:rsidRDefault="000674DA">
            <w:pPr>
              <w:pStyle w:val="Summarytabletextrightaligned"/>
            </w:pPr>
            <w:r w:rsidRPr="00222C32">
              <w:t>-11.5</w:t>
            </w:r>
          </w:p>
        </w:tc>
      </w:tr>
      <w:tr w:rsidR="00BB2CB4" w:rsidRPr="00222C32" w14:paraId="5B2BC984" w14:textId="77777777" w:rsidTr="00825163">
        <w:tc>
          <w:tcPr>
            <w:tcW w:w="3471" w:type="dxa"/>
            <w:vAlign w:val="bottom"/>
          </w:tcPr>
          <w:p w14:paraId="492B68E8"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21646646"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23B444AD" w14:textId="77777777" w:rsidR="00BB2CB4" w:rsidRPr="00222C32" w:rsidRDefault="000674DA">
            <w:pPr>
              <w:pStyle w:val="Summarytabletextrightalignedbold"/>
            </w:pPr>
            <w:r w:rsidRPr="00222C32">
              <w:t>60.7</w:t>
            </w:r>
          </w:p>
        </w:tc>
        <w:tc>
          <w:tcPr>
            <w:tcW w:w="850" w:type="dxa"/>
            <w:tcBorders>
              <w:top w:val="single" w:sz="4" w:space="0" w:color="293F5B"/>
              <w:bottom w:val="single" w:sz="4" w:space="0" w:color="293F5B"/>
            </w:tcBorders>
            <w:vAlign w:val="bottom"/>
          </w:tcPr>
          <w:p w14:paraId="55BB71FE" w14:textId="77777777" w:rsidR="00BB2CB4" w:rsidRPr="00222C32" w:rsidRDefault="000674DA">
            <w:pPr>
              <w:pStyle w:val="Summarytabletextrightalignedbold"/>
            </w:pPr>
            <w:r w:rsidRPr="00222C32">
              <w:t>306.4</w:t>
            </w:r>
          </w:p>
        </w:tc>
        <w:tc>
          <w:tcPr>
            <w:tcW w:w="850" w:type="dxa"/>
            <w:tcBorders>
              <w:top w:val="single" w:sz="4" w:space="0" w:color="293F5B"/>
              <w:bottom w:val="single" w:sz="4" w:space="0" w:color="293F5B"/>
            </w:tcBorders>
            <w:vAlign w:val="bottom"/>
          </w:tcPr>
          <w:p w14:paraId="1311129D" w14:textId="77777777" w:rsidR="00BB2CB4" w:rsidRPr="00222C32" w:rsidRDefault="000674DA">
            <w:pPr>
              <w:pStyle w:val="Summarytabletextrightalignedbold"/>
            </w:pPr>
            <w:r w:rsidRPr="00222C32">
              <w:t>239.8</w:t>
            </w:r>
          </w:p>
        </w:tc>
        <w:tc>
          <w:tcPr>
            <w:tcW w:w="850" w:type="dxa"/>
            <w:tcBorders>
              <w:top w:val="single" w:sz="4" w:space="0" w:color="293F5B"/>
              <w:bottom w:val="single" w:sz="4" w:space="0" w:color="293F5B"/>
            </w:tcBorders>
            <w:vAlign w:val="bottom"/>
          </w:tcPr>
          <w:p w14:paraId="1103D5BF" w14:textId="77777777" w:rsidR="00BB2CB4" w:rsidRPr="00222C32" w:rsidRDefault="000674DA">
            <w:pPr>
              <w:pStyle w:val="Summarytabletextrightalignedbold"/>
            </w:pPr>
            <w:r w:rsidRPr="00222C32">
              <w:t>51.6</w:t>
            </w:r>
          </w:p>
        </w:tc>
      </w:tr>
      <w:tr w:rsidR="00BB2CB4" w:rsidRPr="00222C32" w14:paraId="61395876" w14:textId="77777777" w:rsidTr="00825163">
        <w:tc>
          <w:tcPr>
            <w:tcW w:w="3471" w:type="dxa"/>
            <w:vAlign w:val="bottom"/>
          </w:tcPr>
          <w:p w14:paraId="39DEB195" w14:textId="77777777" w:rsidR="00BB2CB4" w:rsidRPr="00222C32" w:rsidRDefault="000674DA">
            <w:pPr>
              <w:pStyle w:val="SummaryPortfolioTitle-BP2"/>
            </w:pPr>
            <w:r w:rsidRPr="00222C32">
              <w:t>EDUCATION</w:t>
            </w:r>
          </w:p>
        </w:tc>
        <w:tc>
          <w:tcPr>
            <w:tcW w:w="850" w:type="dxa"/>
            <w:tcBorders>
              <w:top w:val="single" w:sz="4" w:space="0" w:color="293F5B"/>
            </w:tcBorders>
          </w:tcPr>
          <w:p w14:paraId="2F4F78CC"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6D9F185" w14:textId="77777777" w:rsidR="00BB2CB4" w:rsidRPr="00222C32" w:rsidRDefault="00BB2CB4">
            <w:pPr>
              <w:pStyle w:val="MeasureTableTextRightAlignedBefore6ptAfter1pt"/>
            </w:pPr>
          </w:p>
        </w:tc>
        <w:tc>
          <w:tcPr>
            <w:tcW w:w="850" w:type="dxa"/>
            <w:tcBorders>
              <w:top w:val="single" w:sz="4" w:space="0" w:color="293F5B"/>
            </w:tcBorders>
          </w:tcPr>
          <w:p w14:paraId="421332C3" w14:textId="77777777" w:rsidR="00BB2CB4" w:rsidRPr="00222C32" w:rsidRDefault="00BB2CB4">
            <w:pPr>
              <w:pStyle w:val="MeasureTableTextRightAlignedBefore6ptAfter1pt"/>
            </w:pPr>
          </w:p>
        </w:tc>
        <w:tc>
          <w:tcPr>
            <w:tcW w:w="850" w:type="dxa"/>
            <w:tcBorders>
              <w:top w:val="single" w:sz="4" w:space="0" w:color="293F5B"/>
            </w:tcBorders>
          </w:tcPr>
          <w:p w14:paraId="758F4C90" w14:textId="77777777" w:rsidR="00BB2CB4" w:rsidRPr="00222C32" w:rsidRDefault="00BB2CB4">
            <w:pPr>
              <w:pStyle w:val="MeasureTableTextRightAlignedBefore6ptAfter1pt"/>
            </w:pPr>
          </w:p>
        </w:tc>
        <w:tc>
          <w:tcPr>
            <w:tcW w:w="850" w:type="dxa"/>
            <w:tcBorders>
              <w:top w:val="single" w:sz="4" w:space="0" w:color="293F5B"/>
            </w:tcBorders>
          </w:tcPr>
          <w:p w14:paraId="15791578" w14:textId="77777777" w:rsidR="00BB2CB4" w:rsidRPr="00222C32" w:rsidRDefault="00BB2CB4">
            <w:pPr>
              <w:pStyle w:val="MeasureTableTextRightAlignedBefore6ptAfter1pt"/>
            </w:pPr>
          </w:p>
        </w:tc>
      </w:tr>
      <w:tr w:rsidR="00BB2CB4" w:rsidRPr="00222C32" w14:paraId="4BD5CBA3" w14:textId="77777777" w:rsidTr="00825163">
        <w:tc>
          <w:tcPr>
            <w:tcW w:w="3471" w:type="dxa"/>
            <w:vAlign w:val="bottom"/>
          </w:tcPr>
          <w:p w14:paraId="700385B9" w14:textId="77777777" w:rsidR="00BB2CB4" w:rsidRPr="00222C32" w:rsidRDefault="000674DA">
            <w:pPr>
              <w:pStyle w:val="SummaryAgencyTitle-BP2"/>
            </w:pPr>
            <w:r w:rsidRPr="00222C32">
              <w:t>Department of Education</w:t>
            </w:r>
          </w:p>
        </w:tc>
        <w:tc>
          <w:tcPr>
            <w:tcW w:w="850" w:type="dxa"/>
          </w:tcPr>
          <w:p w14:paraId="522E08C3" w14:textId="77777777" w:rsidR="00BB2CB4" w:rsidRPr="00222C32" w:rsidRDefault="00BB2CB4">
            <w:pPr>
              <w:pStyle w:val="SummaryAgencyTitle-BP2"/>
            </w:pPr>
          </w:p>
        </w:tc>
        <w:tc>
          <w:tcPr>
            <w:tcW w:w="850" w:type="dxa"/>
            <w:shd w:val="clear" w:color="auto" w:fill="E6F2FF"/>
          </w:tcPr>
          <w:p w14:paraId="4B12F2BC" w14:textId="77777777" w:rsidR="00BB2CB4" w:rsidRPr="00222C32" w:rsidRDefault="00BB2CB4">
            <w:pPr>
              <w:pStyle w:val="SummaryAgencyTitle-BP2"/>
            </w:pPr>
          </w:p>
        </w:tc>
        <w:tc>
          <w:tcPr>
            <w:tcW w:w="850" w:type="dxa"/>
          </w:tcPr>
          <w:p w14:paraId="30F70498" w14:textId="77777777" w:rsidR="00BB2CB4" w:rsidRPr="00222C32" w:rsidRDefault="00BB2CB4">
            <w:pPr>
              <w:pStyle w:val="SummaryAgencyTitle-BP2"/>
            </w:pPr>
          </w:p>
        </w:tc>
        <w:tc>
          <w:tcPr>
            <w:tcW w:w="850" w:type="dxa"/>
          </w:tcPr>
          <w:p w14:paraId="0F77FD16" w14:textId="77777777" w:rsidR="00BB2CB4" w:rsidRPr="00222C32" w:rsidRDefault="00BB2CB4">
            <w:pPr>
              <w:pStyle w:val="SummaryAgencyTitle-BP2"/>
            </w:pPr>
          </w:p>
        </w:tc>
        <w:tc>
          <w:tcPr>
            <w:tcW w:w="850" w:type="dxa"/>
          </w:tcPr>
          <w:p w14:paraId="0934DB82" w14:textId="77777777" w:rsidR="00BB2CB4" w:rsidRPr="00222C32" w:rsidRDefault="00BB2CB4">
            <w:pPr>
              <w:pStyle w:val="SummaryAgencyTitle-BP2"/>
            </w:pPr>
          </w:p>
        </w:tc>
      </w:tr>
      <w:tr w:rsidR="00BB2CB4" w:rsidRPr="00222C32" w14:paraId="2DAD56C3" w14:textId="77777777" w:rsidTr="00825163">
        <w:tc>
          <w:tcPr>
            <w:tcW w:w="3471" w:type="dxa"/>
            <w:vAlign w:val="bottom"/>
          </w:tcPr>
          <w:p w14:paraId="63F21C02" w14:textId="77777777" w:rsidR="00BB2CB4" w:rsidRPr="00222C32" w:rsidRDefault="000674DA">
            <w:pPr>
              <w:pStyle w:val="SummaryMeasureTitlewithTheme"/>
            </w:pPr>
            <w:r w:rsidRPr="00222C32">
              <w:t>A Fairer More Efficient Social Security System(b)</w:t>
            </w:r>
          </w:p>
        </w:tc>
        <w:tc>
          <w:tcPr>
            <w:tcW w:w="850" w:type="dxa"/>
            <w:vAlign w:val="bottom"/>
          </w:tcPr>
          <w:p w14:paraId="5A2952DD" w14:textId="77777777" w:rsidR="00BB2CB4" w:rsidRPr="00222C32" w:rsidRDefault="000674DA">
            <w:pPr>
              <w:pStyle w:val="Summarytabletextrightaligned"/>
            </w:pPr>
            <w:r w:rsidRPr="00222C32">
              <w:t>-</w:t>
            </w:r>
          </w:p>
        </w:tc>
        <w:tc>
          <w:tcPr>
            <w:tcW w:w="850" w:type="dxa"/>
            <w:shd w:val="clear" w:color="auto" w:fill="E6F2FF"/>
            <w:vAlign w:val="bottom"/>
          </w:tcPr>
          <w:p w14:paraId="7E5CD5D4" w14:textId="77777777" w:rsidR="00BB2CB4" w:rsidRPr="00222C32" w:rsidRDefault="000674DA">
            <w:pPr>
              <w:pStyle w:val="Summarytabletextrightaligned"/>
            </w:pPr>
            <w:r w:rsidRPr="00222C32">
              <w:t>-</w:t>
            </w:r>
          </w:p>
        </w:tc>
        <w:tc>
          <w:tcPr>
            <w:tcW w:w="850" w:type="dxa"/>
            <w:vAlign w:val="bottom"/>
          </w:tcPr>
          <w:p w14:paraId="4A841549" w14:textId="77777777" w:rsidR="00BB2CB4" w:rsidRPr="00222C32" w:rsidRDefault="000674DA">
            <w:pPr>
              <w:pStyle w:val="Summarytabletextrightaligned"/>
            </w:pPr>
            <w:r w:rsidRPr="00222C32">
              <w:t>0.2</w:t>
            </w:r>
          </w:p>
        </w:tc>
        <w:tc>
          <w:tcPr>
            <w:tcW w:w="850" w:type="dxa"/>
            <w:vAlign w:val="bottom"/>
          </w:tcPr>
          <w:p w14:paraId="48316151" w14:textId="77777777" w:rsidR="00BB2CB4" w:rsidRPr="00222C32" w:rsidRDefault="000674DA">
            <w:pPr>
              <w:pStyle w:val="Summarytabletextrightaligned"/>
            </w:pPr>
            <w:r w:rsidRPr="00222C32">
              <w:t>-</w:t>
            </w:r>
          </w:p>
        </w:tc>
        <w:tc>
          <w:tcPr>
            <w:tcW w:w="850" w:type="dxa"/>
            <w:vAlign w:val="bottom"/>
          </w:tcPr>
          <w:p w14:paraId="296F4B6D" w14:textId="77777777" w:rsidR="00BB2CB4" w:rsidRPr="00222C32" w:rsidRDefault="000674DA">
            <w:pPr>
              <w:pStyle w:val="Summarytabletextrightaligned"/>
            </w:pPr>
            <w:r w:rsidRPr="00222C32">
              <w:t>-</w:t>
            </w:r>
          </w:p>
        </w:tc>
      </w:tr>
      <w:tr w:rsidR="00BB2CB4" w:rsidRPr="00222C32" w14:paraId="25863043" w14:textId="77777777" w:rsidTr="00825163">
        <w:tc>
          <w:tcPr>
            <w:tcW w:w="3471" w:type="dxa"/>
            <w:vAlign w:val="bottom"/>
          </w:tcPr>
          <w:p w14:paraId="6DE63939" w14:textId="77777777" w:rsidR="00BB2CB4" w:rsidRPr="00222C32" w:rsidRDefault="000674DA">
            <w:pPr>
              <w:pStyle w:val="SummaryMeasureTitlewithTheme"/>
            </w:pPr>
            <w:r w:rsidRPr="00222C32">
              <w:t>Delivering Election Commitments in the Health, Disability and Ageing Portfolio(b)</w:t>
            </w:r>
          </w:p>
        </w:tc>
        <w:tc>
          <w:tcPr>
            <w:tcW w:w="850" w:type="dxa"/>
            <w:vAlign w:val="bottom"/>
          </w:tcPr>
          <w:p w14:paraId="342E3D5D" w14:textId="77777777" w:rsidR="00BB2CB4" w:rsidRPr="00222C32" w:rsidRDefault="000674DA">
            <w:pPr>
              <w:pStyle w:val="Summarytabletextrightaligned"/>
            </w:pPr>
            <w:r w:rsidRPr="00222C32">
              <w:t>-</w:t>
            </w:r>
          </w:p>
        </w:tc>
        <w:tc>
          <w:tcPr>
            <w:tcW w:w="850" w:type="dxa"/>
            <w:shd w:val="clear" w:color="auto" w:fill="E6F2FF"/>
            <w:vAlign w:val="bottom"/>
          </w:tcPr>
          <w:p w14:paraId="6CF4E3C9" w14:textId="77777777" w:rsidR="00BB2CB4" w:rsidRPr="00222C32" w:rsidRDefault="000674DA">
            <w:pPr>
              <w:pStyle w:val="Summarytabletextrightaligned"/>
            </w:pPr>
            <w:r w:rsidRPr="00222C32">
              <w:t>-</w:t>
            </w:r>
          </w:p>
        </w:tc>
        <w:tc>
          <w:tcPr>
            <w:tcW w:w="850" w:type="dxa"/>
            <w:vAlign w:val="bottom"/>
          </w:tcPr>
          <w:p w14:paraId="09D38F68" w14:textId="77777777" w:rsidR="00BB2CB4" w:rsidRPr="00222C32" w:rsidRDefault="000674DA">
            <w:pPr>
              <w:pStyle w:val="Summarytabletextrightaligned"/>
            </w:pPr>
            <w:r w:rsidRPr="00222C32">
              <w:t>-</w:t>
            </w:r>
          </w:p>
        </w:tc>
        <w:tc>
          <w:tcPr>
            <w:tcW w:w="850" w:type="dxa"/>
            <w:vAlign w:val="bottom"/>
          </w:tcPr>
          <w:p w14:paraId="14314627" w14:textId="77777777" w:rsidR="00BB2CB4" w:rsidRPr="00222C32" w:rsidRDefault="000674DA">
            <w:pPr>
              <w:pStyle w:val="Summarytabletextrightaligned"/>
            </w:pPr>
            <w:r w:rsidRPr="00222C32">
              <w:t>-</w:t>
            </w:r>
          </w:p>
        </w:tc>
        <w:tc>
          <w:tcPr>
            <w:tcW w:w="850" w:type="dxa"/>
            <w:vAlign w:val="bottom"/>
          </w:tcPr>
          <w:p w14:paraId="415CF094" w14:textId="77777777" w:rsidR="00BB2CB4" w:rsidRPr="00222C32" w:rsidRDefault="000674DA">
            <w:pPr>
              <w:pStyle w:val="Summarytabletextrightaligned"/>
            </w:pPr>
            <w:r w:rsidRPr="00222C32">
              <w:t>-</w:t>
            </w:r>
          </w:p>
        </w:tc>
      </w:tr>
      <w:tr w:rsidR="00BB2CB4" w:rsidRPr="00222C32" w14:paraId="3D9B76A9" w14:textId="77777777" w:rsidTr="00825163">
        <w:tc>
          <w:tcPr>
            <w:tcW w:w="3471" w:type="dxa"/>
            <w:vAlign w:val="bottom"/>
          </w:tcPr>
          <w:p w14:paraId="27F653A8" w14:textId="77777777" w:rsidR="00BB2CB4" w:rsidRPr="00222C32" w:rsidRDefault="000674DA">
            <w:pPr>
              <w:pStyle w:val="SummaryMeasureTitlewithTheme"/>
            </w:pPr>
            <w:r w:rsidRPr="00222C32">
              <w:t>Developing a Framework of Remuneration Classification Ranges for University Vice‑Chancellor Remuneration</w:t>
            </w:r>
          </w:p>
        </w:tc>
        <w:tc>
          <w:tcPr>
            <w:tcW w:w="850" w:type="dxa"/>
            <w:vAlign w:val="bottom"/>
          </w:tcPr>
          <w:p w14:paraId="2FF41B4A" w14:textId="77777777" w:rsidR="00BB2CB4" w:rsidRPr="00222C32" w:rsidRDefault="000674DA">
            <w:pPr>
              <w:pStyle w:val="Summarytabletextrightaligned"/>
            </w:pPr>
            <w:r w:rsidRPr="00222C32">
              <w:t>-</w:t>
            </w:r>
          </w:p>
        </w:tc>
        <w:tc>
          <w:tcPr>
            <w:tcW w:w="850" w:type="dxa"/>
            <w:shd w:val="clear" w:color="auto" w:fill="E6F2FF"/>
            <w:vAlign w:val="bottom"/>
          </w:tcPr>
          <w:p w14:paraId="42C7B5C2" w14:textId="77777777" w:rsidR="00BB2CB4" w:rsidRPr="00222C32" w:rsidRDefault="000674DA">
            <w:pPr>
              <w:pStyle w:val="Summarytabletextrightaligned"/>
            </w:pPr>
            <w:r w:rsidRPr="00222C32">
              <w:t>-</w:t>
            </w:r>
          </w:p>
        </w:tc>
        <w:tc>
          <w:tcPr>
            <w:tcW w:w="850" w:type="dxa"/>
            <w:vAlign w:val="bottom"/>
          </w:tcPr>
          <w:p w14:paraId="02949F15" w14:textId="77777777" w:rsidR="00BB2CB4" w:rsidRPr="00222C32" w:rsidRDefault="000674DA">
            <w:pPr>
              <w:pStyle w:val="Summarytabletextrightaligned"/>
            </w:pPr>
            <w:r w:rsidRPr="00222C32">
              <w:t>-</w:t>
            </w:r>
          </w:p>
        </w:tc>
        <w:tc>
          <w:tcPr>
            <w:tcW w:w="850" w:type="dxa"/>
            <w:vAlign w:val="bottom"/>
          </w:tcPr>
          <w:p w14:paraId="1AA7A6AC" w14:textId="77777777" w:rsidR="00BB2CB4" w:rsidRPr="00222C32" w:rsidRDefault="000674DA">
            <w:pPr>
              <w:pStyle w:val="Summarytabletextrightaligned"/>
            </w:pPr>
            <w:r w:rsidRPr="00222C32">
              <w:t>-</w:t>
            </w:r>
          </w:p>
        </w:tc>
        <w:tc>
          <w:tcPr>
            <w:tcW w:w="850" w:type="dxa"/>
            <w:vAlign w:val="bottom"/>
          </w:tcPr>
          <w:p w14:paraId="2CB1D740" w14:textId="77777777" w:rsidR="00BB2CB4" w:rsidRPr="00222C32" w:rsidRDefault="000674DA">
            <w:pPr>
              <w:pStyle w:val="Summarytabletextrightaligned"/>
            </w:pPr>
            <w:r w:rsidRPr="00222C32">
              <w:t>-</w:t>
            </w:r>
          </w:p>
        </w:tc>
      </w:tr>
      <w:tr w:rsidR="00BB2CB4" w:rsidRPr="00222C32" w14:paraId="3530FE2D" w14:textId="77777777" w:rsidTr="00825163">
        <w:tc>
          <w:tcPr>
            <w:tcW w:w="3471" w:type="dxa"/>
            <w:vAlign w:val="bottom"/>
          </w:tcPr>
          <w:p w14:paraId="10240505" w14:textId="77777777" w:rsidR="00BB2CB4" w:rsidRPr="00222C32" w:rsidRDefault="000674DA">
            <w:pPr>
              <w:pStyle w:val="SummaryMeasureTitlewithTheme"/>
            </w:pPr>
            <w:r w:rsidRPr="00222C32">
              <w:t>Early Childhood Education and Care Worker Retention Payment – additional support</w:t>
            </w:r>
          </w:p>
        </w:tc>
        <w:tc>
          <w:tcPr>
            <w:tcW w:w="850" w:type="dxa"/>
            <w:vAlign w:val="bottom"/>
          </w:tcPr>
          <w:p w14:paraId="50E13934" w14:textId="77777777" w:rsidR="00BB2CB4" w:rsidRPr="00222C32" w:rsidRDefault="000674DA">
            <w:pPr>
              <w:pStyle w:val="Summarytabletextrightaligned"/>
            </w:pPr>
            <w:r w:rsidRPr="00222C32">
              <w:t>-</w:t>
            </w:r>
          </w:p>
        </w:tc>
        <w:tc>
          <w:tcPr>
            <w:tcW w:w="850" w:type="dxa"/>
            <w:shd w:val="clear" w:color="auto" w:fill="E6F2FF"/>
            <w:vAlign w:val="bottom"/>
          </w:tcPr>
          <w:p w14:paraId="6B5C560E" w14:textId="77777777" w:rsidR="00BB2CB4" w:rsidRPr="00222C32" w:rsidRDefault="000674DA">
            <w:pPr>
              <w:pStyle w:val="Summarytabletextrightaligned"/>
            </w:pPr>
            <w:r w:rsidRPr="00222C32">
              <w:t>-</w:t>
            </w:r>
          </w:p>
        </w:tc>
        <w:tc>
          <w:tcPr>
            <w:tcW w:w="850" w:type="dxa"/>
            <w:vAlign w:val="bottom"/>
          </w:tcPr>
          <w:p w14:paraId="505E52F1" w14:textId="77777777" w:rsidR="00BB2CB4" w:rsidRPr="00222C32" w:rsidRDefault="000674DA">
            <w:pPr>
              <w:pStyle w:val="Summarytabletextrightaligned"/>
            </w:pPr>
            <w:r w:rsidRPr="00222C32">
              <w:t>-</w:t>
            </w:r>
          </w:p>
        </w:tc>
        <w:tc>
          <w:tcPr>
            <w:tcW w:w="850" w:type="dxa"/>
            <w:vAlign w:val="bottom"/>
          </w:tcPr>
          <w:p w14:paraId="4DA0CB21" w14:textId="77777777" w:rsidR="00BB2CB4" w:rsidRPr="00222C32" w:rsidRDefault="000674DA">
            <w:pPr>
              <w:pStyle w:val="Summarytabletextrightaligned"/>
            </w:pPr>
            <w:r w:rsidRPr="00222C32">
              <w:t>-</w:t>
            </w:r>
          </w:p>
        </w:tc>
        <w:tc>
          <w:tcPr>
            <w:tcW w:w="850" w:type="dxa"/>
            <w:vAlign w:val="bottom"/>
          </w:tcPr>
          <w:p w14:paraId="2C9D9A30" w14:textId="77777777" w:rsidR="00BB2CB4" w:rsidRPr="00222C32" w:rsidRDefault="000674DA">
            <w:pPr>
              <w:pStyle w:val="Summarytabletextrightaligned"/>
            </w:pPr>
            <w:r w:rsidRPr="00222C32">
              <w:t>-</w:t>
            </w:r>
          </w:p>
        </w:tc>
      </w:tr>
      <w:tr w:rsidR="00BB2CB4" w:rsidRPr="00222C32" w14:paraId="5C59F84E" w14:textId="77777777" w:rsidTr="00825163">
        <w:tc>
          <w:tcPr>
            <w:tcW w:w="3471" w:type="dxa"/>
            <w:vAlign w:val="bottom"/>
          </w:tcPr>
          <w:p w14:paraId="3393DCEA" w14:textId="77777777" w:rsidR="00BB2CB4" w:rsidRPr="00222C32" w:rsidRDefault="000674DA">
            <w:pPr>
              <w:pStyle w:val="SummaryMeasureTitlewithTheme"/>
            </w:pPr>
            <w:r w:rsidRPr="00222C32">
              <w:t>Education – reprioritisation</w:t>
            </w:r>
          </w:p>
        </w:tc>
        <w:tc>
          <w:tcPr>
            <w:tcW w:w="850" w:type="dxa"/>
            <w:vAlign w:val="bottom"/>
          </w:tcPr>
          <w:p w14:paraId="4A8ECB4F" w14:textId="77777777" w:rsidR="00BB2CB4" w:rsidRPr="00222C32" w:rsidRDefault="000674DA">
            <w:pPr>
              <w:pStyle w:val="Summarytabletextrightaligned"/>
            </w:pPr>
            <w:r w:rsidRPr="00222C32">
              <w:t>-</w:t>
            </w:r>
          </w:p>
        </w:tc>
        <w:tc>
          <w:tcPr>
            <w:tcW w:w="850" w:type="dxa"/>
            <w:shd w:val="clear" w:color="auto" w:fill="E6F2FF"/>
            <w:vAlign w:val="bottom"/>
          </w:tcPr>
          <w:p w14:paraId="631A686B" w14:textId="77777777" w:rsidR="00BB2CB4" w:rsidRPr="00222C32" w:rsidRDefault="000674DA">
            <w:pPr>
              <w:pStyle w:val="Summarytabletextrightaligned"/>
            </w:pPr>
            <w:r w:rsidRPr="00222C32">
              <w:t>-50.5</w:t>
            </w:r>
          </w:p>
        </w:tc>
        <w:tc>
          <w:tcPr>
            <w:tcW w:w="850" w:type="dxa"/>
            <w:vAlign w:val="bottom"/>
          </w:tcPr>
          <w:p w14:paraId="0724BF18" w14:textId="77777777" w:rsidR="00BB2CB4" w:rsidRPr="00222C32" w:rsidRDefault="000674DA">
            <w:pPr>
              <w:pStyle w:val="Summarytabletextrightaligned"/>
            </w:pPr>
            <w:r w:rsidRPr="00222C32">
              <w:t>-120.7</w:t>
            </w:r>
          </w:p>
        </w:tc>
        <w:tc>
          <w:tcPr>
            <w:tcW w:w="850" w:type="dxa"/>
            <w:vAlign w:val="bottom"/>
          </w:tcPr>
          <w:p w14:paraId="27C3B69D" w14:textId="77777777" w:rsidR="00BB2CB4" w:rsidRPr="00222C32" w:rsidRDefault="000674DA">
            <w:pPr>
              <w:pStyle w:val="Summarytabletextrightaligned"/>
            </w:pPr>
            <w:r w:rsidRPr="00222C32">
              <w:t>-99.8</w:t>
            </w:r>
          </w:p>
        </w:tc>
        <w:tc>
          <w:tcPr>
            <w:tcW w:w="850" w:type="dxa"/>
            <w:vAlign w:val="bottom"/>
          </w:tcPr>
          <w:p w14:paraId="1A417609" w14:textId="77777777" w:rsidR="00BB2CB4" w:rsidRPr="00222C32" w:rsidRDefault="000674DA">
            <w:pPr>
              <w:pStyle w:val="Summarytabletextrightaligned"/>
            </w:pPr>
            <w:r w:rsidRPr="00222C32">
              <w:t>-87.7</w:t>
            </w:r>
          </w:p>
        </w:tc>
      </w:tr>
      <w:tr w:rsidR="00BB2CB4" w:rsidRPr="00222C32" w14:paraId="29DAE869" w14:textId="77777777" w:rsidTr="00825163">
        <w:tc>
          <w:tcPr>
            <w:tcW w:w="3471" w:type="dxa"/>
            <w:vAlign w:val="bottom"/>
          </w:tcPr>
          <w:p w14:paraId="0297BBA8" w14:textId="77777777" w:rsidR="00BB2CB4" w:rsidRPr="00222C32" w:rsidRDefault="000674DA">
            <w:pPr>
              <w:pStyle w:val="SummaryMeasureTitlewithTheme"/>
            </w:pPr>
            <w:r w:rsidRPr="00222C32">
              <w:t>Funding for Mid‑Year Reception in South Australian Non‑Government Schools</w:t>
            </w:r>
          </w:p>
        </w:tc>
        <w:tc>
          <w:tcPr>
            <w:tcW w:w="850" w:type="dxa"/>
            <w:vAlign w:val="bottom"/>
          </w:tcPr>
          <w:p w14:paraId="1206BE0D" w14:textId="77777777" w:rsidR="00BB2CB4" w:rsidRPr="00222C32" w:rsidRDefault="000674DA">
            <w:pPr>
              <w:pStyle w:val="Summarytabletextrightaligned"/>
            </w:pPr>
            <w:r w:rsidRPr="00222C32">
              <w:t>-</w:t>
            </w:r>
          </w:p>
        </w:tc>
        <w:tc>
          <w:tcPr>
            <w:tcW w:w="850" w:type="dxa"/>
            <w:shd w:val="clear" w:color="auto" w:fill="E6F2FF"/>
            <w:vAlign w:val="bottom"/>
          </w:tcPr>
          <w:p w14:paraId="27B5BE09" w14:textId="77777777" w:rsidR="00BB2CB4" w:rsidRPr="00222C32" w:rsidRDefault="000674DA">
            <w:pPr>
              <w:pStyle w:val="Summarytabletextrightaligned"/>
            </w:pPr>
            <w:r w:rsidRPr="00222C32">
              <w:t>-</w:t>
            </w:r>
          </w:p>
        </w:tc>
        <w:tc>
          <w:tcPr>
            <w:tcW w:w="850" w:type="dxa"/>
            <w:vAlign w:val="bottom"/>
          </w:tcPr>
          <w:p w14:paraId="02482A6D" w14:textId="77777777" w:rsidR="00BB2CB4" w:rsidRPr="00222C32" w:rsidRDefault="000674DA">
            <w:pPr>
              <w:pStyle w:val="Summarytabletextrightaligned"/>
            </w:pPr>
            <w:r w:rsidRPr="00222C32">
              <w:t>-</w:t>
            </w:r>
          </w:p>
        </w:tc>
        <w:tc>
          <w:tcPr>
            <w:tcW w:w="850" w:type="dxa"/>
            <w:vAlign w:val="bottom"/>
          </w:tcPr>
          <w:p w14:paraId="25905232" w14:textId="77777777" w:rsidR="00BB2CB4" w:rsidRPr="00222C32" w:rsidRDefault="000674DA">
            <w:pPr>
              <w:pStyle w:val="Summarytabletextrightaligned"/>
            </w:pPr>
            <w:r w:rsidRPr="00222C32">
              <w:t>-</w:t>
            </w:r>
          </w:p>
        </w:tc>
        <w:tc>
          <w:tcPr>
            <w:tcW w:w="850" w:type="dxa"/>
            <w:vAlign w:val="bottom"/>
          </w:tcPr>
          <w:p w14:paraId="2CADFD4B" w14:textId="77777777" w:rsidR="00BB2CB4" w:rsidRPr="00222C32" w:rsidRDefault="000674DA">
            <w:pPr>
              <w:pStyle w:val="Summarytabletextrightaligned"/>
            </w:pPr>
            <w:r w:rsidRPr="00222C32">
              <w:t>-</w:t>
            </w:r>
          </w:p>
        </w:tc>
      </w:tr>
      <w:tr w:rsidR="00BB2CB4" w:rsidRPr="00222C32" w14:paraId="47948582" w14:textId="77777777" w:rsidTr="00825163">
        <w:tc>
          <w:tcPr>
            <w:tcW w:w="3471" w:type="dxa"/>
            <w:vAlign w:val="bottom"/>
          </w:tcPr>
          <w:p w14:paraId="4E12C688" w14:textId="77777777" w:rsidR="00BB2CB4" w:rsidRPr="00222C32" w:rsidRDefault="000674DA">
            <w:pPr>
              <w:pStyle w:val="SummaryMeasureTitlewithTheme"/>
            </w:pPr>
            <w:r w:rsidRPr="00222C32">
              <w:t>Funding for Sikh Grammar School – early education and care service</w:t>
            </w:r>
          </w:p>
        </w:tc>
        <w:tc>
          <w:tcPr>
            <w:tcW w:w="850" w:type="dxa"/>
            <w:vAlign w:val="bottom"/>
          </w:tcPr>
          <w:p w14:paraId="415726B3" w14:textId="77777777" w:rsidR="00BB2CB4" w:rsidRPr="00222C32" w:rsidRDefault="000674DA">
            <w:pPr>
              <w:pStyle w:val="Summarytabletextrightaligned"/>
            </w:pPr>
            <w:r w:rsidRPr="00222C32">
              <w:t>-</w:t>
            </w:r>
          </w:p>
        </w:tc>
        <w:tc>
          <w:tcPr>
            <w:tcW w:w="850" w:type="dxa"/>
            <w:shd w:val="clear" w:color="auto" w:fill="E6F2FF"/>
            <w:vAlign w:val="bottom"/>
          </w:tcPr>
          <w:p w14:paraId="47746BF5" w14:textId="77777777" w:rsidR="00BB2CB4" w:rsidRPr="00222C32" w:rsidRDefault="000674DA">
            <w:pPr>
              <w:pStyle w:val="Summarytabletextrightaligned"/>
            </w:pPr>
            <w:r w:rsidRPr="00222C32">
              <w:t>-</w:t>
            </w:r>
          </w:p>
        </w:tc>
        <w:tc>
          <w:tcPr>
            <w:tcW w:w="850" w:type="dxa"/>
            <w:vAlign w:val="bottom"/>
          </w:tcPr>
          <w:p w14:paraId="585E620E" w14:textId="77777777" w:rsidR="00BB2CB4" w:rsidRPr="00222C32" w:rsidRDefault="000674DA">
            <w:pPr>
              <w:pStyle w:val="Summarytabletextrightaligned"/>
            </w:pPr>
            <w:r w:rsidRPr="00222C32">
              <w:t>-</w:t>
            </w:r>
          </w:p>
        </w:tc>
        <w:tc>
          <w:tcPr>
            <w:tcW w:w="850" w:type="dxa"/>
            <w:vAlign w:val="bottom"/>
          </w:tcPr>
          <w:p w14:paraId="37E49AF0" w14:textId="77777777" w:rsidR="00BB2CB4" w:rsidRPr="00222C32" w:rsidRDefault="000674DA">
            <w:pPr>
              <w:pStyle w:val="Summarytabletextrightaligned"/>
            </w:pPr>
            <w:r w:rsidRPr="00222C32">
              <w:t>-</w:t>
            </w:r>
          </w:p>
        </w:tc>
        <w:tc>
          <w:tcPr>
            <w:tcW w:w="850" w:type="dxa"/>
            <w:vAlign w:val="bottom"/>
          </w:tcPr>
          <w:p w14:paraId="5818B996" w14:textId="77777777" w:rsidR="00BB2CB4" w:rsidRPr="00222C32" w:rsidRDefault="000674DA">
            <w:pPr>
              <w:pStyle w:val="Summarytabletextrightaligned"/>
            </w:pPr>
            <w:r w:rsidRPr="00222C32">
              <w:t>-</w:t>
            </w:r>
          </w:p>
        </w:tc>
      </w:tr>
      <w:tr w:rsidR="00BB2CB4" w:rsidRPr="00222C32" w14:paraId="62E1394C" w14:textId="77777777" w:rsidTr="00825163">
        <w:tc>
          <w:tcPr>
            <w:tcW w:w="3471" w:type="dxa"/>
            <w:vAlign w:val="bottom"/>
          </w:tcPr>
          <w:p w14:paraId="27D2BA26" w14:textId="77777777" w:rsidR="00BB2CB4" w:rsidRPr="00222C32" w:rsidRDefault="000674DA">
            <w:pPr>
              <w:pStyle w:val="SummaryMeasureTitlewithTheme"/>
            </w:pPr>
            <w:r w:rsidRPr="00222C32">
              <w:t>Guaranteeing Universal Access to Preschool</w:t>
            </w:r>
          </w:p>
        </w:tc>
        <w:tc>
          <w:tcPr>
            <w:tcW w:w="850" w:type="dxa"/>
            <w:vAlign w:val="bottom"/>
          </w:tcPr>
          <w:p w14:paraId="5A3C0930" w14:textId="77777777" w:rsidR="00BB2CB4" w:rsidRPr="00222C32" w:rsidRDefault="000674DA">
            <w:pPr>
              <w:pStyle w:val="Summarytabletextrightaligned"/>
            </w:pPr>
            <w:r w:rsidRPr="00222C32">
              <w:t>-</w:t>
            </w:r>
          </w:p>
        </w:tc>
        <w:tc>
          <w:tcPr>
            <w:tcW w:w="850" w:type="dxa"/>
            <w:shd w:val="clear" w:color="auto" w:fill="E6F2FF"/>
            <w:vAlign w:val="bottom"/>
          </w:tcPr>
          <w:p w14:paraId="4C3957EB" w14:textId="77777777" w:rsidR="00BB2CB4" w:rsidRPr="00222C32" w:rsidRDefault="000674DA">
            <w:pPr>
              <w:pStyle w:val="Summarytabletextrightaligned"/>
            </w:pPr>
            <w:r w:rsidRPr="00222C32">
              <w:t>0.7</w:t>
            </w:r>
          </w:p>
        </w:tc>
        <w:tc>
          <w:tcPr>
            <w:tcW w:w="850" w:type="dxa"/>
            <w:vAlign w:val="bottom"/>
          </w:tcPr>
          <w:p w14:paraId="4EEEB846" w14:textId="77777777" w:rsidR="00BB2CB4" w:rsidRPr="00222C32" w:rsidRDefault="000674DA">
            <w:pPr>
              <w:pStyle w:val="Summarytabletextrightaligned"/>
            </w:pPr>
            <w:r w:rsidRPr="00222C32">
              <w:t>2.5</w:t>
            </w:r>
          </w:p>
        </w:tc>
        <w:tc>
          <w:tcPr>
            <w:tcW w:w="850" w:type="dxa"/>
            <w:vAlign w:val="bottom"/>
          </w:tcPr>
          <w:p w14:paraId="37203078" w14:textId="77777777" w:rsidR="00BB2CB4" w:rsidRPr="00222C32" w:rsidRDefault="000674DA">
            <w:pPr>
              <w:pStyle w:val="Summarytabletextrightaligned"/>
            </w:pPr>
            <w:r w:rsidRPr="00222C32">
              <w:t>1.2</w:t>
            </w:r>
          </w:p>
        </w:tc>
        <w:tc>
          <w:tcPr>
            <w:tcW w:w="850" w:type="dxa"/>
            <w:vAlign w:val="bottom"/>
          </w:tcPr>
          <w:p w14:paraId="68F039AB" w14:textId="77777777" w:rsidR="00BB2CB4" w:rsidRPr="00222C32" w:rsidRDefault="000674DA">
            <w:pPr>
              <w:pStyle w:val="Summarytabletextrightaligned"/>
            </w:pPr>
            <w:r w:rsidRPr="00222C32">
              <w:t>-</w:t>
            </w:r>
          </w:p>
        </w:tc>
      </w:tr>
      <w:tr w:rsidR="00BB2CB4" w:rsidRPr="00222C32" w14:paraId="106BFCC8" w14:textId="77777777" w:rsidTr="00825163">
        <w:tc>
          <w:tcPr>
            <w:tcW w:w="3471" w:type="dxa"/>
            <w:tcBorders>
              <w:bottom w:val="nil"/>
            </w:tcBorders>
            <w:vAlign w:val="bottom"/>
          </w:tcPr>
          <w:p w14:paraId="75601330" w14:textId="77777777" w:rsidR="00BB2CB4" w:rsidRPr="00222C32" w:rsidRDefault="000674DA">
            <w:pPr>
              <w:pStyle w:val="SummaryMeasureTitlewithTheme"/>
            </w:pPr>
            <w:r w:rsidRPr="00222C32">
              <w:t>Improving Outcomes in Australian Schools</w:t>
            </w:r>
          </w:p>
        </w:tc>
        <w:tc>
          <w:tcPr>
            <w:tcW w:w="850" w:type="dxa"/>
            <w:tcBorders>
              <w:bottom w:val="nil"/>
            </w:tcBorders>
            <w:vAlign w:val="bottom"/>
          </w:tcPr>
          <w:p w14:paraId="01CD1EF0"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35289276" w14:textId="77777777" w:rsidR="00BB2CB4" w:rsidRPr="00222C32" w:rsidRDefault="000674DA">
            <w:pPr>
              <w:pStyle w:val="Summarytabletextrightaligned"/>
            </w:pPr>
            <w:r w:rsidRPr="00222C32">
              <w:t>4.5</w:t>
            </w:r>
          </w:p>
        </w:tc>
        <w:tc>
          <w:tcPr>
            <w:tcW w:w="850" w:type="dxa"/>
            <w:tcBorders>
              <w:bottom w:val="nil"/>
            </w:tcBorders>
            <w:vAlign w:val="bottom"/>
          </w:tcPr>
          <w:p w14:paraId="70879853" w14:textId="77777777" w:rsidR="00BB2CB4" w:rsidRPr="00222C32" w:rsidRDefault="000674DA">
            <w:pPr>
              <w:pStyle w:val="Summarytabletextrightaligned"/>
            </w:pPr>
            <w:r w:rsidRPr="00222C32">
              <w:t>4.3</w:t>
            </w:r>
          </w:p>
        </w:tc>
        <w:tc>
          <w:tcPr>
            <w:tcW w:w="850" w:type="dxa"/>
            <w:tcBorders>
              <w:bottom w:val="nil"/>
            </w:tcBorders>
            <w:vAlign w:val="bottom"/>
          </w:tcPr>
          <w:p w14:paraId="1CEBA8BB" w14:textId="77777777" w:rsidR="00BB2CB4" w:rsidRPr="00222C32" w:rsidRDefault="000674DA">
            <w:pPr>
              <w:pStyle w:val="Summarytabletextrightaligned"/>
            </w:pPr>
            <w:r w:rsidRPr="00222C32">
              <w:t>1.4</w:t>
            </w:r>
          </w:p>
        </w:tc>
        <w:tc>
          <w:tcPr>
            <w:tcW w:w="850" w:type="dxa"/>
            <w:tcBorders>
              <w:bottom w:val="nil"/>
            </w:tcBorders>
            <w:vAlign w:val="bottom"/>
          </w:tcPr>
          <w:p w14:paraId="17B4DC16" w14:textId="77777777" w:rsidR="00BB2CB4" w:rsidRPr="00222C32" w:rsidRDefault="000674DA">
            <w:pPr>
              <w:pStyle w:val="Summarytabletextrightaligned"/>
            </w:pPr>
            <w:r w:rsidRPr="00222C32">
              <w:t>1.4</w:t>
            </w:r>
          </w:p>
        </w:tc>
      </w:tr>
      <w:tr w:rsidR="00BB2CB4" w:rsidRPr="00222C32" w14:paraId="32E5DFB1" w14:textId="77777777" w:rsidTr="00825163">
        <w:tc>
          <w:tcPr>
            <w:tcW w:w="3471" w:type="dxa"/>
            <w:tcBorders>
              <w:top w:val="nil"/>
              <w:bottom w:val="single" w:sz="4" w:space="0" w:color="293F5B"/>
            </w:tcBorders>
            <w:vAlign w:val="bottom"/>
          </w:tcPr>
          <w:p w14:paraId="19CD2E65" w14:textId="77777777" w:rsidR="00BB2CB4" w:rsidRPr="00222C32" w:rsidRDefault="000674DA">
            <w:pPr>
              <w:pStyle w:val="SummaryMeasureTitlewithTheme"/>
            </w:pPr>
            <w:r w:rsidRPr="00222C32">
              <w:t>Inclusion Support Program – supplementary funding</w:t>
            </w:r>
          </w:p>
        </w:tc>
        <w:tc>
          <w:tcPr>
            <w:tcW w:w="850" w:type="dxa"/>
            <w:tcBorders>
              <w:top w:val="nil"/>
              <w:bottom w:val="single" w:sz="4" w:space="0" w:color="293F5B"/>
            </w:tcBorders>
            <w:vAlign w:val="bottom"/>
          </w:tcPr>
          <w:p w14:paraId="6F7992D5"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2602F3C9"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5A4F29FA" w14:textId="77777777" w:rsidR="00BB2CB4" w:rsidRPr="00222C32" w:rsidRDefault="000674DA">
            <w:pPr>
              <w:pStyle w:val="Summarytabletextrightaligned"/>
            </w:pPr>
            <w:r w:rsidRPr="00222C32">
              <w:t>59.2</w:t>
            </w:r>
          </w:p>
        </w:tc>
        <w:tc>
          <w:tcPr>
            <w:tcW w:w="850" w:type="dxa"/>
            <w:tcBorders>
              <w:top w:val="nil"/>
              <w:bottom w:val="single" w:sz="4" w:space="0" w:color="293F5B"/>
            </w:tcBorders>
            <w:vAlign w:val="bottom"/>
          </w:tcPr>
          <w:p w14:paraId="2A0A525C"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69065488" w14:textId="77777777" w:rsidR="00BB2CB4" w:rsidRPr="00222C32" w:rsidRDefault="000674DA">
            <w:pPr>
              <w:pStyle w:val="Summarytabletextrightaligned"/>
            </w:pPr>
            <w:r w:rsidRPr="00222C32">
              <w:t>-</w:t>
            </w:r>
          </w:p>
        </w:tc>
      </w:tr>
    </w:tbl>
    <w:p w14:paraId="37C34D90"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5A8352FF" w14:textId="35EC5B54"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4693F84A" w14:textId="77777777" w:rsidTr="00825163">
        <w:tc>
          <w:tcPr>
            <w:tcW w:w="3471" w:type="dxa"/>
            <w:tcBorders>
              <w:top w:val="single" w:sz="4" w:space="0" w:color="293F5B"/>
              <w:bottom w:val="nil"/>
            </w:tcBorders>
            <w:vAlign w:val="bottom"/>
          </w:tcPr>
          <w:p w14:paraId="7B13D7A0" w14:textId="77777777" w:rsidR="000D63FB" w:rsidRPr="00222C32" w:rsidRDefault="000D63FB" w:rsidP="000D63FB"/>
        </w:tc>
        <w:tc>
          <w:tcPr>
            <w:tcW w:w="850" w:type="dxa"/>
            <w:tcBorders>
              <w:top w:val="single" w:sz="4" w:space="0" w:color="293F5B"/>
              <w:bottom w:val="nil"/>
            </w:tcBorders>
            <w:vAlign w:val="bottom"/>
          </w:tcPr>
          <w:p w14:paraId="434410E8"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vAlign w:val="bottom"/>
          </w:tcPr>
          <w:p w14:paraId="254970D2"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vAlign w:val="bottom"/>
          </w:tcPr>
          <w:p w14:paraId="0D79E848"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vAlign w:val="bottom"/>
          </w:tcPr>
          <w:p w14:paraId="18D0CA48"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vAlign w:val="bottom"/>
          </w:tcPr>
          <w:p w14:paraId="1CECE182" w14:textId="77777777" w:rsidR="000D63FB" w:rsidRPr="00222C32" w:rsidRDefault="000D63FB" w:rsidP="000D63FB">
            <w:pPr>
              <w:pStyle w:val="Summarytabletextrightaligned"/>
            </w:pPr>
            <w:r w:rsidRPr="00222C32">
              <w:t>2028-29</w:t>
            </w:r>
          </w:p>
        </w:tc>
      </w:tr>
      <w:tr w:rsidR="000D63FB" w:rsidRPr="00222C32" w14:paraId="3A188A41" w14:textId="77777777" w:rsidTr="00825163">
        <w:tc>
          <w:tcPr>
            <w:tcW w:w="3471" w:type="dxa"/>
            <w:tcBorders>
              <w:top w:val="nil"/>
            </w:tcBorders>
            <w:vAlign w:val="bottom"/>
          </w:tcPr>
          <w:p w14:paraId="35A91456" w14:textId="77777777" w:rsidR="000D63FB" w:rsidRPr="00222C32" w:rsidRDefault="000D63FB" w:rsidP="000D63FB"/>
        </w:tc>
        <w:tc>
          <w:tcPr>
            <w:tcW w:w="850" w:type="dxa"/>
            <w:tcBorders>
              <w:top w:val="nil"/>
              <w:bottom w:val="single" w:sz="4" w:space="0" w:color="293F5B"/>
            </w:tcBorders>
            <w:vAlign w:val="bottom"/>
          </w:tcPr>
          <w:p w14:paraId="327DFED6"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vAlign w:val="bottom"/>
          </w:tcPr>
          <w:p w14:paraId="26A6182F"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4CFA7EA4"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40D942ED"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69E966C5" w14:textId="77777777" w:rsidR="000D63FB" w:rsidRPr="00222C32" w:rsidRDefault="000D63FB" w:rsidP="000D63FB">
            <w:pPr>
              <w:pStyle w:val="Summarytabletextrightaligned"/>
            </w:pPr>
            <w:r w:rsidRPr="00222C32">
              <w:t>$m</w:t>
            </w:r>
          </w:p>
        </w:tc>
      </w:tr>
      <w:tr w:rsidR="000D63FB" w:rsidRPr="00222C32" w14:paraId="69939E88" w14:textId="77777777" w:rsidTr="00825163">
        <w:tc>
          <w:tcPr>
            <w:tcW w:w="3471" w:type="dxa"/>
            <w:tcBorders>
              <w:bottom w:val="nil"/>
            </w:tcBorders>
            <w:vAlign w:val="bottom"/>
          </w:tcPr>
          <w:p w14:paraId="5A7CAEA9" w14:textId="77777777" w:rsidR="000D63FB" w:rsidRPr="00222C32" w:rsidRDefault="000D63FB" w:rsidP="000D63FB">
            <w:pPr>
              <w:pStyle w:val="SummaryMeasureTitlewithTheme"/>
              <w:rPr>
                <w:b/>
              </w:rPr>
            </w:pPr>
            <w:r w:rsidRPr="00222C32">
              <w:rPr>
                <w:b/>
              </w:rPr>
              <w:t>EDUCATION (continued)</w:t>
            </w:r>
          </w:p>
        </w:tc>
        <w:tc>
          <w:tcPr>
            <w:tcW w:w="850" w:type="dxa"/>
            <w:tcBorders>
              <w:top w:val="single" w:sz="4" w:space="0" w:color="293F5B"/>
              <w:bottom w:val="nil"/>
            </w:tcBorders>
            <w:vAlign w:val="bottom"/>
          </w:tcPr>
          <w:p w14:paraId="7C457B6F" w14:textId="77777777" w:rsidR="000D63FB" w:rsidRPr="00222C32" w:rsidRDefault="000D63FB">
            <w:pPr>
              <w:pStyle w:val="Summarytabletextrightaligned"/>
            </w:pPr>
          </w:p>
        </w:tc>
        <w:tc>
          <w:tcPr>
            <w:tcW w:w="850" w:type="dxa"/>
            <w:tcBorders>
              <w:top w:val="single" w:sz="4" w:space="0" w:color="293F5B"/>
              <w:bottom w:val="nil"/>
            </w:tcBorders>
            <w:shd w:val="clear" w:color="auto" w:fill="E6F2FF"/>
            <w:vAlign w:val="bottom"/>
          </w:tcPr>
          <w:p w14:paraId="109D3CB3" w14:textId="77777777" w:rsidR="000D63FB" w:rsidRPr="00222C32" w:rsidRDefault="000D63FB">
            <w:pPr>
              <w:pStyle w:val="Summarytabletextrightaligned"/>
            </w:pPr>
          </w:p>
        </w:tc>
        <w:tc>
          <w:tcPr>
            <w:tcW w:w="850" w:type="dxa"/>
            <w:tcBorders>
              <w:top w:val="single" w:sz="4" w:space="0" w:color="293F5B"/>
              <w:bottom w:val="nil"/>
            </w:tcBorders>
            <w:vAlign w:val="bottom"/>
          </w:tcPr>
          <w:p w14:paraId="7B2E5DBD" w14:textId="77777777" w:rsidR="000D63FB" w:rsidRPr="00222C32" w:rsidRDefault="000D63FB">
            <w:pPr>
              <w:pStyle w:val="Summarytabletextrightaligned"/>
            </w:pPr>
          </w:p>
        </w:tc>
        <w:tc>
          <w:tcPr>
            <w:tcW w:w="850" w:type="dxa"/>
            <w:tcBorders>
              <w:top w:val="single" w:sz="4" w:space="0" w:color="293F5B"/>
              <w:bottom w:val="nil"/>
            </w:tcBorders>
            <w:vAlign w:val="bottom"/>
          </w:tcPr>
          <w:p w14:paraId="3CCF1D23" w14:textId="77777777" w:rsidR="000D63FB" w:rsidRPr="00222C32" w:rsidRDefault="000D63FB">
            <w:pPr>
              <w:pStyle w:val="Summarytabletextrightaligned"/>
            </w:pPr>
          </w:p>
        </w:tc>
        <w:tc>
          <w:tcPr>
            <w:tcW w:w="850" w:type="dxa"/>
            <w:tcBorders>
              <w:top w:val="single" w:sz="4" w:space="0" w:color="293F5B"/>
              <w:bottom w:val="nil"/>
            </w:tcBorders>
            <w:vAlign w:val="bottom"/>
          </w:tcPr>
          <w:p w14:paraId="709D9CC1" w14:textId="77777777" w:rsidR="000D63FB" w:rsidRPr="00222C32" w:rsidRDefault="000D63FB">
            <w:pPr>
              <w:pStyle w:val="Summarytabletextrightaligned"/>
            </w:pPr>
          </w:p>
        </w:tc>
      </w:tr>
      <w:tr w:rsidR="00BB2CB4" w:rsidRPr="00222C32" w14:paraId="7CCB3BF9" w14:textId="77777777" w:rsidTr="00825163">
        <w:tc>
          <w:tcPr>
            <w:tcW w:w="3471" w:type="dxa"/>
            <w:tcBorders>
              <w:top w:val="nil"/>
            </w:tcBorders>
            <w:vAlign w:val="bottom"/>
          </w:tcPr>
          <w:p w14:paraId="5F35C283" w14:textId="77777777" w:rsidR="00BB2CB4" w:rsidRPr="00222C32" w:rsidRDefault="000674DA">
            <w:pPr>
              <w:pStyle w:val="SummaryMeasureTitlewithTheme"/>
            </w:pPr>
            <w:r w:rsidRPr="00222C32">
              <w:t>Permanent Migration Program – 2025–26 planning levels(b)</w:t>
            </w:r>
          </w:p>
        </w:tc>
        <w:tc>
          <w:tcPr>
            <w:tcW w:w="850" w:type="dxa"/>
            <w:tcBorders>
              <w:top w:val="nil"/>
            </w:tcBorders>
            <w:vAlign w:val="bottom"/>
          </w:tcPr>
          <w:p w14:paraId="2C740624" w14:textId="77777777" w:rsidR="00BB2CB4" w:rsidRPr="00222C32" w:rsidRDefault="000674DA">
            <w:pPr>
              <w:pStyle w:val="Summarytabletextrightaligned"/>
            </w:pPr>
            <w:r w:rsidRPr="00222C32">
              <w:t>-</w:t>
            </w:r>
          </w:p>
        </w:tc>
        <w:tc>
          <w:tcPr>
            <w:tcW w:w="850" w:type="dxa"/>
            <w:tcBorders>
              <w:top w:val="nil"/>
            </w:tcBorders>
            <w:shd w:val="clear" w:color="auto" w:fill="E6F2FF"/>
            <w:vAlign w:val="bottom"/>
          </w:tcPr>
          <w:p w14:paraId="7A1C51CA" w14:textId="77777777" w:rsidR="00BB2CB4" w:rsidRPr="00222C32" w:rsidRDefault="000674DA">
            <w:pPr>
              <w:pStyle w:val="Summarytabletextrightaligned"/>
            </w:pPr>
            <w:r w:rsidRPr="00222C32">
              <w:t>-0.1</w:t>
            </w:r>
          </w:p>
        </w:tc>
        <w:tc>
          <w:tcPr>
            <w:tcW w:w="850" w:type="dxa"/>
            <w:tcBorders>
              <w:top w:val="nil"/>
            </w:tcBorders>
            <w:vAlign w:val="bottom"/>
          </w:tcPr>
          <w:p w14:paraId="2B7AB3DC" w14:textId="77777777" w:rsidR="00BB2CB4" w:rsidRPr="00222C32" w:rsidRDefault="000674DA">
            <w:pPr>
              <w:pStyle w:val="Summarytabletextrightaligned"/>
            </w:pPr>
            <w:r w:rsidRPr="00222C32">
              <w:t>-0.5</w:t>
            </w:r>
          </w:p>
        </w:tc>
        <w:tc>
          <w:tcPr>
            <w:tcW w:w="850" w:type="dxa"/>
            <w:tcBorders>
              <w:top w:val="nil"/>
            </w:tcBorders>
            <w:vAlign w:val="bottom"/>
          </w:tcPr>
          <w:p w14:paraId="1D52D3F8" w14:textId="77777777" w:rsidR="00BB2CB4" w:rsidRPr="00222C32" w:rsidRDefault="000674DA">
            <w:pPr>
              <w:pStyle w:val="Summarytabletextrightaligned"/>
            </w:pPr>
            <w:r w:rsidRPr="00222C32">
              <w:t>-0.5</w:t>
            </w:r>
          </w:p>
        </w:tc>
        <w:tc>
          <w:tcPr>
            <w:tcW w:w="850" w:type="dxa"/>
            <w:tcBorders>
              <w:top w:val="nil"/>
            </w:tcBorders>
            <w:vAlign w:val="bottom"/>
          </w:tcPr>
          <w:p w14:paraId="0D9A8ACB" w14:textId="77777777" w:rsidR="00BB2CB4" w:rsidRPr="00222C32" w:rsidRDefault="000674DA">
            <w:pPr>
              <w:pStyle w:val="Summarytabletextrightaligned"/>
            </w:pPr>
            <w:r w:rsidRPr="00222C32">
              <w:t>-0.5</w:t>
            </w:r>
          </w:p>
        </w:tc>
      </w:tr>
      <w:tr w:rsidR="00BB2CB4" w:rsidRPr="00222C32" w14:paraId="0D8C75E0" w14:textId="77777777" w:rsidTr="00825163">
        <w:tc>
          <w:tcPr>
            <w:tcW w:w="3471" w:type="dxa"/>
            <w:vAlign w:val="bottom"/>
          </w:tcPr>
          <w:p w14:paraId="1BC8C26F" w14:textId="77777777" w:rsidR="00BB2CB4" w:rsidRPr="00222C32" w:rsidRDefault="000674DA">
            <w:pPr>
              <w:pStyle w:val="SummaryMeasureTitlewithTheme"/>
            </w:pPr>
            <w:r w:rsidRPr="00222C32">
              <w:t>Strengthening Safety and Quality in the Early Childhood Education and Care Sector</w:t>
            </w:r>
          </w:p>
        </w:tc>
        <w:tc>
          <w:tcPr>
            <w:tcW w:w="850" w:type="dxa"/>
            <w:vAlign w:val="bottom"/>
          </w:tcPr>
          <w:p w14:paraId="7FD7E347" w14:textId="77777777" w:rsidR="00BB2CB4" w:rsidRPr="00222C32" w:rsidRDefault="000674DA">
            <w:pPr>
              <w:pStyle w:val="Summarytabletextrightaligned"/>
            </w:pPr>
            <w:r w:rsidRPr="00222C32">
              <w:t>-</w:t>
            </w:r>
          </w:p>
        </w:tc>
        <w:tc>
          <w:tcPr>
            <w:tcW w:w="850" w:type="dxa"/>
            <w:shd w:val="clear" w:color="auto" w:fill="E6F2FF"/>
            <w:vAlign w:val="bottom"/>
          </w:tcPr>
          <w:p w14:paraId="18371B86" w14:textId="77777777" w:rsidR="00BB2CB4" w:rsidRPr="00222C32" w:rsidRDefault="000674DA">
            <w:pPr>
              <w:pStyle w:val="Summarytabletextrightaligned"/>
            </w:pPr>
            <w:r w:rsidRPr="00222C32">
              <w:t>57.2</w:t>
            </w:r>
          </w:p>
        </w:tc>
        <w:tc>
          <w:tcPr>
            <w:tcW w:w="850" w:type="dxa"/>
            <w:vAlign w:val="bottom"/>
          </w:tcPr>
          <w:p w14:paraId="1527998E" w14:textId="77777777" w:rsidR="00BB2CB4" w:rsidRPr="00222C32" w:rsidRDefault="000674DA">
            <w:pPr>
              <w:pStyle w:val="Summarytabletextrightaligned"/>
            </w:pPr>
            <w:r w:rsidRPr="00222C32">
              <w:t>47.1</w:t>
            </w:r>
          </w:p>
        </w:tc>
        <w:tc>
          <w:tcPr>
            <w:tcW w:w="850" w:type="dxa"/>
            <w:vAlign w:val="bottom"/>
          </w:tcPr>
          <w:p w14:paraId="2B3AA711" w14:textId="77777777" w:rsidR="00BB2CB4" w:rsidRPr="00222C32" w:rsidRDefault="000674DA">
            <w:pPr>
              <w:pStyle w:val="Summarytabletextrightaligned"/>
            </w:pPr>
            <w:r w:rsidRPr="00222C32">
              <w:t>42.6</w:t>
            </w:r>
          </w:p>
        </w:tc>
        <w:tc>
          <w:tcPr>
            <w:tcW w:w="850" w:type="dxa"/>
            <w:vAlign w:val="bottom"/>
          </w:tcPr>
          <w:p w14:paraId="0427FFC9" w14:textId="77777777" w:rsidR="00BB2CB4" w:rsidRPr="00222C32" w:rsidRDefault="000674DA">
            <w:pPr>
              <w:pStyle w:val="Summarytabletextrightaligned"/>
            </w:pPr>
            <w:r w:rsidRPr="00222C32">
              <w:t>38.5</w:t>
            </w:r>
          </w:p>
        </w:tc>
      </w:tr>
      <w:tr w:rsidR="00BB2CB4" w:rsidRPr="00222C32" w14:paraId="5FD2B2A4" w14:textId="77777777" w:rsidTr="00825163">
        <w:tc>
          <w:tcPr>
            <w:tcW w:w="3471" w:type="dxa"/>
            <w:vAlign w:val="bottom"/>
          </w:tcPr>
          <w:p w14:paraId="6092BA29" w14:textId="77777777" w:rsidR="00BB2CB4" w:rsidRPr="00222C32" w:rsidRDefault="000674DA">
            <w:pPr>
              <w:pStyle w:val="SummaryMeasureTitlewithTheme"/>
            </w:pPr>
            <w:r w:rsidRPr="00222C32">
              <w:t>Supporting the Construction of the First Hindu School in Australia</w:t>
            </w:r>
          </w:p>
        </w:tc>
        <w:tc>
          <w:tcPr>
            <w:tcW w:w="850" w:type="dxa"/>
            <w:vAlign w:val="bottom"/>
          </w:tcPr>
          <w:p w14:paraId="77FCA20A" w14:textId="77777777" w:rsidR="00BB2CB4" w:rsidRPr="00222C32" w:rsidRDefault="000674DA">
            <w:pPr>
              <w:pStyle w:val="Summarytabletextrightaligned"/>
            </w:pPr>
            <w:r w:rsidRPr="00222C32">
              <w:t>-</w:t>
            </w:r>
          </w:p>
        </w:tc>
        <w:tc>
          <w:tcPr>
            <w:tcW w:w="850" w:type="dxa"/>
            <w:shd w:val="clear" w:color="auto" w:fill="E6F2FF"/>
            <w:vAlign w:val="bottom"/>
          </w:tcPr>
          <w:p w14:paraId="31E15018" w14:textId="77777777" w:rsidR="00BB2CB4" w:rsidRPr="00222C32" w:rsidRDefault="000674DA">
            <w:pPr>
              <w:pStyle w:val="Summarytabletextrightaligned"/>
            </w:pPr>
            <w:r w:rsidRPr="00222C32">
              <w:t>3.4</w:t>
            </w:r>
          </w:p>
        </w:tc>
        <w:tc>
          <w:tcPr>
            <w:tcW w:w="850" w:type="dxa"/>
            <w:vAlign w:val="bottom"/>
          </w:tcPr>
          <w:p w14:paraId="2BCA894E" w14:textId="77777777" w:rsidR="00BB2CB4" w:rsidRPr="00222C32" w:rsidRDefault="000674DA">
            <w:pPr>
              <w:pStyle w:val="Summarytabletextrightaligned"/>
            </w:pPr>
            <w:r w:rsidRPr="00222C32">
              <w:t>4.0</w:t>
            </w:r>
          </w:p>
        </w:tc>
        <w:tc>
          <w:tcPr>
            <w:tcW w:w="850" w:type="dxa"/>
            <w:vAlign w:val="bottom"/>
          </w:tcPr>
          <w:p w14:paraId="14022DFC" w14:textId="77777777" w:rsidR="00BB2CB4" w:rsidRPr="00222C32" w:rsidRDefault="000674DA">
            <w:pPr>
              <w:pStyle w:val="Summarytabletextrightaligned"/>
            </w:pPr>
            <w:r w:rsidRPr="00222C32">
              <w:t>1.5</w:t>
            </w:r>
          </w:p>
        </w:tc>
        <w:tc>
          <w:tcPr>
            <w:tcW w:w="850" w:type="dxa"/>
            <w:vAlign w:val="bottom"/>
          </w:tcPr>
          <w:p w14:paraId="32AADC50" w14:textId="77777777" w:rsidR="00BB2CB4" w:rsidRPr="00222C32" w:rsidRDefault="000674DA">
            <w:pPr>
              <w:pStyle w:val="Summarytabletextrightaligned"/>
            </w:pPr>
            <w:r w:rsidRPr="00222C32">
              <w:t>-</w:t>
            </w:r>
          </w:p>
        </w:tc>
      </w:tr>
      <w:tr w:rsidR="00BB2CB4" w:rsidRPr="00222C32" w14:paraId="1295F60C" w14:textId="77777777" w:rsidTr="00825163">
        <w:tc>
          <w:tcPr>
            <w:tcW w:w="3471" w:type="dxa"/>
            <w:vAlign w:val="bottom"/>
          </w:tcPr>
          <w:p w14:paraId="311C25A8" w14:textId="77777777" w:rsidR="00BB2CB4" w:rsidRPr="00222C32" w:rsidRDefault="000674DA">
            <w:pPr>
              <w:pStyle w:val="SummaryMeasureTitlewithTheme"/>
            </w:pPr>
            <w:r w:rsidRPr="00222C32">
              <w:t>Tackling Bullying and Harmful Behaviours in Schools</w:t>
            </w:r>
          </w:p>
        </w:tc>
        <w:tc>
          <w:tcPr>
            <w:tcW w:w="850" w:type="dxa"/>
            <w:vAlign w:val="bottom"/>
          </w:tcPr>
          <w:p w14:paraId="1FDD5CF9" w14:textId="77777777" w:rsidR="00BB2CB4" w:rsidRPr="00222C32" w:rsidRDefault="000674DA">
            <w:pPr>
              <w:pStyle w:val="Summarytabletextrightaligned"/>
            </w:pPr>
            <w:r w:rsidRPr="00222C32">
              <w:t>-</w:t>
            </w:r>
          </w:p>
        </w:tc>
        <w:tc>
          <w:tcPr>
            <w:tcW w:w="850" w:type="dxa"/>
            <w:shd w:val="clear" w:color="auto" w:fill="E6F2FF"/>
            <w:vAlign w:val="bottom"/>
          </w:tcPr>
          <w:p w14:paraId="0A44861D" w14:textId="77777777" w:rsidR="00BB2CB4" w:rsidRPr="00222C32" w:rsidRDefault="000674DA">
            <w:pPr>
              <w:pStyle w:val="Summarytabletextrightaligned"/>
            </w:pPr>
            <w:r w:rsidRPr="00222C32">
              <w:t>4.6</w:t>
            </w:r>
          </w:p>
        </w:tc>
        <w:tc>
          <w:tcPr>
            <w:tcW w:w="850" w:type="dxa"/>
            <w:vAlign w:val="bottom"/>
          </w:tcPr>
          <w:p w14:paraId="01D9CF38" w14:textId="77777777" w:rsidR="00BB2CB4" w:rsidRPr="00222C32" w:rsidRDefault="000674DA">
            <w:pPr>
              <w:pStyle w:val="Summarytabletextrightaligned"/>
            </w:pPr>
            <w:r w:rsidRPr="00222C32">
              <w:t>5.4</w:t>
            </w:r>
          </w:p>
        </w:tc>
        <w:tc>
          <w:tcPr>
            <w:tcW w:w="850" w:type="dxa"/>
            <w:vAlign w:val="bottom"/>
          </w:tcPr>
          <w:p w14:paraId="1BEF522A" w14:textId="77777777" w:rsidR="00BB2CB4" w:rsidRPr="00222C32" w:rsidRDefault="000674DA">
            <w:pPr>
              <w:pStyle w:val="Summarytabletextrightaligned"/>
            </w:pPr>
            <w:r w:rsidRPr="00222C32">
              <w:t>-5.0</w:t>
            </w:r>
          </w:p>
        </w:tc>
        <w:tc>
          <w:tcPr>
            <w:tcW w:w="850" w:type="dxa"/>
            <w:vAlign w:val="bottom"/>
          </w:tcPr>
          <w:p w14:paraId="472FDF4A" w14:textId="77777777" w:rsidR="00BB2CB4" w:rsidRPr="00222C32" w:rsidRDefault="000674DA">
            <w:pPr>
              <w:pStyle w:val="Summarytabletextrightaligned"/>
            </w:pPr>
            <w:r w:rsidRPr="00222C32">
              <w:t>-5.0</w:t>
            </w:r>
          </w:p>
        </w:tc>
      </w:tr>
      <w:tr w:rsidR="00BB2CB4" w:rsidRPr="00222C32" w14:paraId="3E258367" w14:textId="77777777" w:rsidTr="00825163">
        <w:tc>
          <w:tcPr>
            <w:tcW w:w="3471" w:type="dxa"/>
            <w:vAlign w:val="bottom"/>
          </w:tcPr>
          <w:p w14:paraId="1E0CEDDF" w14:textId="4843C1ED" w:rsidR="00BB2CB4" w:rsidRPr="00222C32" w:rsidRDefault="000674DA">
            <w:pPr>
              <w:pStyle w:val="SummaryMeasureTitlewithTheme"/>
            </w:pPr>
            <w:r w:rsidRPr="00222C32">
              <w:t>Windsor Community Children</w:t>
            </w:r>
            <w:r w:rsidR="00A67A30">
              <w:t>’</w:t>
            </w:r>
            <w:r w:rsidRPr="00222C32">
              <w:t>s Centre</w:t>
            </w:r>
          </w:p>
        </w:tc>
        <w:tc>
          <w:tcPr>
            <w:tcW w:w="850" w:type="dxa"/>
            <w:tcBorders>
              <w:bottom w:val="single" w:sz="4" w:space="0" w:color="293F5B"/>
            </w:tcBorders>
            <w:vAlign w:val="bottom"/>
          </w:tcPr>
          <w:p w14:paraId="710E50BC"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4D3C3C80" w14:textId="77777777" w:rsidR="00BB2CB4" w:rsidRPr="00222C32" w:rsidRDefault="000674DA">
            <w:pPr>
              <w:pStyle w:val="Summarytabletextrightaligned"/>
            </w:pPr>
            <w:r w:rsidRPr="00222C32">
              <w:t>4.3</w:t>
            </w:r>
          </w:p>
        </w:tc>
        <w:tc>
          <w:tcPr>
            <w:tcW w:w="850" w:type="dxa"/>
            <w:tcBorders>
              <w:bottom w:val="single" w:sz="4" w:space="0" w:color="293F5B"/>
            </w:tcBorders>
            <w:vAlign w:val="bottom"/>
          </w:tcPr>
          <w:p w14:paraId="1AE9CC40"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164D6D3F"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3364D3FE" w14:textId="77777777" w:rsidR="00BB2CB4" w:rsidRPr="00222C32" w:rsidRDefault="000674DA">
            <w:pPr>
              <w:pStyle w:val="Summarytabletextrightaligned"/>
            </w:pPr>
            <w:r w:rsidRPr="00222C32">
              <w:t>-</w:t>
            </w:r>
          </w:p>
        </w:tc>
      </w:tr>
      <w:tr w:rsidR="00BB2CB4" w:rsidRPr="00222C32" w14:paraId="17D1A6F8" w14:textId="77777777" w:rsidTr="00825163">
        <w:tc>
          <w:tcPr>
            <w:tcW w:w="3471" w:type="dxa"/>
            <w:vAlign w:val="bottom"/>
          </w:tcPr>
          <w:p w14:paraId="402ECEE0"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5EC333A7"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01A16410" w14:textId="77777777" w:rsidR="00BB2CB4" w:rsidRPr="00222C32" w:rsidRDefault="000674DA">
            <w:pPr>
              <w:pStyle w:val="Summarytabletextrightalignedbold"/>
            </w:pPr>
            <w:r w:rsidRPr="00222C32">
              <w:t>24.1</w:t>
            </w:r>
          </w:p>
        </w:tc>
        <w:tc>
          <w:tcPr>
            <w:tcW w:w="850" w:type="dxa"/>
            <w:tcBorders>
              <w:top w:val="single" w:sz="4" w:space="0" w:color="293F5B"/>
              <w:bottom w:val="single" w:sz="4" w:space="0" w:color="293F5B"/>
            </w:tcBorders>
            <w:vAlign w:val="bottom"/>
          </w:tcPr>
          <w:p w14:paraId="27887DD9" w14:textId="77777777" w:rsidR="00BB2CB4" w:rsidRPr="00222C32" w:rsidRDefault="000674DA">
            <w:pPr>
              <w:pStyle w:val="Summarytabletextrightalignedbold"/>
            </w:pPr>
            <w:r w:rsidRPr="00222C32">
              <w:t>1.5</w:t>
            </w:r>
          </w:p>
        </w:tc>
        <w:tc>
          <w:tcPr>
            <w:tcW w:w="850" w:type="dxa"/>
            <w:tcBorders>
              <w:top w:val="single" w:sz="4" w:space="0" w:color="293F5B"/>
              <w:bottom w:val="single" w:sz="4" w:space="0" w:color="293F5B"/>
            </w:tcBorders>
            <w:vAlign w:val="bottom"/>
          </w:tcPr>
          <w:p w14:paraId="3A50C4FA" w14:textId="77777777" w:rsidR="00BB2CB4" w:rsidRPr="00222C32" w:rsidRDefault="000674DA">
            <w:pPr>
              <w:pStyle w:val="Summarytabletextrightalignedbold"/>
            </w:pPr>
            <w:r w:rsidRPr="00222C32">
              <w:t>-58.6</w:t>
            </w:r>
          </w:p>
        </w:tc>
        <w:tc>
          <w:tcPr>
            <w:tcW w:w="850" w:type="dxa"/>
            <w:tcBorders>
              <w:top w:val="single" w:sz="4" w:space="0" w:color="293F5B"/>
              <w:bottom w:val="single" w:sz="4" w:space="0" w:color="293F5B"/>
            </w:tcBorders>
            <w:vAlign w:val="bottom"/>
          </w:tcPr>
          <w:p w14:paraId="47A17350" w14:textId="77777777" w:rsidR="00BB2CB4" w:rsidRPr="00222C32" w:rsidRDefault="000674DA">
            <w:pPr>
              <w:pStyle w:val="Summarytabletextrightalignedbold"/>
            </w:pPr>
            <w:r w:rsidRPr="00222C32">
              <w:t>-53.4</w:t>
            </w:r>
          </w:p>
        </w:tc>
      </w:tr>
      <w:tr w:rsidR="00BB2CB4" w:rsidRPr="00222C32" w14:paraId="6AC5260C" w14:textId="77777777" w:rsidTr="00825163">
        <w:tc>
          <w:tcPr>
            <w:tcW w:w="3471" w:type="dxa"/>
            <w:vAlign w:val="bottom"/>
          </w:tcPr>
          <w:p w14:paraId="60FF48F1" w14:textId="77777777" w:rsidR="00BB2CB4" w:rsidRPr="00222C32" w:rsidRDefault="000674DA">
            <w:pPr>
              <w:pStyle w:val="SummaryPortfolioTitle-BP2"/>
            </w:pPr>
            <w:r w:rsidRPr="00222C32">
              <w:t>EMPLOYMENT AND WORKPLACE RELATIONS</w:t>
            </w:r>
          </w:p>
        </w:tc>
        <w:tc>
          <w:tcPr>
            <w:tcW w:w="850" w:type="dxa"/>
            <w:tcBorders>
              <w:top w:val="single" w:sz="4" w:space="0" w:color="293F5B"/>
            </w:tcBorders>
          </w:tcPr>
          <w:p w14:paraId="3C9E1F04"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918B1A6" w14:textId="77777777" w:rsidR="00BB2CB4" w:rsidRPr="00222C32" w:rsidRDefault="00BB2CB4">
            <w:pPr>
              <w:pStyle w:val="MeasureTableTextRightAlignedBefore6ptAfter1pt"/>
            </w:pPr>
          </w:p>
        </w:tc>
        <w:tc>
          <w:tcPr>
            <w:tcW w:w="850" w:type="dxa"/>
            <w:tcBorders>
              <w:top w:val="single" w:sz="4" w:space="0" w:color="293F5B"/>
            </w:tcBorders>
          </w:tcPr>
          <w:p w14:paraId="6363F4EF" w14:textId="77777777" w:rsidR="00BB2CB4" w:rsidRPr="00222C32" w:rsidRDefault="00BB2CB4">
            <w:pPr>
              <w:pStyle w:val="MeasureTableTextRightAlignedBefore6ptAfter1pt"/>
            </w:pPr>
          </w:p>
        </w:tc>
        <w:tc>
          <w:tcPr>
            <w:tcW w:w="850" w:type="dxa"/>
            <w:tcBorders>
              <w:top w:val="single" w:sz="4" w:space="0" w:color="293F5B"/>
            </w:tcBorders>
          </w:tcPr>
          <w:p w14:paraId="0CB8678B" w14:textId="77777777" w:rsidR="00BB2CB4" w:rsidRPr="00222C32" w:rsidRDefault="00BB2CB4">
            <w:pPr>
              <w:pStyle w:val="MeasureTableTextRightAlignedBefore6ptAfter1pt"/>
            </w:pPr>
          </w:p>
        </w:tc>
        <w:tc>
          <w:tcPr>
            <w:tcW w:w="850" w:type="dxa"/>
            <w:tcBorders>
              <w:top w:val="single" w:sz="4" w:space="0" w:color="293F5B"/>
            </w:tcBorders>
          </w:tcPr>
          <w:p w14:paraId="1968F67F" w14:textId="77777777" w:rsidR="00BB2CB4" w:rsidRPr="00222C32" w:rsidRDefault="00BB2CB4">
            <w:pPr>
              <w:pStyle w:val="MeasureTableTextRightAlignedBefore6ptAfter1pt"/>
            </w:pPr>
          </w:p>
        </w:tc>
      </w:tr>
      <w:tr w:rsidR="00BB2CB4" w:rsidRPr="00222C32" w14:paraId="0EACDB86" w14:textId="77777777" w:rsidTr="00825163">
        <w:tc>
          <w:tcPr>
            <w:tcW w:w="3471" w:type="dxa"/>
            <w:vAlign w:val="bottom"/>
          </w:tcPr>
          <w:p w14:paraId="2851983E" w14:textId="77777777" w:rsidR="00BB2CB4" w:rsidRPr="00222C32" w:rsidRDefault="000674DA">
            <w:pPr>
              <w:pStyle w:val="SummaryAgencyTitle-BP2"/>
            </w:pPr>
            <w:r w:rsidRPr="00222C32">
              <w:t>Department of Employment and Workplace Relations</w:t>
            </w:r>
          </w:p>
        </w:tc>
        <w:tc>
          <w:tcPr>
            <w:tcW w:w="850" w:type="dxa"/>
          </w:tcPr>
          <w:p w14:paraId="5D4A3BFE" w14:textId="77777777" w:rsidR="00BB2CB4" w:rsidRPr="00222C32" w:rsidRDefault="00BB2CB4">
            <w:pPr>
              <w:pStyle w:val="SummaryAgencyTitle-BP2"/>
            </w:pPr>
          </w:p>
        </w:tc>
        <w:tc>
          <w:tcPr>
            <w:tcW w:w="850" w:type="dxa"/>
            <w:shd w:val="clear" w:color="auto" w:fill="E6F2FF"/>
          </w:tcPr>
          <w:p w14:paraId="03EC6554" w14:textId="77777777" w:rsidR="00BB2CB4" w:rsidRPr="00222C32" w:rsidRDefault="00BB2CB4">
            <w:pPr>
              <w:pStyle w:val="SummaryAgencyTitle-BP2"/>
            </w:pPr>
          </w:p>
        </w:tc>
        <w:tc>
          <w:tcPr>
            <w:tcW w:w="850" w:type="dxa"/>
          </w:tcPr>
          <w:p w14:paraId="1EF80A21" w14:textId="77777777" w:rsidR="00BB2CB4" w:rsidRPr="00222C32" w:rsidRDefault="00BB2CB4">
            <w:pPr>
              <w:pStyle w:val="SummaryAgencyTitle-BP2"/>
            </w:pPr>
          </w:p>
        </w:tc>
        <w:tc>
          <w:tcPr>
            <w:tcW w:w="850" w:type="dxa"/>
          </w:tcPr>
          <w:p w14:paraId="2CA959D3" w14:textId="77777777" w:rsidR="00BB2CB4" w:rsidRPr="00222C32" w:rsidRDefault="00BB2CB4">
            <w:pPr>
              <w:pStyle w:val="SummaryAgencyTitle-BP2"/>
            </w:pPr>
          </w:p>
        </w:tc>
        <w:tc>
          <w:tcPr>
            <w:tcW w:w="850" w:type="dxa"/>
          </w:tcPr>
          <w:p w14:paraId="77E7B237" w14:textId="77777777" w:rsidR="00BB2CB4" w:rsidRPr="00222C32" w:rsidRDefault="00BB2CB4">
            <w:pPr>
              <w:pStyle w:val="SummaryAgencyTitle-BP2"/>
            </w:pPr>
          </w:p>
        </w:tc>
      </w:tr>
      <w:tr w:rsidR="00BB2CB4" w:rsidRPr="00222C32" w14:paraId="711612B7" w14:textId="77777777" w:rsidTr="00825163">
        <w:tc>
          <w:tcPr>
            <w:tcW w:w="3471" w:type="dxa"/>
            <w:vAlign w:val="bottom"/>
          </w:tcPr>
          <w:p w14:paraId="186E5AC1" w14:textId="77777777" w:rsidR="00BB2CB4" w:rsidRPr="00222C32" w:rsidRDefault="000674DA">
            <w:pPr>
              <w:pStyle w:val="SummaryMeasureTitlewithTheme"/>
            </w:pPr>
            <w:r w:rsidRPr="00222C32">
              <w:t>Advancing Gender Equality in Gender Segregated Industries</w:t>
            </w:r>
          </w:p>
        </w:tc>
        <w:tc>
          <w:tcPr>
            <w:tcW w:w="850" w:type="dxa"/>
            <w:vAlign w:val="bottom"/>
          </w:tcPr>
          <w:p w14:paraId="5C9C64FE" w14:textId="77777777" w:rsidR="00BB2CB4" w:rsidRPr="00222C32" w:rsidRDefault="000674DA">
            <w:pPr>
              <w:pStyle w:val="Summarytabletextrightaligned"/>
            </w:pPr>
            <w:r w:rsidRPr="00222C32">
              <w:t>-</w:t>
            </w:r>
          </w:p>
        </w:tc>
        <w:tc>
          <w:tcPr>
            <w:tcW w:w="850" w:type="dxa"/>
            <w:shd w:val="clear" w:color="auto" w:fill="E6F2FF"/>
            <w:vAlign w:val="bottom"/>
          </w:tcPr>
          <w:p w14:paraId="76DB5E07" w14:textId="77777777" w:rsidR="00BB2CB4" w:rsidRPr="00222C32" w:rsidRDefault="000674DA">
            <w:pPr>
              <w:pStyle w:val="Summarytabletextrightaligned"/>
            </w:pPr>
            <w:r w:rsidRPr="00222C32">
              <w:t>14.2</w:t>
            </w:r>
          </w:p>
        </w:tc>
        <w:tc>
          <w:tcPr>
            <w:tcW w:w="850" w:type="dxa"/>
            <w:vAlign w:val="bottom"/>
          </w:tcPr>
          <w:p w14:paraId="58B3391D" w14:textId="77777777" w:rsidR="00BB2CB4" w:rsidRPr="00222C32" w:rsidRDefault="000674DA">
            <w:pPr>
              <w:pStyle w:val="Summarytabletextrightaligned"/>
            </w:pPr>
            <w:r w:rsidRPr="00222C32">
              <w:t>14.0</w:t>
            </w:r>
          </w:p>
        </w:tc>
        <w:tc>
          <w:tcPr>
            <w:tcW w:w="850" w:type="dxa"/>
            <w:vAlign w:val="bottom"/>
          </w:tcPr>
          <w:p w14:paraId="6EA2F010" w14:textId="77777777" w:rsidR="00BB2CB4" w:rsidRPr="00222C32" w:rsidRDefault="000674DA">
            <w:pPr>
              <w:pStyle w:val="Summarytabletextrightaligned"/>
            </w:pPr>
            <w:r w:rsidRPr="00222C32">
              <w:t>0.3</w:t>
            </w:r>
          </w:p>
        </w:tc>
        <w:tc>
          <w:tcPr>
            <w:tcW w:w="850" w:type="dxa"/>
            <w:vAlign w:val="bottom"/>
          </w:tcPr>
          <w:p w14:paraId="7BE0908B" w14:textId="77777777" w:rsidR="00BB2CB4" w:rsidRPr="00222C32" w:rsidRDefault="000674DA">
            <w:pPr>
              <w:pStyle w:val="Summarytabletextrightaligned"/>
            </w:pPr>
            <w:r w:rsidRPr="00222C32">
              <w:t>-</w:t>
            </w:r>
          </w:p>
        </w:tc>
      </w:tr>
      <w:tr w:rsidR="00BB2CB4" w:rsidRPr="00222C32" w14:paraId="694A7A2D" w14:textId="77777777" w:rsidTr="00825163">
        <w:tc>
          <w:tcPr>
            <w:tcW w:w="3471" w:type="dxa"/>
            <w:vAlign w:val="bottom"/>
          </w:tcPr>
          <w:p w14:paraId="76D8D7CF" w14:textId="77777777" w:rsidR="00BB2CB4" w:rsidRPr="00222C32" w:rsidRDefault="000674DA">
            <w:pPr>
              <w:pStyle w:val="SummaryMeasureTitlewithTheme"/>
            </w:pPr>
            <w:r w:rsidRPr="00222C32">
              <w:t>Assuring the Integrity of the Employment Services System</w:t>
            </w:r>
          </w:p>
        </w:tc>
        <w:tc>
          <w:tcPr>
            <w:tcW w:w="850" w:type="dxa"/>
            <w:vAlign w:val="bottom"/>
          </w:tcPr>
          <w:p w14:paraId="77DC1E9A" w14:textId="77777777" w:rsidR="00BB2CB4" w:rsidRPr="00222C32" w:rsidRDefault="000674DA">
            <w:pPr>
              <w:pStyle w:val="Summarytabletextrightaligned"/>
            </w:pPr>
            <w:r w:rsidRPr="00222C32">
              <w:t>-</w:t>
            </w:r>
          </w:p>
        </w:tc>
        <w:tc>
          <w:tcPr>
            <w:tcW w:w="850" w:type="dxa"/>
            <w:shd w:val="clear" w:color="auto" w:fill="E6F2FF"/>
            <w:vAlign w:val="bottom"/>
          </w:tcPr>
          <w:p w14:paraId="528EE445" w14:textId="77777777" w:rsidR="00BB2CB4" w:rsidRPr="00222C32" w:rsidRDefault="000674DA">
            <w:pPr>
              <w:pStyle w:val="Summarytabletextrightaligned"/>
            </w:pPr>
            <w:r w:rsidRPr="00222C32">
              <w:t>4.3</w:t>
            </w:r>
          </w:p>
        </w:tc>
        <w:tc>
          <w:tcPr>
            <w:tcW w:w="850" w:type="dxa"/>
            <w:vAlign w:val="bottom"/>
          </w:tcPr>
          <w:p w14:paraId="4ED7FB50" w14:textId="77777777" w:rsidR="00BB2CB4" w:rsidRPr="00222C32" w:rsidRDefault="000674DA">
            <w:pPr>
              <w:pStyle w:val="Summarytabletextrightaligned"/>
            </w:pPr>
            <w:r w:rsidRPr="00222C32">
              <w:t>19.0</w:t>
            </w:r>
          </w:p>
        </w:tc>
        <w:tc>
          <w:tcPr>
            <w:tcW w:w="850" w:type="dxa"/>
            <w:vAlign w:val="bottom"/>
          </w:tcPr>
          <w:p w14:paraId="4ED11A82" w14:textId="77777777" w:rsidR="00BB2CB4" w:rsidRPr="00222C32" w:rsidRDefault="000674DA">
            <w:pPr>
              <w:pStyle w:val="Summarytabletextrightaligned"/>
            </w:pPr>
            <w:r w:rsidRPr="00222C32">
              <w:t>-</w:t>
            </w:r>
          </w:p>
        </w:tc>
        <w:tc>
          <w:tcPr>
            <w:tcW w:w="850" w:type="dxa"/>
            <w:vAlign w:val="bottom"/>
          </w:tcPr>
          <w:p w14:paraId="46F2BD06" w14:textId="77777777" w:rsidR="00BB2CB4" w:rsidRPr="00222C32" w:rsidRDefault="000674DA">
            <w:pPr>
              <w:pStyle w:val="Summarytabletextrightaligned"/>
            </w:pPr>
            <w:r w:rsidRPr="00222C32">
              <w:t>-</w:t>
            </w:r>
          </w:p>
        </w:tc>
      </w:tr>
      <w:tr w:rsidR="00BB2CB4" w:rsidRPr="00222C32" w14:paraId="67F90534" w14:textId="77777777" w:rsidTr="00825163">
        <w:tc>
          <w:tcPr>
            <w:tcW w:w="3471" w:type="dxa"/>
            <w:vAlign w:val="bottom"/>
          </w:tcPr>
          <w:p w14:paraId="693DF8DF" w14:textId="6A737730" w:rsidR="00BB2CB4" w:rsidRPr="00222C32" w:rsidRDefault="000674DA">
            <w:pPr>
              <w:pStyle w:val="SummaryMeasureTitlewithTheme"/>
            </w:pPr>
            <w:r w:rsidRPr="00222C32">
              <w:t>Building Australia</w:t>
            </w:r>
            <w:r w:rsidR="00A67A30">
              <w:t>’</w:t>
            </w:r>
            <w:r w:rsidRPr="00222C32">
              <w:t>s Future – delivering priority housing and energy sector training(b)</w:t>
            </w:r>
          </w:p>
        </w:tc>
        <w:tc>
          <w:tcPr>
            <w:tcW w:w="850" w:type="dxa"/>
            <w:vAlign w:val="bottom"/>
          </w:tcPr>
          <w:p w14:paraId="09816BC4" w14:textId="77777777" w:rsidR="00BB2CB4" w:rsidRPr="00222C32" w:rsidRDefault="000674DA">
            <w:pPr>
              <w:pStyle w:val="Summarytabletextrightaligned"/>
            </w:pPr>
            <w:r w:rsidRPr="00222C32">
              <w:t>-</w:t>
            </w:r>
          </w:p>
        </w:tc>
        <w:tc>
          <w:tcPr>
            <w:tcW w:w="850" w:type="dxa"/>
            <w:shd w:val="clear" w:color="auto" w:fill="E6F2FF"/>
            <w:vAlign w:val="bottom"/>
          </w:tcPr>
          <w:p w14:paraId="450FEF22" w14:textId="77777777" w:rsidR="00BB2CB4" w:rsidRPr="00222C32" w:rsidRDefault="000674DA">
            <w:pPr>
              <w:pStyle w:val="Summarytabletextrightaligned"/>
            </w:pPr>
            <w:r w:rsidRPr="00222C32">
              <w:t>1.3</w:t>
            </w:r>
          </w:p>
        </w:tc>
        <w:tc>
          <w:tcPr>
            <w:tcW w:w="850" w:type="dxa"/>
            <w:vAlign w:val="bottom"/>
          </w:tcPr>
          <w:p w14:paraId="0F55B648" w14:textId="77777777" w:rsidR="00BB2CB4" w:rsidRPr="00222C32" w:rsidRDefault="000674DA">
            <w:pPr>
              <w:pStyle w:val="Summarytabletextrightaligned"/>
            </w:pPr>
            <w:r w:rsidRPr="00222C32">
              <w:t>22.5</w:t>
            </w:r>
          </w:p>
        </w:tc>
        <w:tc>
          <w:tcPr>
            <w:tcW w:w="850" w:type="dxa"/>
            <w:vAlign w:val="bottom"/>
          </w:tcPr>
          <w:p w14:paraId="663EB435" w14:textId="77777777" w:rsidR="00BB2CB4" w:rsidRPr="00222C32" w:rsidRDefault="000674DA">
            <w:pPr>
              <w:pStyle w:val="Summarytabletextrightaligned"/>
            </w:pPr>
            <w:r w:rsidRPr="00222C32">
              <w:t>-22.9</w:t>
            </w:r>
          </w:p>
        </w:tc>
        <w:tc>
          <w:tcPr>
            <w:tcW w:w="850" w:type="dxa"/>
            <w:vAlign w:val="bottom"/>
          </w:tcPr>
          <w:p w14:paraId="0E943D1C" w14:textId="77777777" w:rsidR="00BB2CB4" w:rsidRPr="00222C32" w:rsidRDefault="000674DA">
            <w:pPr>
              <w:pStyle w:val="Summarytabletextrightaligned"/>
            </w:pPr>
            <w:r w:rsidRPr="00222C32">
              <w:t>-1.7</w:t>
            </w:r>
          </w:p>
        </w:tc>
      </w:tr>
      <w:tr w:rsidR="00BB2CB4" w:rsidRPr="00222C32" w14:paraId="342C7ECA" w14:textId="77777777" w:rsidTr="00825163">
        <w:tc>
          <w:tcPr>
            <w:tcW w:w="3471" w:type="dxa"/>
            <w:vAlign w:val="bottom"/>
          </w:tcPr>
          <w:p w14:paraId="57499845" w14:textId="77777777" w:rsidR="00BB2CB4" w:rsidRPr="00222C32" w:rsidRDefault="000674DA">
            <w:pPr>
              <w:pStyle w:val="SummaryMeasureTitlewithTheme"/>
            </w:pPr>
            <w:r w:rsidRPr="00222C32">
              <w:t>Employment and Workplace Relations – reprioritisation</w:t>
            </w:r>
          </w:p>
        </w:tc>
        <w:tc>
          <w:tcPr>
            <w:tcW w:w="850" w:type="dxa"/>
            <w:vAlign w:val="bottom"/>
          </w:tcPr>
          <w:p w14:paraId="3D637CFD" w14:textId="77777777" w:rsidR="00BB2CB4" w:rsidRPr="00222C32" w:rsidRDefault="000674DA">
            <w:pPr>
              <w:pStyle w:val="Summarytabletextrightaligned"/>
            </w:pPr>
            <w:r w:rsidRPr="00222C32">
              <w:t>-</w:t>
            </w:r>
          </w:p>
        </w:tc>
        <w:tc>
          <w:tcPr>
            <w:tcW w:w="850" w:type="dxa"/>
            <w:shd w:val="clear" w:color="auto" w:fill="E6F2FF"/>
            <w:vAlign w:val="bottom"/>
          </w:tcPr>
          <w:p w14:paraId="2CBEBB4C" w14:textId="77777777" w:rsidR="00BB2CB4" w:rsidRPr="00222C32" w:rsidRDefault="000674DA">
            <w:pPr>
              <w:pStyle w:val="Summarytabletextrightaligned"/>
            </w:pPr>
            <w:r w:rsidRPr="00222C32">
              <w:t>-16.4</w:t>
            </w:r>
          </w:p>
        </w:tc>
        <w:tc>
          <w:tcPr>
            <w:tcW w:w="850" w:type="dxa"/>
            <w:vAlign w:val="bottom"/>
          </w:tcPr>
          <w:p w14:paraId="2C240DBB" w14:textId="77777777" w:rsidR="00BB2CB4" w:rsidRPr="00222C32" w:rsidRDefault="000674DA">
            <w:pPr>
              <w:pStyle w:val="Summarytabletextrightaligned"/>
            </w:pPr>
            <w:r w:rsidRPr="00222C32">
              <w:t>-11.2</w:t>
            </w:r>
          </w:p>
        </w:tc>
        <w:tc>
          <w:tcPr>
            <w:tcW w:w="850" w:type="dxa"/>
            <w:vAlign w:val="bottom"/>
          </w:tcPr>
          <w:p w14:paraId="7E2F7E78" w14:textId="77777777" w:rsidR="00BB2CB4" w:rsidRPr="00222C32" w:rsidRDefault="000674DA">
            <w:pPr>
              <w:pStyle w:val="Summarytabletextrightaligned"/>
            </w:pPr>
            <w:r w:rsidRPr="00222C32">
              <w:t>-0.6</w:t>
            </w:r>
          </w:p>
        </w:tc>
        <w:tc>
          <w:tcPr>
            <w:tcW w:w="850" w:type="dxa"/>
            <w:vAlign w:val="bottom"/>
          </w:tcPr>
          <w:p w14:paraId="7F13C2FE" w14:textId="77777777" w:rsidR="00BB2CB4" w:rsidRPr="00222C32" w:rsidRDefault="000674DA">
            <w:pPr>
              <w:pStyle w:val="Summarytabletextrightaligned"/>
            </w:pPr>
            <w:r w:rsidRPr="00222C32">
              <w:t>-0.6</w:t>
            </w:r>
          </w:p>
        </w:tc>
      </w:tr>
      <w:tr w:rsidR="00BB2CB4" w:rsidRPr="00222C32" w14:paraId="64DA8F90" w14:textId="77777777" w:rsidTr="00825163">
        <w:tc>
          <w:tcPr>
            <w:tcW w:w="3471" w:type="dxa"/>
            <w:vAlign w:val="bottom"/>
          </w:tcPr>
          <w:p w14:paraId="2A08D03E" w14:textId="77777777" w:rsidR="00BB2CB4" w:rsidRPr="00222C32" w:rsidRDefault="000674DA">
            <w:pPr>
              <w:pStyle w:val="SummaryMeasureTitlewithTheme"/>
            </w:pPr>
            <w:r w:rsidRPr="00222C32">
              <w:t>Permanent Migration Program – 2025–26 planning levels(b)</w:t>
            </w:r>
          </w:p>
        </w:tc>
        <w:tc>
          <w:tcPr>
            <w:tcW w:w="850" w:type="dxa"/>
            <w:vAlign w:val="bottom"/>
          </w:tcPr>
          <w:p w14:paraId="2F29B197" w14:textId="77777777" w:rsidR="00BB2CB4" w:rsidRPr="00222C32" w:rsidRDefault="000674DA">
            <w:pPr>
              <w:pStyle w:val="Summarytabletextrightaligned"/>
            </w:pPr>
            <w:r w:rsidRPr="00222C32">
              <w:t>-</w:t>
            </w:r>
          </w:p>
        </w:tc>
        <w:tc>
          <w:tcPr>
            <w:tcW w:w="850" w:type="dxa"/>
            <w:shd w:val="clear" w:color="auto" w:fill="E6F2FF"/>
            <w:vAlign w:val="bottom"/>
          </w:tcPr>
          <w:p w14:paraId="6D8ECA3D" w14:textId="77777777" w:rsidR="00BB2CB4" w:rsidRPr="00222C32" w:rsidRDefault="000674DA">
            <w:pPr>
              <w:pStyle w:val="Summarytabletextrightaligned"/>
            </w:pPr>
            <w:r w:rsidRPr="00222C32">
              <w:t>-</w:t>
            </w:r>
          </w:p>
        </w:tc>
        <w:tc>
          <w:tcPr>
            <w:tcW w:w="850" w:type="dxa"/>
            <w:vAlign w:val="bottom"/>
          </w:tcPr>
          <w:p w14:paraId="19F184F1" w14:textId="77777777" w:rsidR="00BB2CB4" w:rsidRPr="00222C32" w:rsidRDefault="000674DA">
            <w:pPr>
              <w:pStyle w:val="Summarytabletextrightaligned"/>
            </w:pPr>
            <w:r w:rsidRPr="00222C32">
              <w:t>-</w:t>
            </w:r>
          </w:p>
        </w:tc>
        <w:tc>
          <w:tcPr>
            <w:tcW w:w="850" w:type="dxa"/>
            <w:vAlign w:val="bottom"/>
          </w:tcPr>
          <w:p w14:paraId="6185D1EA" w14:textId="77777777" w:rsidR="00BB2CB4" w:rsidRPr="00222C32" w:rsidRDefault="000674DA">
            <w:pPr>
              <w:pStyle w:val="Summarytabletextrightaligned"/>
            </w:pPr>
            <w:r w:rsidRPr="00222C32">
              <w:t>..</w:t>
            </w:r>
          </w:p>
        </w:tc>
        <w:tc>
          <w:tcPr>
            <w:tcW w:w="850" w:type="dxa"/>
            <w:vAlign w:val="bottom"/>
          </w:tcPr>
          <w:p w14:paraId="65D2D8F8" w14:textId="77777777" w:rsidR="00BB2CB4" w:rsidRPr="00222C32" w:rsidRDefault="000674DA">
            <w:pPr>
              <w:pStyle w:val="Summarytabletextrightaligned"/>
            </w:pPr>
            <w:r w:rsidRPr="00222C32">
              <w:t>..</w:t>
            </w:r>
          </w:p>
        </w:tc>
      </w:tr>
      <w:tr w:rsidR="00BB2CB4" w:rsidRPr="00222C32" w14:paraId="1CA612DE" w14:textId="77777777" w:rsidTr="00825163">
        <w:tc>
          <w:tcPr>
            <w:tcW w:w="3471" w:type="dxa"/>
            <w:vAlign w:val="bottom"/>
          </w:tcPr>
          <w:p w14:paraId="2FC26F9D" w14:textId="77777777" w:rsidR="00BB2CB4" w:rsidRPr="00222C32" w:rsidRDefault="000674DA">
            <w:pPr>
              <w:pStyle w:val="SummaryMeasureTitlewithTheme"/>
            </w:pPr>
            <w:r w:rsidRPr="00222C32">
              <w:t>Skills and Training – additional supports</w:t>
            </w:r>
          </w:p>
        </w:tc>
        <w:tc>
          <w:tcPr>
            <w:tcW w:w="850" w:type="dxa"/>
            <w:vAlign w:val="bottom"/>
          </w:tcPr>
          <w:p w14:paraId="5140ADE1" w14:textId="77777777" w:rsidR="00BB2CB4" w:rsidRPr="00222C32" w:rsidRDefault="000674DA">
            <w:pPr>
              <w:pStyle w:val="Summarytabletextrightaligned"/>
            </w:pPr>
            <w:r w:rsidRPr="00222C32">
              <w:t>-</w:t>
            </w:r>
          </w:p>
        </w:tc>
        <w:tc>
          <w:tcPr>
            <w:tcW w:w="850" w:type="dxa"/>
            <w:shd w:val="clear" w:color="auto" w:fill="E6F2FF"/>
            <w:vAlign w:val="bottom"/>
          </w:tcPr>
          <w:p w14:paraId="395B7465" w14:textId="77777777" w:rsidR="00BB2CB4" w:rsidRPr="00222C32" w:rsidRDefault="000674DA">
            <w:pPr>
              <w:pStyle w:val="Summarytabletextrightaligned"/>
            </w:pPr>
            <w:r w:rsidRPr="00222C32">
              <w:t>10.0</w:t>
            </w:r>
          </w:p>
        </w:tc>
        <w:tc>
          <w:tcPr>
            <w:tcW w:w="850" w:type="dxa"/>
            <w:vAlign w:val="bottom"/>
          </w:tcPr>
          <w:p w14:paraId="048D1080" w14:textId="77777777" w:rsidR="00BB2CB4" w:rsidRPr="00222C32" w:rsidRDefault="000674DA">
            <w:pPr>
              <w:pStyle w:val="Summarytabletextrightaligned"/>
            </w:pPr>
            <w:r w:rsidRPr="00222C32">
              <w:t>-</w:t>
            </w:r>
          </w:p>
        </w:tc>
        <w:tc>
          <w:tcPr>
            <w:tcW w:w="850" w:type="dxa"/>
            <w:vAlign w:val="bottom"/>
          </w:tcPr>
          <w:p w14:paraId="32BEAEC1" w14:textId="77777777" w:rsidR="00BB2CB4" w:rsidRPr="00222C32" w:rsidRDefault="000674DA">
            <w:pPr>
              <w:pStyle w:val="Summarytabletextrightaligned"/>
            </w:pPr>
            <w:r w:rsidRPr="00222C32">
              <w:t>-</w:t>
            </w:r>
          </w:p>
        </w:tc>
        <w:tc>
          <w:tcPr>
            <w:tcW w:w="850" w:type="dxa"/>
            <w:vAlign w:val="bottom"/>
          </w:tcPr>
          <w:p w14:paraId="5842FB0D" w14:textId="77777777" w:rsidR="00BB2CB4" w:rsidRPr="00222C32" w:rsidRDefault="000674DA">
            <w:pPr>
              <w:pStyle w:val="Summarytabletextrightaligned"/>
            </w:pPr>
            <w:r w:rsidRPr="00222C32">
              <w:t>-</w:t>
            </w:r>
          </w:p>
        </w:tc>
      </w:tr>
      <w:tr w:rsidR="00BB2CB4" w:rsidRPr="00222C32" w14:paraId="743A534D" w14:textId="77777777" w:rsidTr="00825163">
        <w:tc>
          <w:tcPr>
            <w:tcW w:w="3471" w:type="dxa"/>
            <w:vAlign w:val="bottom"/>
          </w:tcPr>
          <w:p w14:paraId="2A2E8CC4" w14:textId="77777777" w:rsidR="00BB2CB4" w:rsidRPr="00222C32" w:rsidRDefault="000674DA">
            <w:pPr>
              <w:pStyle w:val="SummaryMeasureTitlewithTheme"/>
            </w:pPr>
            <w:r w:rsidRPr="00222C32">
              <w:t>Workplace Relations – additional supports</w:t>
            </w:r>
          </w:p>
        </w:tc>
        <w:tc>
          <w:tcPr>
            <w:tcW w:w="850" w:type="dxa"/>
            <w:vAlign w:val="bottom"/>
          </w:tcPr>
          <w:p w14:paraId="56DB04EE" w14:textId="77777777" w:rsidR="00BB2CB4" w:rsidRPr="00222C32" w:rsidRDefault="000674DA">
            <w:pPr>
              <w:pStyle w:val="Summarytabletextrightaligned"/>
            </w:pPr>
            <w:r w:rsidRPr="00222C32">
              <w:t>-</w:t>
            </w:r>
          </w:p>
        </w:tc>
        <w:tc>
          <w:tcPr>
            <w:tcW w:w="850" w:type="dxa"/>
            <w:shd w:val="clear" w:color="auto" w:fill="E6F2FF"/>
            <w:vAlign w:val="bottom"/>
          </w:tcPr>
          <w:p w14:paraId="2B591479" w14:textId="77777777" w:rsidR="00BB2CB4" w:rsidRPr="00222C32" w:rsidRDefault="000674DA">
            <w:pPr>
              <w:pStyle w:val="Summarytabletextrightaligned"/>
            </w:pPr>
            <w:r w:rsidRPr="00222C32">
              <w:t>2.2</w:t>
            </w:r>
          </w:p>
        </w:tc>
        <w:tc>
          <w:tcPr>
            <w:tcW w:w="850" w:type="dxa"/>
            <w:vAlign w:val="bottom"/>
          </w:tcPr>
          <w:p w14:paraId="13734305" w14:textId="77777777" w:rsidR="00BB2CB4" w:rsidRPr="00222C32" w:rsidRDefault="000674DA">
            <w:pPr>
              <w:pStyle w:val="Summarytabletextrightaligned"/>
            </w:pPr>
            <w:r w:rsidRPr="00222C32">
              <w:t>0.6</w:t>
            </w:r>
          </w:p>
        </w:tc>
        <w:tc>
          <w:tcPr>
            <w:tcW w:w="850" w:type="dxa"/>
            <w:vAlign w:val="bottom"/>
          </w:tcPr>
          <w:p w14:paraId="47DEE138" w14:textId="77777777" w:rsidR="00BB2CB4" w:rsidRPr="00222C32" w:rsidRDefault="000674DA">
            <w:pPr>
              <w:pStyle w:val="Summarytabletextrightaligned"/>
            </w:pPr>
            <w:r w:rsidRPr="00222C32">
              <w:t>0.6</w:t>
            </w:r>
          </w:p>
        </w:tc>
        <w:tc>
          <w:tcPr>
            <w:tcW w:w="850" w:type="dxa"/>
            <w:vAlign w:val="bottom"/>
          </w:tcPr>
          <w:p w14:paraId="4C730958" w14:textId="77777777" w:rsidR="00BB2CB4" w:rsidRPr="00222C32" w:rsidRDefault="000674DA">
            <w:pPr>
              <w:pStyle w:val="Summarytabletextrightaligned"/>
            </w:pPr>
            <w:r w:rsidRPr="00222C32">
              <w:t>0.6</w:t>
            </w:r>
          </w:p>
        </w:tc>
      </w:tr>
      <w:tr w:rsidR="00BB2CB4" w:rsidRPr="00222C32" w14:paraId="1EA469F5" w14:textId="77777777" w:rsidTr="00825163">
        <w:tc>
          <w:tcPr>
            <w:tcW w:w="3471" w:type="dxa"/>
            <w:vAlign w:val="bottom"/>
          </w:tcPr>
          <w:p w14:paraId="7C9AA51C" w14:textId="77777777" w:rsidR="00BB2CB4" w:rsidRPr="00222C32" w:rsidRDefault="000674DA">
            <w:pPr>
              <w:pStyle w:val="SummaryAgencyTitle-BP2"/>
            </w:pPr>
            <w:r w:rsidRPr="00222C32">
              <w:t>Office of the Fair Work Ombudsman</w:t>
            </w:r>
          </w:p>
        </w:tc>
        <w:tc>
          <w:tcPr>
            <w:tcW w:w="850" w:type="dxa"/>
          </w:tcPr>
          <w:p w14:paraId="53BD11FD" w14:textId="77777777" w:rsidR="00BB2CB4" w:rsidRPr="00222C32" w:rsidRDefault="00BB2CB4">
            <w:pPr>
              <w:pStyle w:val="SummaryAgencyTitle-BP2"/>
            </w:pPr>
          </w:p>
        </w:tc>
        <w:tc>
          <w:tcPr>
            <w:tcW w:w="850" w:type="dxa"/>
            <w:shd w:val="clear" w:color="auto" w:fill="E6F2FF"/>
          </w:tcPr>
          <w:p w14:paraId="176809A1" w14:textId="77777777" w:rsidR="00BB2CB4" w:rsidRPr="00222C32" w:rsidRDefault="00BB2CB4">
            <w:pPr>
              <w:pStyle w:val="SummaryAgencyTitle-BP2"/>
            </w:pPr>
          </w:p>
        </w:tc>
        <w:tc>
          <w:tcPr>
            <w:tcW w:w="850" w:type="dxa"/>
          </w:tcPr>
          <w:p w14:paraId="0D461C7D" w14:textId="77777777" w:rsidR="00BB2CB4" w:rsidRPr="00222C32" w:rsidRDefault="00BB2CB4">
            <w:pPr>
              <w:pStyle w:val="SummaryAgencyTitle-BP2"/>
            </w:pPr>
          </w:p>
        </w:tc>
        <w:tc>
          <w:tcPr>
            <w:tcW w:w="850" w:type="dxa"/>
          </w:tcPr>
          <w:p w14:paraId="55BFA753" w14:textId="77777777" w:rsidR="00BB2CB4" w:rsidRPr="00222C32" w:rsidRDefault="00BB2CB4">
            <w:pPr>
              <w:pStyle w:val="SummaryAgencyTitle-BP2"/>
            </w:pPr>
          </w:p>
        </w:tc>
        <w:tc>
          <w:tcPr>
            <w:tcW w:w="850" w:type="dxa"/>
          </w:tcPr>
          <w:p w14:paraId="3482F2AB" w14:textId="77777777" w:rsidR="00BB2CB4" w:rsidRPr="00222C32" w:rsidRDefault="00BB2CB4">
            <w:pPr>
              <w:pStyle w:val="SummaryAgencyTitle-BP2"/>
            </w:pPr>
          </w:p>
        </w:tc>
      </w:tr>
      <w:tr w:rsidR="00BB2CB4" w:rsidRPr="00222C32" w14:paraId="6E2B5482" w14:textId="77777777" w:rsidTr="00825163">
        <w:tc>
          <w:tcPr>
            <w:tcW w:w="3471" w:type="dxa"/>
            <w:vAlign w:val="bottom"/>
          </w:tcPr>
          <w:p w14:paraId="24819BB2" w14:textId="77777777" w:rsidR="00BB2CB4" w:rsidRPr="00222C32" w:rsidRDefault="000674DA">
            <w:pPr>
              <w:pStyle w:val="SummaryMeasureTitlewithTheme"/>
            </w:pPr>
            <w:r w:rsidRPr="00222C32">
              <w:t>Competition Reforms(b)</w:t>
            </w:r>
          </w:p>
        </w:tc>
        <w:tc>
          <w:tcPr>
            <w:tcW w:w="850" w:type="dxa"/>
            <w:tcBorders>
              <w:bottom w:val="single" w:sz="4" w:space="0" w:color="293F5B"/>
            </w:tcBorders>
            <w:vAlign w:val="bottom"/>
          </w:tcPr>
          <w:p w14:paraId="1B3EBE47"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1166FA0"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64C5320D"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7C1E1042"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2862B7A1" w14:textId="77777777" w:rsidR="00BB2CB4" w:rsidRPr="00222C32" w:rsidRDefault="000674DA">
            <w:pPr>
              <w:pStyle w:val="Summarytabletextrightaligned"/>
            </w:pPr>
            <w:r w:rsidRPr="00222C32">
              <w:t>-</w:t>
            </w:r>
          </w:p>
        </w:tc>
      </w:tr>
      <w:tr w:rsidR="00BB2CB4" w:rsidRPr="00222C32" w14:paraId="72C5C737" w14:textId="77777777" w:rsidTr="00825163">
        <w:tc>
          <w:tcPr>
            <w:tcW w:w="3471" w:type="dxa"/>
            <w:vAlign w:val="bottom"/>
          </w:tcPr>
          <w:p w14:paraId="0F55E1D6"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CC583B7"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705AED6D" w14:textId="77777777" w:rsidR="00BB2CB4" w:rsidRPr="00222C32" w:rsidRDefault="000674DA">
            <w:pPr>
              <w:pStyle w:val="Summarytabletextrightalignedbold"/>
            </w:pPr>
            <w:r w:rsidRPr="00222C32">
              <w:t>15.7</w:t>
            </w:r>
          </w:p>
        </w:tc>
        <w:tc>
          <w:tcPr>
            <w:tcW w:w="850" w:type="dxa"/>
            <w:tcBorders>
              <w:top w:val="single" w:sz="4" w:space="0" w:color="293F5B"/>
              <w:bottom w:val="single" w:sz="4" w:space="0" w:color="293F5B"/>
            </w:tcBorders>
            <w:vAlign w:val="bottom"/>
          </w:tcPr>
          <w:p w14:paraId="6B5368CE" w14:textId="77777777" w:rsidR="00BB2CB4" w:rsidRPr="00222C32" w:rsidRDefault="000674DA">
            <w:pPr>
              <w:pStyle w:val="Summarytabletextrightalignedbold"/>
            </w:pPr>
            <w:r w:rsidRPr="00222C32">
              <w:t>44.9</w:t>
            </w:r>
          </w:p>
        </w:tc>
        <w:tc>
          <w:tcPr>
            <w:tcW w:w="850" w:type="dxa"/>
            <w:tcBorders>
              <w:top w:val="single" w:sz="4" w:space="0" w:color="293F5B"/>
              <w:bottom w:val="single" w:sz="4" w:space="0" w:color="293F5B"/>
            </w:tcBorders>
            <w:vAlign w:val="bottom"/>
          </w:tcPr>
          <w:p w14:paraId="79E88A90" w14:textId="77777777" w:rsidR="00BB2CB4" w:rsidRPr="00222C32" w:rsidRDefault="000674DA">
            <w:pPr>
              <w:pStyle w:val="Summarytabletextrightalignedbold"/>
            </w:pPr>
            <w:r w:rsidRPr="00222C32">
              <w:t>-22.6</w:t>
            </w:r>
          </w:p>
        </w:tc>
        <w:tc>
          <w:tcPr>
            <w:tcW w:w="850" w:type="dxa"/>
            <w:tcBorders>
              <w:top w:val="single" w:sz="4" w:space="0" w:color="293F5B"/>
              <w:bottom w:val="single" w:sz="4" w:space="0" w:color="293F5B"/>
            </w:tcBorders>
            <w:vAlign w:val="bottom"/>
          </w:tcPr>
          <w:p w14:paraId="6918AD85" w14:textId="77777777" w:rsidR="00BB2CB4" w:rsidRPr="00222C32" w:rsidRDefault="000674DA">
            <w:pPr>
              <w:pStyle w:val="Summarytabletextrightalignedbold"/>
            </w:pPr>
            <w:r w:rsidRPr="00222C32">
              <w:t>-1.7</w:t>
            </w:r>
          </w:p>
        </w:tc>
      </w:tr>
      <w:tr w:rsidR="00BB2CB4" w:rsidRPr="00222C32" w14:paraId="40C96870" w14:textId="77777777" w:rsidTr="00825163">
        <w:tc>
          <w:tcPr>
            <w:tcW w:w="3471" w:type="dxa"/>
            <w:vAlign w:val="bottom"/>
          </w:tcPr>
          <w:p w14:paraId="28788B82" w14:textId="77777777" w:rsidR="00BB2CB4" w:rsidRPr="00222C32" w:rsidRDefault="000674DA">
            <w:pPr>
              <w:pStyle w:val="SummaryPortfolioTitle-BP2"/>
            </w:pPr>
            <w:r w:rsidRPr="00222C32">
              <w:t>FINANCE</w:t>
            </w:r>
          </w:p>
        </w:tc>
        <w:tc>
          <w:tcPr>
            <w:tcW w:w="850" w:type="dxa"/>
            <w:tcBorders>
              <w:top w:val="single" w:sz="4" w:space="0" w:color="293F5B"/>
            </w:tcBorders>
          </w:tcPr>
          <w:p w14:paraId="338CBDE3"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395D8821" w14:textId="77777777" w:rsidR="00BB2CB4" w:rsidRPr="00222C32" w:rsidRDefault="00BB2CB4">
            <w:pPr>
              <w:pStyle w:val="MeasureTableTextRightAlignedBefore6ptAfter1pt"/>
            </w:pPr>
          </w:p>
        </w:tc>
        <w:tc>
          <w:tcPr>
            <w:tcW w:w="850" w:type="dxa"/>
            <w:tcBorders>
              <w:top w:val="single" w:sz="4" w:space="0" w:color="293F5B"/>
            </w:tcBorders>
          </w:tcPr>
          <w:p w14:paraId="543C2B96" w14:textId="77777777" w:rsidR="00BB2CB4" w:rsidRPr="00222C32" w:rsidRDefault="00BB2CB4">
            <w:pPr>
              <w:pStyle w:val="MeasureTableTextRightAlignedBefore6ptAfter1pt"/>
            </w:pPr>
          </w:p>
        </w:tc>
        <w:tc>
          <w:tcPr>
            <w:tcW w:w="850" w:type="dxa"/>
            <w:tcBorders>
              <w:top w:val="single" w:sz="4" w:space="0" w:color="293F5B"/>
            </w:tcBorders>
          </w:tcPr>
          <w:p w14:paraId="2360EBEA" w14:textId="77777777" w:rsidR="00BB2CB4" w:rsidRPr="00222C32" w:rsidRDefault="00BB2CB4">
            <w:pPr>
              <w:pStyle w:val="MeasureTableTextRightAlignedBefore6ptAfter1pt"/>
            </w:pPr>
          </w:p>
        </w:tc>
        <w:tc>
          <w:tcPr>
            <w:tcW w:w="850" w:type="dxa"/>
            <w:tcBorders>
              <w:top w:val="single" w:sz="4" w:space="0" w:color="293F5B"/>
            </w:tcBorders>
          </w:tcPr>
          <w:p w14:paraId="5847425A" w14:textId="77777777" w:rsidR="00BB2CB4" w:rsidRPr="00222C32" w:rsidRDefault="00BB2CB4">
            <w:pPr>
              <w:pStyle w:val="MeasureTableTextRightAlignedBefore6ptAfter1pt"/>
            </w:pPr>
          </w:p>
        </w:tc>
      </w:tr>
      <w:tr w:rsidR="00BB2CB4" w:rsidRPr="00222C32" w14:paraId="70719333" w14:textId="77777777" w:rsidTr="00825163">
        <w:tc>
          <w:tcPr>
            <w:tcW w:w="3471" w:type="dxa"/>
            <w:vAlign w:val="bottom"/>
          </w:tcPr>
          <w:p w14:paraId="09B86031" w14:textId="77777777" w:rsidR="00BB2CB4" w:rsidRPr="00222C32" w:rsidRDefault="000674DA">
            <w:pPr>
              <w:pStyle w:val="SummaryAgencyTitle-BP2"/>
            </w:pPr>
            <w:r w:rsidRPr="00222C32">
              <w:t>Department of Finance</w:t>
            </w:r>
          </w:p>
        </w:tc>
        <w:tc>
          <w:tcPr>
            <w:tcW w:w="850" w:type="dxa"/>
          </w:tcPr>
          <w:p w14:paraId="014EE091" w14:textId="77777777" w:rsidR="00BB2CB4" w:rsidRPr="00222C32" w:rsidRDefault="00BB2CB4">
            <w:pPr>
              <w:pStyle w:val="SummaryAgencyTitle-BP2"/>
            </w:pPr>
          </w:p>
        </w:tc>
        <w:tc>
          <w:tcPr>
            <w:tcW w:w="850" w:type="dxa"/>
            <w:shd w:val="clear" w:color="auto" w:fill="E6F2FF"/>
          </w:tcPr>
          <w:p w14:paraId="4A09C6F5" w14:textId="77777777" w:rsidR="00BB2CB4" w:rsidRPr="00222C32" w:rsidRDefault="00BB2CB4">
            <w:pPr>
              <w:pStyle w:val="SummaryAgencyTitle-BP2"/>
            </w:pPr>
          </w:p>
        </w:tc>
        <w:tc>
          <w:tcPr>
            <w:tcW w:w="850" w:type="dxa"/>
          </w:tcPr>
          <w:p w14:paraId="74228C41" w14:textId="77777777" w:rsidR="00BB2CB4" w:rsidRPr="00222C32" w:rsidRDefault="00BB2CB4">
            <w:pPr>
              <w:pStyle w:val="SummaryAgencyTitle-BP2"/>
            </w:pPr>
          </w:p>
        </w:tc>
        <w:tc>
          <w:tcPr>
            <w:tcW w:w="850" w:type="dxa"/>
          </w:tcPr>
          <w:p w14:paraId="6C6B8A74" w14:textId="77777777" w:rsidR="00BB2CB4" w:rsidRPr="00222C32" w:rsidRDefault="00BB2CB4">
            <w:pPr>
              <w:pStyle w:val="SummaryAgencyTitle-BP2"/>
            </w:pPr>
          </w:p>
        </w:tc>
        <w:tc>
          <w:tcPr>
            <w:tcW w:w="850" w:type="dxa"/>
          </w:tcPr>
          <w:p w14:paraId="74AB7342" w14:textId="77777777" w:rsidR="00BB2CB4" w:rsidRPr="00222C32" w:rsidRDefault="00BB2CB4">
            <w:pPr>
              <w:pStyle w:val="SummaryAgencyTitle-BP2"/>
            </w:pPr>
          </w:p>
        </w:tc>
      </w:tr>
      <w:tr w:rsidR="00BB2CB4" w:rsidRPr="00222C32" w14:paraId="0BF945DA" w14:textId="77777777" w:rsidTr="00825163">
        <w:tc>
          <w:tcPr>
            <w:tcW w:w="3471" w:type="dxa"/>
            <w:vAlign w:val="bottom"/>
          </w:tcPr>
          <w:p w14:paraId="5028FED7" w14:textId="77777777" w:rsidR="00BB2CB4" w:rsidRPr="00222C32" w:rsidRDefault="000674DA">
            <w:pPr>
              <w:pStyle w:val="SummaryMeasureTitlewithTheme"/>
            </w:pPr>
            <w:r w:rsidRPr="00222C32">
              <w:t>A Rapidly Transforming Energy System(b)</w:t>
            </w:r>
          </w:p>
        </w:tc>
        <w:tc>
          <w:tcPr>
            <w:tcW w:w="850" w:type="dxa"/>
            <w:vAlign w:val="bottom"/>
          </w:tcPr>
          <w:p w14:paraId="4FC56CEC" w14:textId="77777777" w:rsidR="00BB2CB4" w:rsidRPr="00222C32" w:rsidRDefault="000674DA">
            <w:pPr>
              <w:pStyle w:val="Summarytabletextrightaligned"/>
            </w:pPr>
            <w:r w:rsidRPr="00222C32">
              <w:t>-</w:t>
            </w:r>
          </w:p>
        </w:tc>
        <w:tc>
          <w:tcPr>
            <w:tcW w:w="850" w:type="dxa"/>
            <w:shd w:val="clear" w:color="auto" w:fill="E6F2FF"/>
            <w:vAlign w:val="bottom"/>
          </w:tcPr>
          <w:p w14:paraId="63F08C5F" w14:textId="77777777" w:rsidR="00BB2CB4" w:rsidRPr="00222C32" w:rsidRDefault="000674DA">
            <w:pPr>
              <w:pStyle w:val="Summarytabletextrightaligned"/>
            </w:pPr>
            <w:r w:rsidRPr="00222C32">
              <w:t>-</w:t>
            </w:r>
          </w:p>
        </w:tc>
        <w:tc>
          <w:tcPr>
            <w:tcW w:w="850" w:type="dxa"/>
            <w:vAlign w:val="bottom"/>
          </w:tcPr>
          <w:p w14:paraId="1E461545" w14:textId="77777777" w:rsidR="00BB2CB4" w:rsidRPr="00222C32" w:rsidRDefault="000674DA">
            <w:pPr>
              <w:pStyle w:val="Summarytabletextrightaligned"/>
            </w:pPr>
            <w:r w:rsidRPr="00222C32">
              <w:t>1.1</w:t>
            </w:r>
          </w:p>
        </w:tc>
        <w:tc>
          <w:tcPr>
            <w:tcW w:w="850" w:type="dxa"/>
            <w:vAlign w:val="bottom"/>
          </w:tcPr>
          <w:p w14:paraId="01AABC1B" w14:textId="77777777" w:rsidR="00BB2CB4" w:rsidRPr="00222C32" w:rsidRDefault="000674DA">
            <w:pPr>
              <w:pStyle w:val="Summarytabletextrightaligned"/>
            </w:pPr>
            <w:r w:rsidRPr="00222C32">
              <w:t>1.1</w:t>
            </w:r>
          </w:p>
        </w:tc>
        <w:tc>
          <w:tcPr>
            <w:tcW w:w="850" w:type="dxa"/>
            <w:vAlign w:val="bottom"/>
          </w:tcPr>
          <w:p w14:paraId="0DFF0897" w14:textId="77777777" w:rsidR="00BB2CB4" w:rsidRPr="00222C32" w:rsidRDefault="000674DA">
            <w:pPr>
              <w:pStyle w:val="Summarytabletextrightaligned"/>
            </w:pPr>
            <w:r w:rsidRPr="00222C32">
              <w:t>1.1</w:t>
            </w:r>
          </w:p>
        </w:tc>
      </w:tr>
      <w:tr w:rsidR="00BB2CB4" w:rsidRPr="00222C32" w14:paraId="63CA6B66" w14:textId="77777777" w:rsidTr="00825163">
        <w:tc>
          <w:tcPr>
            <w:tcW w:w="3471" w:type="dxa"/>
            <w:vAlign w:val="bottom"/>
          </w:tcPr>
          <w:p w14:paraId="74F98120" w14:textId="77777777" w:rsidR="00BB2CB4" w:rsidRPr="00222C32" w:rsidRDefault="000674DA">
            <w:pPr>
              <w:pStyle w:val="SummaryMeasureTitlewithTheme"/>
            </w:pPr>
            <w:r w:rsidRPr="00222C32">
              <w:t>Competition Reforms(b)</w:t>
            </w:r>
          </w:p>
        </w:tc>
        <w:tc>
          <w:tcPr>
            <w:tcW w:w="850" w:type="dxa"/>
            <w:vAlign w:val="bottom"/>
          </w:tcPr>
          <w:p w14:paraId="22DBAD07" w14:textId="77777777" w:rsidR="00BB2CB4" w:rsidRPr="00222C32" w:rsidRDefault="000674DA">
            <w:pPr>
              <w:pStyle w:val="Summarytabletextrightaligned"/>
            </w:pPr>
            <w:r w:rsidRPr="00222C32">
              <w:t>-</w:t>
            </w:r>
          </w:p>
        </w:tc>
        <w:tc>
          <w:tcPr>
            <w:tcW w:w="850" w:type="dxa"/>
            <w:shd w:val="clear" w:color="auto" w:fill="E6F2FF"/>
            <w:vAlign w:val="bottom"/>
          </w:tcPr>
          <w:p w14:paraId="60899785" w14:textId="77777777" w:rsidR="00BB2CB4" w:rsidRPr="00222C32" w:rsidRDefault="000674DA">
            <w:pPr>
              <w:pStyle w:val="Summarytabletextrightaligned"/>
            </w:pPr>
            <w:r w:rsidRPr="00222C32">
              <w:t>-</w:t>
            </w:r>
          </w:p>
        </w:tc>
        <w:tc>
          <w:tcPr>
            <w:tcW w:w="850" w:type="dxa"/>
            <w:vAlign w:val="bottom"/>
          </w:tcPr>
          <w:p w14:paraId="1986A914" w14:textId="77777777" w:rsidR="00BB2CB4" w:rsidRPr="00222C32" w:rsidRDefault="000674DA">
            <w:pPr>
              <w:pStyle w:val="Summarytabletextrightaligned"/>
            </w:pPr>
            <w:r w:rsidRPr="00222C32">
              <w:t>-</w:t>
            </w:r>
          </w:p>
        </w:tc>
        <w:tc>
          <w:tcPr>
            <w:tcW w:w="850" w:type="dxa"/>
            <w:vAlign w:val="bottom"/>
          </w:tcPr>
          <w:p w14:paraId="5E111CFC" w14:textId="77777777" w:rsidR="00BB2CB4" w:rsidRPr="00222C32" w:rsidRDefault="000674DA">
            <w:pPr>
              <w:pStyle w:val="Summarytabletextrightaligned"/>
            </w:pPr>
            <w:r w:rsidRPr="00222C32">
              <w:t>-</w:t>
            </w:r>
          </w:p>
        </w:tc>
        <w:tc>
          <w:tcPr>
            <w:tcW w:w="850" w:type="dxa"/>
            <w:vAlign w:val="bottom"/>
          </w:tcPr>
          <w:p w14:paraId="5191DCA4" w14:textId="77777777" w:rsidR="00BB2CB4" w:rsidRPr="00222C32" w:rsidRDefault="000674DA">
            <w:pPr>
              <w:pStyle w:val="Summarytabletextrightaligned"/>
            </w:pPr>
            <w:r w:rsidRPr="00222C32">
              <w:t>-</w:t>
            </w:r>
          </w:p>
        </w:tc>
      </w:tr>
      <w:tr w:rsidR="00BB2CB4" w:rsidRPr="00222C32" w14:paraId="3253A5BB" w14:textId="77777777" w:rsidTr="00825163">
        <w:tc>
          <w:tcPr>
            <w:tcW w:w="3471" w:type="dxa"/>
            <w:vAlign w:val="bottom"/>
          </w:tcPr>
          <w:p w14:paraId="67871081" w14:textId="77777777" w:rsidR="00BB2CB4" w:rsidRPr="00222C32" w:rsidRDefault="000674DA">
            <w:pPr>
              <w:pStyle w:val="SummaryMeasureTitlewithTheme"/>
            </w:pPr>
            <w:r w:rsidRPr="00222C32">
              <w:t>Finance Portfolio – additional resourcing</w:t>
            </w:r>
          </w:p>
        </w:tc>
        <w:tc>
          <w:tcPr>
            <w:tcW w:w="850" w:type="dxa"/>
            <w:vAlign w:val="bottom"/>
          </w:tcPr>
          <w:p w14:paraId="439106A5" w14:textId="77777777" w:rsidR="00BB2CB4" w:rsidRPr="00222C32" w:rsidRDefault="000674DA">
            <w:pPr>
              <w:pStyle w:val="Summarytabletextrightaligned"/>
            </w:pPr>
            <w:r w:rsidRPr="00222C32">
              <w:t>-</w:t>
            </w:r>
          </w:p>
        </w:tc>
        <w:tc>
          <w:tcPr>
            <w:tcW w:w="850" w:type="dxa"/>
            <w:shd w:val="clear" w:color="auto" w:fill="E6F2FF"/>
            <w:vAlign w:val="bottom"/>
          </w:tcPr>
          <w:p w14:paraId="2DB8C35B" w14:textId="77777777" w:rsidR="00BB2CB4" w:rsidRPr="00222C32" w:rsidRDefault="000674DA">
            <w:pPr>
              <w:pStyle w:val="Summarytabletextrightaligned"/>
            </w:pPr>
            <w:r w:rsidRPr="00222C32">
              <w:t>6.8</w:t>
            </w:r>
          </w:p>
        </w:tc>
        <w:tc>
          <w:tcPr>
            <w:tcW w:w="850" w:type="dxa"/>
            <w:vAlign w:val="bottom"/>
          </w:tcPr>
          <w:p w14:paraId="242B449D" w14:textId="77777777" w:rsidR="00BB2CB4" w:rsidRPr="00222C32" w:rsidRDefault="000674DA">
            <w:pPr>
              <w:pStyle w:val="Summarytabletextrightaligned"/>
            </w:pPr>
            <w:r w:rsidRPr="00222C32">
              <w:t>5.7</w:t>
            </w:r>
          </w:p>
        </w:tc>
        <w:tc>
          <w:tcPr>
            <w:tcW w:w="850" w:type="dxa"/>
            <w:vAlign w:val="bottom"/>
          </w:tcPr>
          <w:p w14:paraId="2AF40A9C" w14:textId="77777777" w:rsidR="00BB2CB4" w:rsidRPr="00222C32" w:rsidRDefault="000674DA">
            <w:pPr>
              <w:pStyle w:val="Summarytabletextrightaligned"/>
            </w:pPr>
            <w:r w:rsidRPr="00222C32">
              <w:t>-</w:t>
            </w:r>
          </w:p>
        </w:tc>
        <w:tc>
          <w:tcPr>
            <w:tcW w:w="850" w:type="dxa"/>
            <w:vAlign w:val="bottom"/>
          </w:tcPr>
          <w:p w14:paraId="6F47D8C3" w14:textId="77777777" w:rsidR="00BB2CB4" w:rsidRPr="00222C32" w:rsidRDefault="000674DA">
            <w:pPr>
              <w:pStyle w:val="Summarytabletextrightaligned"/>
            </w:pPr>
            <w:r w:rsidRPr="00222C32">
              <w:t>-</w:t>
            </w:r>
          </w:p>
        </w:tc>
      </w:tr>
      <w:tr w:rsidR="00BB2CB4" w:rsidRPr="00222C32" w14:paraId="50B118EB" w14:textId="77777777" w:rsidTr="00825163">
        <w:tc>
          <w:tcPr>
            <w:tcW w:w="3471" w:type="dxa"/>
            <w:vAlign w:val="bottom"/>
          </w:tcPr>
          <w:p w14:paraId="4E09B832" w14:textId="77777777" w:rsidR="00BB2CB4" w:rsidRPr="00222C32" w:rsidRDefault="000674DA">
            <w:pPr>
              <w:pStyle w:val="SummaryMeasureTitlewithTheme"/>
            </w:pPr>
            <w:r w:rsidRPr="00222C32">
              <w:t>Health Protection</w:t>
            </w:r>
          </w:p>
        </w:tc>
        <w:tc>
          <w:tcPr>
            <w:tcW w:w="850" w:type="dxa"/>
            <w:vAlign w:val="bottom"/>
          </w:tcPr>
          <w:p w14:paraId="65EC3805" w14:textId="77777777" w:rsidR="00BB2CB4" w:rsidRPr="00222C32" w:rsidRDefault="000674DA">
            <w:pPr>
              <w:pStyle w:val="Summarytabletextrightaligned"/>
            </w:pPr>
            <w:r w:rsidRPr="00222C32">
              <w:t>-</w:t>
            </w:r>
          </w:p>
        </w:tc>
        <w:tc>
          <w:tcPr>
            <w:tcW w:w="850" w:type="dxa"/>
            <w:shd w:val="clear" w:color="auto" w:fill="E6F2FF"/>
            <w:vAlign w:val="bottom"/>
          </w:tcPr>
          <w:p w14:paraId="322DFA33" w14:textId="77777777" w:rsidR="00BB2CB4" w:rsidRPr="00222C32" w:rsidRDefault="000674DA">
            <w:pPr>
              <w:pStyle w:val="Summarytabletextrightaligned"/>
            </w:pPr>
            <w:r w:rsidRPr="00222C32">
              <w:t>-</w:t>
            </w:r>
          </w:p>
        </w:tc>
        <w:tc>
          <w:tcPr>
            <w:tcW w:w="850" w:type="dxa"/>
            <w:vAlign w:val="bottom"/>
          </w:tcPr>
          <w:p w14:paraId="28E43CF6" w14:textId="77777777" w:rsidR="00BB2CB4" w:rsidRPr="00222C32" w:rsidRDefault="000674DA">
            <w:pPr>
              <w:pStyle w:val="Summarytabletextrightaligned"/>
            </w:pPr>
            <w:r w:rsidRPr="00222C32">
              <w:t>0.1</w:t>
            </w:r>
          </w:p>
        </w:tc>
        <w:tc>
          <w:tcPr>
            <w:tcW w:w="850" w:type="dxa"/>
            <w:vAlign w:val="bottom"/>
          </w:tcPr>
          <w:p w14:paraId="57037951" w14:textId="77777777" w:rsidR="00BB2CB4" w:rsidRPr="00222C32" w:rsidRDefault="000674DA">
            <w:pPr>
              <w:pStyle w:val="Summarytabletextrightaligned"/>
            </w:pPr>
            <w:r w:rsidRPr="00222C32">
              <w:t>-</w:t>
            </w:r>
          </w:p>
        </w:tc>
        <w:tc>
          <w:tcPr>
            <w:tcW w:w="850" w:type="dxa"/>
            <w:vAlign w:val="bottom"/>
          </w:tcPr>
          <w:p w14:paraId="3B51EAFF" w14:textId="77777777" w:rsidR="00BB2CB4" w:rsidRPr="00222C32" w:rsidRDefault="000674DA">
            <w:pPr>
              <w:pStyle w:val="Summarytabletextrightaligned"/>
            </w:pPr>
            <w:r w:rsidRPr="00222C32">
              <w:t>-</w:t>
            </w:r>
          </w:p>
        </w:tc>
      </w:tr>
      <w:tr w:rsidR="00BB2CB4" w:rsidRPr="00222C32" w14:paraId="1B6E6EE1" w14:textId="77777777" w:rsidTr="00825163">
        <w:tc>
          <w:tcPr>
            <w:tcW w:w="3471" w:type="dxa"/>
            <w:vAlign w:val="bottom"/>
          </w:tcPr>
          <w:p w14:paraId="3515D8DF" w14:textId="77777777" w:rsidR="00BB2CB4" w:rsidRPr="00222C32" w:rsidRDefault="000674DA">
            <w:pPr>
              <w:pStyle w:val="SummaryMeasureTitlewithTheme"/>
            </w:pPr>
            <w:r w:rsidRPr="00222C32">
              <w:t>Home Affairs Portfolio – additional resourcing</w:t>
            </w:r>
          </w:p>
        </w:tc>
        <w:tc>
          <w:tcPr>
            <w:tcW w:w="850" w:type="dxa"/>
            <w:vAlign w:val="bottom"/>
          </w:tcPr>
          <w:p w14:paraId="222DB343" w14:textId="77777777" w:rsidR="00BB2CB4" w:rsidRPr="00222C32" w:rsidRDefault="000674DA">
            <w:pPr>
              <w:pStyle w:val="Summarytabletextrightaligned"/>
            </w:pPr>
            <w:r w:rsidRPr="00222C32">
              <w:t>-</w:t>
            </w:r>
          </w:p>
        </w:tc>
        <w:tc>
          <w:tcPr>
            <w:tcW w:w="850" w:type="dxa"/>
            <w:shd w:val="clear" w:color="auto" w:fill="E6F2FF"/>
            <w:vAlign w:val="bottom"/>
          </w:tcPr>
          <w:p w14:paraId="4E42D96C"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59BD408"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62221E7" w14:textId="77777777" w:rsidR="00BB2CB4" w:rsidRPr="00222C32" w:rsidRDefault="000674DA">
            <w:pPr>
              <w:pStyle w:val="Summarytabletextrightaligned"/>
              <w:rPr>
                <w:lang w:val="en-US"/>
              </w:rPr>
            </w:pPr>
            <w:r w:rsidRPr="00222C32">
              <w:rPr>
                <w:lang w:val="en-US"/>
              </w:rPr>
              <w:t>nfp</w:t>
            </w:r>
          </w:p>
        </w:tc>
        <w:tc>
          <w:tcPr>
            <w:tcW w:w="850" w:type="dxa"/>
            <w:vAlign w:val="bottom"/>
          </w:tcPr>
          <w:p w14:paraId="167B8372" w14:textId="77777777" w:rsidR="00BB2CB4" w:rsidRPr="00222C32" w:rsidRDefault="000674DA">
            <w:pPr>
              <w:pStyle w:val="Summarytabletextrightaligned"/>
              <w:rPr>
                <w:lang w:val="en-US"/>
              </w:rPr>
            </w:pPr>
            <w:r w:rsidRPr="00222C32">
              <w:rPr>
                <w:lang w:val="en-US"/>
              </w:rPr>
              <w:t>nfp</w:t>
            </w:r>
          </w:p>
        </w:tc>
      </w:tr>
      <w:tr w:rsidR="00BB2CB4" w:rsidRPr="00222C32" w14:paraId="08E65389" w14:textId="77777777" w:rsidTr="00825163">
        <w:tc>
          <w:tcPr>
            <w:tcW w:w="3471" w:type="dxa"/>
            <w:vAlign w:val="bottom"/>
          </w:tcPr>
          <w:p w14:paraId="76A065A2" w14:textId="77777777" w:rsidR="00BB2CB4" w:rsidRPr="00222C32" w:rsidRDefault="000674DA">
            <w:pPr>
              <w:pStyle w:val="SummaryMeasureTitlewithTheme"/>
            </w:pPr>
            <w:r w:rsidRPr="00222C32">
              <w:t>Ngurra Cultural Precinct</w:t>
            </w:r>
          </w:p>
        </w:tc>
        <w:tc>
          <w:tcPr>
            <w:tcW w:w="850" w:type="dxa"/>
            <w:vAlign w:val="bottom"/>
          </w:tcPr>
          <w:p w14:paraId="0267E507" w14:textId="77777777" w:rsidR="00BB2CB4" w:rsidRPr="00222C32" w:rsidRDefault="000674DA">
            <w:pPr>
              <w:pStyle w:val="Summarytabletextrightaligned"/>
            </w:pPr>
            <w:r w:rsidRPr="00222C32">
              <w:t>-</w:t>
            </w:r>
          </w:p>
        </w:tc>
        <w:tc>
          <w:tcPr>
            <w:tcW w:w="850" w:type="dxa"/>
            <w:shd w:val="clear" w:color="auto" w:fill="E6F2FF"/>
            <w:vAlign w:val="bottom"/>
          </w:tcPr>
          <w:p w14:paraId="66C9E3AE" w14:textId="77777777" w:rsidR="00BB2CB4" w:rsidRPr="00222C32" w:rsidRDefault="000674DA">
            <w:pPr>
              <w:pStyle w:val="Summarytabletextrightaligned"/>
            </w:pPr>
            <w:r w:rsidRPr="00222C32">
              <w:t>0.2</w:t>
            </w:r>
          </w:p>
        </w:tc>
        <w:tc>
          <w:tcPr>
            <w:tcW w:w="850" w:type="dxa"/>
            <w:vAlign w:val="bottom"/>
          </w:tcPr>
          <w:p w14:paraId="6A307582" w14:textId="77777777" w:rsidR="00BB2CB4" w:rsidRPr="00222C32" w:rsidRDefault="000674DA">
            <w:pPr>
              <w:pStyle w:val="Summarytabletextrightaligned"/>
            </w:pPr>
            <w:r w:rsidRPr="00222C32">
              <w:t>-</w:t>
            </w:r>
          </w:p>
        </w:tc>
        <w:tc>
          <w:tcPr>
            <w:tcW w:w="850" w:type="dxa"/>
            <w:vAlign w:val="bottom"/>
          </w:tcPr>
          <w:p w14:paraId="6018F143" w14:textId="77777777" w:rsidR="00BB2CB4" w:rsidRPr="00222C32" w:rsidRDefault="000674DA">
            <w:pPr>
              <w:pStyle w:val="Summarytabletextrightaligned"/>
            </w:pPr>
            <w:r w:rsidRPr="00222C32">
              <w:t>-</w:t>
            </w:r>
          </w:p>
        </w:tc>
        <w:tc>
          <w:tcPr>
            <w:tcW w:w="850" w:type="dxa"/>
            <w:vAlign w:val="bottom"/>
          </w:tcPr>
          <w:p w14:paraId="37EC8CE7" w14:textId="77777777" w:rsidR="00BB2CB4" w:rsidRPr="00222C32" w:rsidRDefault="000674DA">
            <w:pPr>
              <w:pStyle w:val="Summarytabletextrightaligned"/>
            </w:pPr>
            <w:r w:rsidRPr="00222C32">
              <w:t>-</w:t>
            </w:r>
          </w:p>
        </w:tc>
      </w:tr>
      <w:tr w:rsidR="00BB2CB4" w:rsidRPr="00222C32" w14:paraId="3A7EE38D" w14:textId="77777777" w:rsidTr="00825163">
        <w:tc>
          <w:tcPr>
            <w:tcW w:w="3471" w:type="dxa"/>
            <w:vAlign w:val="bottom"/>
          </w:tcPr>
          <w:p w14:paraId="071F6B8A" w14:textId="77777777" w:rsidR="00BB2CB4" w:rsidRPr="00222C32" w:rsidRDefault="000674DA">
            <w:pPr>
              <w:pStyle w:val="SummaryMeasureTitlewithTheme"/>
            </w:pPr>
            <w:r w:rsidRPr="00222C32">
              <w:t>Nuclear‑Powered Submarine Program – further program support</w:t>
            </w:r>
          </w:p>
        </w:tc>
        <w:tc>
          <w:tcPr>
            <w:tcW w:w="850" w:type="dxa"/>
            <w:vAlign w:val="bottom"/>
          </w:tcPr>
          <w:p w14:paraId="5B6D4C85" w14:textId="77777777" w:rsidR="00BB2CB4" w:rsidRPr="00222C32" w:rsidRDefault="000674DA">
            <w:pPr>
              <w:pStyle w:val="Summarytabletextrightaligned"/>
            </w:pPr>
            <w:r w:rsidRPr="00222C32">
              <w:t>-</w:t>
            </w:r>
          </w:p>
        </w:tc>
        <w:tc>
          <w:tcPr>
            <w:tcW w:w="850" w:type="dxa"/>
            <w:shd w:val="clear" w:color="auto" w:fill="E6F2FF"/>
            <w:vAlign w:val="bottom"/>
          </w:tcPr>
          <w:p w14:paraId="0B1D7DC9" w14:textId="77777777" w:rsidR="00BB2CB4" w:rsidRPr="00222C32" w:rsidRDefault="000674DA">
            <w:pPr>
              <w:pStyle w:val="Summarytabletextrightaligned"/>
              <w:rPr>
                <w:lang w:val="en-US"/>
              </w:rPr>
            </w:pPr>
            <w:r w:rsidRPr="00222C32">
              <w:rPr>
                <w:lang w:val="en-US"/>
              </w:rPr>
              <w:t>nfp</w:t>
            </w:r>
          </w:p>
        </w:tc>
        <w:tc>
          <w:tcPr>
            <w:tcW w:w="850" w:type="dxa"/>
            <w:vAlign w:val="bottom"/>
          </w:tcPr>
          <w:p w14:paraId="056F37FA" w14:textId="77777777" w:rsidR="00BB2CB4" w:rsidRPr="00222C32" w:rsidRDefault="000674DA">
            <w:pPr>
              <w:pStyle w:val="Summarytabletextrightaligned"/>
              <w:rPr>
                <w:lang w:val="en-US"/>
              </w:rPr>
            </w:pPr>
            <w:r w:rsidRPr="00222C32">
              <w:rPr>
                <w:lang w:val="en-US"/>
              </w:rPr>
              <w:t>nfp</w:t>
            </w:r>
          </w:p>
        </w:tc>
        <w:tc>
          <w:tcPr>
            <w:tcW w:w="850" w:type="dxa"/>
            <w:vAlign w:val="bottom"/>
          </w:tcPr>
          <w:p w14:paraId="16C32EE4"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8EA95BA" w14:textId="77777777" w:rsidR="00BB2CB4" w:rsidRPr="00222C32" w:rsidRDefault="000674DA">
            <w:pPr>
              <w:pStyle w:val="Summarytabletextrightaligned"/>
              <w:rPr>
                <w:lang w:val="en-US"/>
              </w:rPr>
            </w:pPr>
            <w:r w:rsidRPr="00222C32">
              <w:rPr>
                <w:lang w:val="en-US"/>
              </w:rPr>
              <w:t>nfp</w:t>
            </w:r>
          </w:p>
        </w:tc>
      </w:tr>
      <w:tr w:rsidR="00BB2CB4" w:rsidRPr="00222C32" w14:paraId="1D5547C9" w14:textId="77777777" w:rsidTr="00825163">
        <w:tc>
          <w:tcPr>
            <w:tcW w:w="3471" w:type="dxa"/>
            <w:tcBorders>
              <w:bottom w:val="nil"/>
            </w:tcBorders>
            <w:vAlign w:val="bottom"/>
          </w:tcPr>
          <w:p w14:paraId="30EC700A" w14:textId="77777777" w:rsidR="00BB2CB4" w:rsidRPr="00222C32" w:rsidRDefault="000674DA">
            <w:pPr>
              <w:pStyle w:val="SummaryMeasureTitlewithTheme"/>
            </w:pPr>
            <w:r w:rsidRPr="00222C32">
              <w:t>OECD Crypto Asset Reporting Framework and domestic reporting(b)</w:t>
            </w:r>
          </w:p>
        </w:tc>
        <w:tc>
          <w:tcPr>
            <w:tcW w:w="850" w:type="dxa"/>
            <w:tcBorders>
              <w:bottom w:val="nil"/>
            </w:tcBorders>
            <w:vAlign w:val="bottom"/>
          </w:tcPr>
          <w:p w14:paraId="799304F9"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1832C064" w14:textId="77777777" w:rsidR="00BB2CB4" w:rsidRPr="00222C32" w:rsidRDefault="000674DA">
            <w:pPr>
              <w:pStyle w:val="Summarytabletextrightaligned"/>
            </w:pPr>
            <w:r w:rsidRPr="00222C32">
              <w:t>0.1</w:t>
            </w:r>
          </w:p>
        </w:tc>
        <w:tc>
          <w:tcPr>
            <w:tcW w:w="850" w:type="dxa"/>
            <w:tcBorders>
              <w:bottom w:val="nil"/>
            </w:tcBorders>
            <w:vAlign w:val="bottom"/>
          </w:tcPr>
          <w:p w14:paraId="6E0B8096" w14:textId="77777777" w:rsidR="00BB2CB4" w:rsidRPr="00222C32" w:rsidRDefault="000674DA">
            <w:pPr>
              <w:pStyle w:val="Summarytabletextrightaligned"/>
            </w:pPr>
            <w:r w:rsidRPr="00222C32">
              <w:t>0.1</w:t>
            </w:r>
          </w:p>
        </w:tc>
        <w:tc>
          <w:tcPr>
            <w:tcW w:w="850" w:type="dxa"/>
            <w:tcBorders>
              <w:bottom w:val="nil"/>
            </w:tcBorders>
            <w:vAlign w:val="bottom"/>
          </w:tcPr>
          <w:p w14:paraId="4A50E68A" w14:textId="77777777" w:rsidR="00BB2CB4" w:rsidRPr="00222C32" w:rsidRDefault="000674DA">
            <w:pPr>
              <w:pStyle w:val="Summarytabletextrightaligned"/>
            </w:pPr>
            <w:r w:rsidRPr="00222C32">
              <w:t>0.1</w:t>
            </w:r>
          </w:p>
        </w:tc>
        <w:tc>
          <w:tcPr>
            <w:tcW w:w="850" w:type="dxa"/>
            <w:tcBorders>
              <w:bottom w:val="nil"/>
            </w:tcBorders>
            <w:vAlign w:val="bottom"/>
          </w:tcPr>
          <w:p w14:paraId="1CA91347" w14:textId="77777777" w:rsidR="00BB2CB4" w:rsidRPr="00222C32" w:rsidRDefault="000674DA">
            <w:pPr>
              <w:pStyle w:val="Summarytabletextrightaligned"/>
            </w:pPr>
            <w:r w:rsidRPr="00222C32">
              <w:t>0.1</w:t>
            </w:r>
          </w:p>
        </w:tc>
      </w:tr>
      <w:tr w:rsidR="00BB2CB4" w:rsidRPr="00222C32" w14:paraId="7C6C5D4C" w14:textId="77777777" w:rsidTr="00825163">
        <w:tc>
          <w:tcPr>
            <w:tcW w:w="3471" w:type="dxa"/>
            <w:tcBorders>
              <w:top w:val="nil"/>
              <w:bottom w:val="single" w:sz="4" w:space="0" w:color="293F5B"/>
            </w:tcBorders>
            <w:vAlign w:val="bottom"/>
          </w:tcPr>
          <w:p w14:paraId="6BAFBE50" w14:textId="6AB06153" w:rsidR="00BB2CB4" w:rsidRPr="00222C32" w:rsidRDefault="000674DA">
            <w:pPr>
              <w:pStyle w:val="SummaryMeasureTitlewithTheme"/>
            </w:pPr>
            <w:r w:rsidRPr="00222C32">
              <w:t>Supporting Australia</w:t>
            </w:r>
            <w:r w:rsidR="00A67A30">
              <w:t>’</w:t>
            </w:r>
            <w:r w:rsidRPr="00222C32">
              <w:t>s Heavy Industry Transformation(b)</w:t>
            </w:r>
          </w:p>
        </w:tc>
        <w:tc>
          <w:tcPr>
            <w:tcW w:w="850" w:type="dxa"/>
            <w:tcBorders>
              <w:top w:val="nil"/>
              <w:bottom w:val="single" w:sz="4" w:space="0" w:color="293F5B"/>
            </w:tcBorders>
            <w:vAlign w:val="bottom"/>
          </w:tcPr>
          <w:p w14:paraId="5024EA2A"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333824B3" w14:textId="77777777" w:rsidR="00BB2CB4" w:rsidRPr="00222C32" w:rsidRDefault="000674DA">
            <w:pPr>
              <w:pStyle w:val="Summarytabletextrightaligned"/>
            </w:pPr>
            <w:r w:rsidRPr="00222C32">
              <w:t>1.4</w:t>
            </w:r>
          </w:p>
        </w:tc>
        <w:tc>
          <w:tcPr>
            <w:tcW w:w="850" w:type="dxa"/>
            <w:tcBorders>
              <w:top w:val="nil"/>
              <w:bottom w:val="single" w:sz="4" w:space="0" w:color="293F5B"/>
            </w:tcBorders>
            <w:vAlign w:val="bottom"/>
          </w:tcPr>
          <w:p w14:paraId="0BE4BFE5"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61A27800"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30E2809A" w14:textId="77777777" w:rsidR="00BB2CB4" w:rsidRPr="00222C32" w:rsidRDefault="000674DA">
            <w:pPr>
              <w:pStyle w:val="Summarytabletextrightaligned"/>
            </w:pPr>
            <w:r w:rsidRPr="00222C32">
              <w:t>-</w:t>
            </w:r>
          </w:p>
        </w:tc>
      </w:tr>
    </w:tbl>
    <w:p w14:paraId="64442624"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257824E5" w14:textId="191CECE5"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64DDE913" w14:textId="77777777" w:rsidTr="00825163">
        <w:tc>
          <w:tcPr>
            <w:tcW w:w="3471" w:type="dxa"/>
            <w:tcBorders>
              <w:top w:val="single" w:sz="4" w:space="0" w:color="293F5B"/>
              <w:bottom w:val="nil"/>
            </w:tcBorders>
            <w:vAlign w:val="bottom"/>
          </w:tcPr>
          <w:p w14:paraId="0D2C3BA9" w14:textId="77777777" w:rsidR="000D63FB" w:rsidRPr="00222C32" w:rsidRDefault="000D63FB" w:rsidP="000D63FB"/>
        </w:tc>
        <w:tc>
          <w:tcPr>
            <w:tcW w:w="850" w:type="dxa"/>
            <w:tcBorders>
              <w:top w:val="single" w:sz="4" w:space="0" w:color="293F5B"/>
              <w:bottom w:val="nil"/>
            </w:tcBorders>
          </w:tcPr>
          <w:p w14:paraId="74F98D65"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24B25514"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68769DA1"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298A20A0"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33126C9F" w14:textId="77777777" w:rsidR="000D63FB" w:rsidRPr="00222C32" w:rsidRDefault="000D63FB" w:rsidP="000D63FB">
            <w:pPr>
              <w:pStyle w:val="Summarytabletextrightaligned"/>
            </w:pPr>
            <w:r w:rsidRPr="00222C32">
              <w:t>2028-29</w:t>
            </w:r>
          </w:p>
        </w:tc>
      </w:tr>
      <w:tr w:rsidR="000D63FB" w:rsidRPr="00222C32" w14:paraId="04CD2295" w14:textId="77777777" w:rsidTr="00825163">
        <w:tc>
          <w:tcPr>
            <w:tcW w:w="3471" w:type="dxa"/>
            <w:tcBorders>
              <w:top w:val="nil"/>
            </w:tcBorders>
            <w:vAlign w:val="bottom"/>
          </w:tcPr>
          <w:p w14:paraId="30436B86" w14:textId="77777777" w:rsidR="000D63FB" w:rsidRPr="00222C32" w:rsidRDefault="000D63FB" w:rsidP="000D63FB"/>
        </w:tc>
        <w:tc>
          <w:tcPr>
            <w:tcW w:w="850" w:type="dxa"/>
            <w:tcBorders>
              <w:top w:val="nil"/>
              <w:bottom w:val="single" w:sz="4" w:space="0" w:color="293F5B"/>
            </w:tcBorders>
          </w:tcPr>
          <w:p w14:paraId="2580C38E"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57DAEA3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045717D8"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1C3A7C3B"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0ABCB735" w14:textId="77777777" w:rsidR="000D63FB" w:rsidRPr="00222C32" w:rsidRDefault="000D63FB" w:rsidP="000D63FB">
            <w:pPr>
              <w:pStyle w:val="Summarytabletextrightaligned"/>
            </w:pPr>
            <w:r w:rsidRPr="00222C32">
              <w:t>$m</w:t>
            </w:r>
          </w:p>
        </w:tc>
      </w:tr>
      <w:tr w:rsidR="000D63FB" w:rsidRPr="00222C32" w14:paraId="006227D4" w14:textId="77777777" w:rsidTr="00825163">
        <w:tc>
          <w:tcPr>
            <w:tcW w:w="3471" w:type="dxa"/>
            <w:tcBorders>
              <w:bottom w:val="nil"/>
            </w:tcBorders>
            <w:vAlign w:val="bottom"/>
          </w:tcPr>
          <w:p w14:paraId="4CB455B1" w14:textId="77777777" w:rsidR="000D63FB" w:rsidRPr="00222C32" w:rsidRDefault="000D63FB" w:rsidP="000D63FB">
            <w:pPr>
              <w:pStyle w:val="SummaryMeasureTitlewithTheme"/>
              <w:rPr>
                <w:b/>
              </w:rPr>
            </w:pPr>
            <w:r w:rsidRPr="00222C32">
              <w:rPr>
                <w:b/>
              </w:rPr>
              <w:t>FINANCE (continued)</w:t>
            </w:r>
          </w:p>
        </w:tc>
        <w:tc>
          <w:tcPr>
            <w:tcW w:w="850" w:type="dxa"/>
            <w:tcBorders>
              <w:top w:val="single" w:sz="4" w:space="0" w:color="293F5B"/>
              <w:bottom w:val="nil"/>
            </w:tcBorders>
          </w:tcPr>
          <w:p w14:paraId="3D483D8B" w14:textId="77777777" w:rsidR="000D63FB" w:rsidRPr="00222C32" w:rsidRDefault="000D63FB">
            <w:pPr>
              <w:pStyle w:val="SummaryAgencyTitle-BP2"/>
            </w:pPr>
          </w:p>
        </w:tc>
        <w:tc>
          <w:tcPr>
            <w:tcW w:w="850" w:type="dxa"/>
            <w:tcBorders>
              <w:top w:val="single" w:sz="4" w:space="0" w:color="293F5B"/>
              <w:bottom w:val="nil"/>
            </w:tcBorders>
            <w:shd w:val="clear" w:color="auto" w:fill="E6F2FF"/>
          </w:tcPr>
          <w:p w14:paraId="176DD9F6" w14:textId="77777777" w:rsidR="000D63FB" w:rsidRPr="00222C32" w:rsidRDefault="000D63FB">
            <w:pPr>
              <w:pStyle w:val="SummaryAgencyTitle-BP2"/>
            </w:pPr>
          </w:p>
        </w:tc>
        <w:tc>
          <w:tcPr>
            <w:tcW w:w="850" w:type="dxa"/>
            <w:tcBorders>
              <w:top w:val="single" w:sz="4" w:space="0" w:color="293F5B"/>
              <w:bottom w:val="nil"/>
            </w:tcBorders>
          </w:tcPr>
          <w:p w14:paraId="6C4F6B63" w14:textId="77777777" w:rsidR="000D63FB" w:rsidRPr="00222C32" w:rsidRDefault="000D63FB">
            <w:pPr>
              <w:pStyle w:val="SummaryAgencyTitle-BP2"/>
            </w:pPr>
          </w:p>
        </w:tc>
        <w:tc>
          <w:tcPr>
            <w:tcW w:w="850" w:type="dxa"/>
            <w:tcBorders>
              <w:top w:val="single" w:sz="4" w:space="0" w:color="293F5B"/>
              <w:bottom w:val="nil"/>
            </w:tcBorders>
          </w:tcPr>
          <w:p w14:paraId="3DD79792" w14:textId="77777777" w:rsidR="000D63FB" w:rsidRPr="00222C32" w:rsidRDefault="000D63FB">
            <w:pPr>
              <w:pStyle w:val="SummaryAgencyTitle-BP2"/>
            </w:pPr>
          </w:p>
        </w:tc>
        <w:tc>
          <w:tcPr>
            <w:tcW w:w="850" w:type="dxa"/>
            <w:tcBorders>
              <w:top w:val="single" w:sz="4" w:space="0" w:color="293F5B"/>
              <w:bottom w:val="nil"/>
            </w:tcBorders>
          </w:tcPr>
          <w:p w14:paraId="12DE9761" w14:textId="77777777" w:rsidR="000D63FB" w:rsidRPr="00222C32" w:rsidRDefault="000D63FB">
            <w:pPr>
              <w:pStyle w:val="SummaryAgencyTitle-BP2"/>
            </w:pPr>
          </w:p>
        </w:tc>
      </w:tr>
      <w:tr w:rsidR="00BB2CB4" w:rsidRPr="00222C32" w14:paraId="57EB69AD" w14:textId="77777777" w:rsidTr="00825163">
        <w:tc>
          <w:tcPr>
            <w:tcW w:w="3471" w:type="dxa"/>
            <w:tcBorders>
              <w:top w:val="nil"/>
            </w:tcBorders>
            <w:vAlign w:val="bottom"/>
          </w:tcPr>
          <w:p w14:paraId="509E9D59" w14:textId="77777777" w:rsidR="00BB2CB4" w:rsidRPr="00222C32" w:rsidRDefault="000674DA">
            <w:pPr>
              <w:pStyle w:val="SummaryAgencyTitle-BP2"/>
            </w:pPr>
            <w:r w:rsidRPr="00222C32">
              <w:t>Digital Transformation Agency</w:t>
            </w:r>
          </w:p>
        </w:tc>
        <w:tc>
          <w:tcPr>
            <w:tcW w:w="850" w:type="dxa"/>
            <w:tcBorders>
              <w:top w:val="nil"/>
            </w:tcBorders>
          </w:tcPr>
          <w:p w14:paraId="7007350D" w14:textId="77777777" w:rsidR="00BB2CB4" w:rsidRPr="00222C32" w:rsidRDefault="00BB2CB4">
            <w:pPr>
              <w:pStyle w:val="SummaryAgencyTitle-BP2"/>
            </w:pPr>
          </w:p>
        </w:tc>
        <w:tc>
          <w:tcPr>
            <w:tcW w:w="850" w:type="dxa"/>
            <w:tcBorders>
              <w:top w:val="nil"/>
            </w:tcBorders>
            <w:shd w:val="clear" w:color="auto" w:fill="E6F2FF"/>
          </w:tcPr>
          <w:p w14:paraId="5F8B1427" w14:textId="77777777" w:rsidR="00BB2CB4" w:rsidRPr="00222C32" w:rsidRDefault="00BB2CB4">
            <w:pPr>
              <w:pStyle w:val="SummaryAgencyTitle-BP2"/>
            </w:pPr>
          </w:p>
        </w:tc>
        <w:tc>
          <w:tcPr>
            <w:tcW w:w="850" w:type="dxa"/>
            <w:tcBorders>
              <w:top w:val="nil"/>
            </w:tcBorders>
          </w:tcPr>
          <w:p w14:paraId="759113AD" w14:textId="77777777" w:rsidR="00BB2CB4" w:rsidRPr="00222C32" w:rsidRDefault="00BB2CB4">
            <w:pPr>
              <w:pStyle w:val="SummaryAgencyTitle-BP2"/>
            </w:pPr>
          </w:p>
        </w:tc>
        <w:tc>
          <w:tcPr>
            <w:tcW w:w="850" w:type="dxa"/>
            <w:tcBorders>
              <w:top w:val="nil"/>
            </w:tcBorders>
          </w:tcPr>
          <w:p w14:paraId="59ACC92F" w14:textId="77777777" w:rsidR="00BB2CB4" w:rsidRPr="00222C32" w:rsidRDefault="00BB2CB4">
            <w:pPr>
              <w:pStyle w:val="SummaryAgencyTitle-BP2"/>
            </w:pPr>
          </w:p>
        </w:tc>
        <w:tc>
          <w:tcPr>
            <w:tcW w:w="850" w:type="dxa"/>
            <w:tcBorders>
              <w:top w:val="nil"/>
            </w:tcBorders>
          </w:tcPr>
          <w:p w14:paraId="54AEFB4C" w14:textId="77777777" w:rsidR="00BB2CB4" w:rsidRPr="00222C32" w:rsidRDefault="00BB2CB4">
            <w:pPr>
              <w:pStyle w:val="SummaryAgencyTitle-BP2"/>
            </w:pPr>
          </w:p>
        </w:tc>
      </w:tr>
      <w:tr w:rsidR="00BB2CB4" w:rsidRPr="00222C32" w14:paraId="01F391B0" w14:textId="77777777" w:rsidTr="00825163">
        <w:tc>
          <w:tcPr>
            <w:tcW w:w="3471" w:type="dxa"/>
            <w:vAlign w:val="bottom"/>
          </w:tcPr>
          <w:p w14:paraId="7D41EE3B" w14:textId="77777777" w:rsidR="00BB2CB4" w:rsidRPr="00222C32" w:rsidRDefault="000674DA">
            <w:pPr>
              <w:pStyle w:val="SummaryMeasureTitlewithTheme"/>
            </w:pPr>
            <w:r w:rsidRPr="00222C32">
              <w:t>Australian Energy Regulator Uplift</w:t>
            </w:r>
          </w:p>
        </w:tc>
        <w:tc>
          <w:tcPr>
            <w:tcW w:w="850" w:type="dxa"/>
            <w:vAlign w:val="bottom"/>
          </w:tcPr>
          <w:p w14:paraId="655D4C36" w14:textId="77777777" w:rsidR="00BB2CB4" w:rsidRPr="00222C32" w:rsidRDefault="000674DA">
            <w:pPr>
              <w:pStyle w:val="Summarytabletextrightaligned"/>
            </w:pPr>
            <w:r w:rsidRPr="00222C32">
              <w:t>-</w:t>
            </w:r>
          </w:p>
        </w:tc>
        <w:tc>
          <w:tcPr>
            <w:tcW w:w="850" w:type="dxa"/>
            <w:shd w:val="clear" w:color="auto" w:fill="E6F2FF"/>
            <w:vAlign w:val="bottom"/>
          </w:tcPr>
          <w:p w14:paraId="47419A58" w14:textId="77777777" w:rsidR="00BB2CB4" w:rsidRPr="00222C32" w:rsidRDefault="000674DA">
            <w:pPr>
              <w:pStyle w:val="Summarytabletextrightaligned"/>
            </w:pPr>
            <w:r w:rsidRPr="00222C32">
              <w:t>..</w:t>
            </w:r>
          </w:p>
        </w:tc>
        <w:tc>
          <w:tcPr>
            <w:tcW w:w="850" w:type="dxa"/>
            <w:vAlign w:val="bottom"/>
          </w:tcPr>
          <w:p w14:paraId="3ACAFCEF" w14:textId="77777777" w:rsidR="00BB2CB4" w:rsidRPr="00222C32" w:rsidRDefault="000674DA">
            <w:pPr>
              <w:pStyle w:val="Summarytabletextrightaligned"/>
            </w:pPr>
            <w:r w:rsidRPr="00222C32">
              <w:t>..</w:t>
            </w:r>
          </w:p>
        </w:tc>
        <w:tc>
          <w:tcPr>
            <w:tcW w:w="850" w:type="dxa"/>
            <w:vAlign w:val="bottom"/>
          </w:tcPr>
          <w:p w14:paraId="185623EF" w14:textId="77777777" w:rsidR="00BB2CB4" w:rsidRPr="00222C32" w:rsidRDefault="000674DA">
            <w:pPr>
              <w:pStyle w:val="Summarytabletextrightaligned"/>
            </w:pPr>
            <w:r w:rsidRPr="00222C32">
              <w:t>..</w:t>
            </w:r>
          </w:p>
        </w:tc>
        <w:tc>
          <w:tcPr>
            <w:tcW w:w="850" w:type="dxa"/>
            <w:vAlign w:val="bottom"/>
          </w:tcPr>
          <w:p w14:paraId="3BAD49C3" w14:textId="77777777" w:rsidR="00BB2CB4" w:rsidRPr="00222C32" w:rsidRDefault="000674DA">
            <w:pPr>
              <w:pStyle w:val="Summarytabletextrightaligned"/>
            </w:pPr>
            <w:r w:rsidRPr="00222C32">
              <w:t>..</w:t>
            </w:r>
          </w:p>
        </w:tc>
      </w:tr>
      <w:tr w:rsidR="00BB2CB4" w:rsidRPr="00222C32" w14:paraId="61B68D1C" w14:textId="77777777" w:rsidTr="00825163">
        <w:tc>
          <w:tcPr>
            <w:tcW w:w="3471" w:type="dxa"/>
            <w:vAlign w:val="bottom"/>
          </w:tcPr>
          <w:p w14:paraId="7828CA3A" w14:textId="0B9294C8" w:rsidR="00BB2CB4" w:rsidRPr="00222C32" w:rsidRDefault="000674DA">
            <w:pPr>
              <w:pStyle w:val="SummaryMeasureTitlewithTheme"/>
            </w:pPr>
            <w:r w:rsidRPr="00222C32">
              <w:t>Department of Veterans</w:t>
            </w:r>
            <w:r w:rsidR="00A67A30">
              <w:t>’</w:t>
            </w:r>
            <w:r w:rsidRPr="00222C32">
              <w:t xml:space="preserve"> Affairs – additional resourcing to support service delivery</w:t>
            </w:r>
          </w:p>
        </w:tc>
        <w:tc>
          <w:tcPr>
            <w:tcW w:w="850" w:type="dxa"/>
            <w:vAlign w:val="bottom"/>
          </w:tcPr>
          <w:p w14:paraId="4FE3033D" w14:textId="77777777" w:rsidR="00BB2CB4" w:rsidRPr="00222C32" w:rsidRDefault="000674DA">
            <w:pPr>
              <w:pStyle w:val="Summarytabletextrightaligned"/>
            </w:pPr>
            <w:r w:rsidRPr="00222C32">
              <w:t>-</w:t>
            </w:r>
          </w:p>
        </w:tc>
        <w:tc>
          <w:tcPr>
            <w:tcW w:w="850" w:type="dxa"/>
            <w:shd w:val="clear" w:color="auto" w:fill="E6F2FF"/>
            <w:vAlign w:val="bottom"/>
          </w:tcPr>
          <w:p w14:paraId="530028C8" w14:textId="77777777" w:rsidR="00BB2CB4" w:rsidRPr="00222C32" w:rsidRDefault="000674DA">
            <w:pPr>
              <w:pStyle w:val="Summarytabletextrightaligned"/>
            </w:pPr>
            <w:r w:rsidRPr="00222C32">
              <w:t>..</w:t>
            </w:r>
          </w:p>
        </w:tc>
        <w:tc>
          <w:tcPr>
            <w:tcW w:w="850" w:type="dxa"/>
            <w:vAlign w:val="bottom"/>
          </w:tcPr>
          <w:p w14:paraId="48295088" w14:textId="77777777" w:rsidR="00BB2CB4" w:rsidRPr="00222C32" w:rsidRDefault="000674DA">
            <w:pPr>
              <w:pStyle w:val="Summarytabletextrightaligned"/>
            </w:pPr>
            <w:r w:rsidRPr="00222C32">
              <w:t>..</w:t>
            </w:r>
          </w:p>
        </w:tc>
        <w:tc>
          <w:tcPr>
            <w:tcW w:w="850" w:type="dxa"/>
            <w:vAlign w:val="bottom"/>
          </w:tcPr>
          <w:p w14:paraId="74033D02" w14:textId="77777777" w:rsidR="00BB2CB4" w:rsidRPr="00222C32" w:rsidRDefault="000674DA">
            <w:pPr>
              <w:pStyle w:val="Summarytabletextrightaligned"/>
            </w:pPr>
            <w:r w:rsidRPr="00222C32">
              <w:t>..</w:t>
            </w:r>
          </w:p>
        </w:tc>
        <w:tc>
          <w:tcPr>
            <w:tcW w:w="850" w:type="dxa"/>
            <w:vAlign w:val="bottom"/>
          </w:tcPr>
          <w:p w14:paraId="3B485A22" w14:textId="77777777" w:rsidR="00BB2CB4" w:rsidRPr="00222C32" w:rsidRDefault="000674DA">
            <w:pPr>
              <w:pStyle w:val="Summarytabletextrightaligned"/>
            </w:pPr>
            <w:r w:rsidRPr="00222C32">
              <w:t>-</w:t>
            </w:r>
          </w:p>
        </w:tc>
      </w:tr>
      <w:tr w:rsidR="00BB2CB4" w:rsidRPr="00222C32" w14:paraId="5D3AB81C" w14:textId="77777777" w:rsidTr="00825163">
        <w:tc>
          <w:tcPr>
            <w:tcW w:w="3471" w:type="dxa"/>
            <w:vAlign w:val="bottom"/>
          </w:tcPr>
          <w:p w14:paraId="3350654E" w14:textId="77777777" w:rsidR="00BB2CB4" w:rsidRPr="00222C32" w:rsidRDefault="000674DA">
            <w:pPr>
              <w:pStyle w:val="SummaryMeasureTitlewithTheme"/>
            </w:pPr>
            <w:r w:rsidRPr="00222C32">
              <w:t>Home Affairs Portfolio – additional resourcing</w:t>
            </w:r>
          </w:p>
        </w:tc>
        <w:tc>
          <w:tcPr>
            <w:tcW w:w="850" w:type="dxa"/>
            <w:vAlign w:val="bottom"/>
          </w:tcPr>
          <w:p w14:paraId="2E4B3E06" w14:textId="77777777" w:rsidR="00BB2CB4" w:rsidRPr="00222C32" w:rsidRDefault="000674DA">
            <w:pPr>
              <w:pStyle w:val="Summarytabletextrightaligned"/>
            </w:pPr>
            <w:r w:rsidRPr="00222C32">
              <w:t>-</w:t>
            </w:r>
          </w:p>
        </w:tc>
        <w:tc>
          <w:tcPr>
            <w:tcW w:w="850" w:type="dxa"/>
            <w:shd w:val="clear" w:color="auto" w:fill="E6F2FF"/>
            <w:vAlign w:val="bottom"/>
          </w:tcPr>
          <w:p w14:paraId="17973A1C" w14:textId="77777777" w:rsidR="00BB2CB4" w:rsidRPr="00222C32" w:rsidRDefault="000674DA">
            <w:pPr>
              <w:pStyle w:val="Summarytabletextrightaligned"/>
            </w:pPr>
            <w:r w:rsidRPr="00222C32">
              <w:rPr>
                <w:lang w:val="en-US"/>
              </w:rPr>
              <w:t>nfp</w:t>
            </w:r>
          </w:p>
        </w:tc>
        <w:tc>
          <w:tcPr>
            <w:tcW w:w="850" w:type="dxa"/>
            <w:vAlign w:val="bottom"/>
          </w:tcPr>
          <w:p w14:paraId="1F9CF40E" w14:textId="77777777" w:rsidR="00BB2CB4" w:rsidRPr="00222C32" w:rsidRDefault="000674DA">
            <w:pPr>
              <w:pStyle w:val="Summarytabletextrightaligned"/>
            </w:pPr>
            <w:r w:rsidRPr="00222C32">
              <w:rPr>
                <w:lang w:val="en-US"/>
              </w:rPr>
              <w:t>nfp</w:t>
            </w:r>
          </w:p>
        </w:tc>
        <w:tc>
          <w:tcPr>
            <w:tcW w:w="850" w:type="dxa"/>
            <w:vAlign w:val="bottom"/>
          </w:tcPr>
          <w:p w14:paraId="634B732F" w14:textId="77777777" w:rsidR="00BB2CB4" w:rsidRPr="00222C32" w:rsidRDefault="000674DA">
            <w:pPr>
              <w:pStyle w:val="Summarytabletextrightaligned"/>
            </w:pPr>
            <w:r w:rsidRPr="00222C32">
              <w:rPr>
                <w:lang w:val="en-US"/>
              </w:rPr>
              <w:t>nfp</w:t>
            </w:r>
          </w:p>
        </w:tc>
        <w:tc>
          <w:tcPr>
            <w:tcW w:w="850" w:type="dxa"/>
            <w:vAlign w:val="bottom"/>
          </w:tcPr>
          <w:p w14:paraId="608EB175" w14:textId="77777777" w:rsidR="00BB2CB4" w:rsidRPr="00222C32" w:rsidRDefault="000674DA">
            <w:pPr>
              <w:pStyle w:val="Summarytabletextrightaligned"/>
            </w:pPr>
            <w:r w:rsidRPr="00222C32">
              <w:rPr>
                <w:lang w:val="en-US"/>
              </w:rPr>
              <w:t>nfp</w:t>
            </w:r>
          </w:p>
        </w:tc>
      </w:tr>
      <w:tr w:rsidR="00BB2CB4" w:rsidRPr="00222C32" w14:paraId="2E06BFA1" w14:textId="77777777" w:rsidTr="00825163">
        <w:tc>
          <w:tcPr>
            <w:tcW w:w="3471" w:type="dxa"/>
            <w:vAlign w:val="bottom"/>
          </w:tcPr>
          <w:p w14:paraId="30B5E583" w14:textId="77777777" w:rsidR="00BB2CB4" w:rsidRPr="00222C32" w:rsidRDefault="000674DA">
            <w:pPr>
              <w:pStyle w:val="SummaryMeasureTitlewithTheme"/>
            </w:pPr>
            <w:r w:rsidRPr="00222C32">
              <w:t>OECD Crypto Asset Reporting Framework and domestic reporting(b)</w:t>
            </w:r>
          </w:p>
        </w:tc>
        <w:tc>
          <w:tcPr>
            <w:tcW w:w="850" w:type="dxa"/>
            <w:vAlign w:val="bottom"/>
          </w:tcPr>
          <w:p w14:paraId="4D32962D" w14:textId="77777777" w:rsidR="00BB2CB4" w:rsidRPr="00222C32" w:rsidRDefault="000674DA">
            <w:pPr>
              <w:pStyle w:val="Summarytabletextrightaligned"/>
            </w:pPr>
            <w:r w:rsidRPr="00222C32">
              <w:t>-</w:t>
            </w:r>
          </w:p>
        </w:tc>
        <w:tc>
          <w:tcPr>
            <w:tcW w:w="850" w:type="dxa"/>
            <w:shd w:val="clear" w:color="auto" w:fill="E6F2FF"/>
            <w:vAlign w:val="bottom"/>
          </w:tcPr>
          <w:p w14:paraId="28B8100B" w14:textId="77777777" w:rsidR="00BB2CB4" w:rsidRPr="00222C32" w:rsidRDefault="000674DA">
            <w:pPr>
              <w:pStyle w:val="Summarytabletextrightaligned"/>
            </w:pPr>
            <w:r w:rsidRPr="00222C32">
              <w:t>..</w:t>
            </w:r>
          </w:p>
        </w:tc>
        <w:tc>
          <w:tcPr>
            <w:tcW w:w="850" w:type="dxa"/>
            <w:vAlign w:val="bottom"/>
          </w:tcPr>
          <w:p w14:paraId="384C4BB7" w14:textId="77777777" w:rsidR="00BB2CB4" w:rsidRPr="00222C32" w:rsidRDefault="000674DA">
            <w:pPr>
              <w:pStyle w:val="Summarytabletextrightaligned"/>
            </w:pPr>
            <w:r w:rsidRPr="00222C32">
              <w:t>..</w:t>
            </w:r>
          </w:p>
        </w:tc>
        <w:tc>
          <w:tcPr>
            <w:tcW w:w="850" w:type="dxa"/>
            <w:vAlign w:val="bottom"/>
          </w:tcPr>
          <w:p w14:paraId="62017D86" w14:textId="77777777" w:rsidR="00BB2CB4" w:rsidRPr="00222C32" w:rsidRDefault="000674DA">
            <w:pPr>
              <w:pStyle w:val="Summarytabletextrightaligned"/>
            </w:pPr>
            <w:r w:rsidRPr="00222C32">
              <w:t>..</w:t>
            </w:r>
          </w:p>
        </w:tc>
        <w:tc>
          <w:tcPr>
            <w:tcW w:w="850" w:type="dxa"/>
            <w:vAlign w:val="bottom"/>
          </w:tcPr>
          <w:p w14:paraId="6E3979E9" w14:textId="77777777" w:rsidR="00BB2CB4" w:rsidRPr="00222C32" w:rsidRDefault="000674DA">
            <w:pPr>
              <w:pStyle w:val="Summarytabletextrightaligned"/>
            </w:pPr>
            <w:r w:rsidRPr="00222C32">
              <w:t>..</w:t>
            </w:r>
          </w:p>
        </w:tc>
      </w:tr>
      <w:tr w:rsidR="00BB2CB4" w:rsidRPr="00222C32" w14:paraId="53D4CC6D" w14:textId="77777777" w:rsidTr="00825163">
        <w:tc>
          <w:tcPr>
            <w:tcW w:w="3471" w:type="dxa"/>
            <w:vAlign w:val="bottom"/>
          </w:tcPr>
          <w:p w14:paraId="53F25130" w14:textId="77777777" w:rsidR="00BB2CB4" w:rsidRPr="00222C32" w:rsidRDefault="000674DA">
            <w:pPr>
              <w:pStyle w:val="SummaryMeasureTitlewithTheme"/>
            </w:pPr>
            <w:r w:rsidRPr="00222C32">
              <w:t>Superannuation reforms – Boosting the Low Income Superannuation Tax Offset and practical changes to Better Targeted Superannuation Concessions(b)</w:t>
            </w:r>
          </w:p>
        </w:tc>
        <w:tc>
          <w:tcPr>
            <w:tcW w:w="850" w:type="dxa"/>
            <w:vAlign w:val="bottom"/>
          </w:tcPr>
          <w:p w14:paraId="12218624" w14:textId="77777777" w:rsidR="00BB2CB4" w:rsidRPr="00222C32" w:rsidRDefault="000674DA">
            <w:pPr>
              <w:pStyle w:val="Summarytabletextrightaligned"/>
            </w:pPr>
            <w:r w:rsidRPr="00222C32">
              <w:t>-</w:t>
            </w:r>
          </w:p>
        </w:tc>
        <w:tc>
          <w:tcPr>
            <w:tcW w:w="850" w:type="dxa"/>
            <w:shd w:val="clear" w:color="auto" w:fill="E6F2FF"/>
            <w:vAlign w:val="bottom"/>
          </w:tcPr>
          <w:p w14:paraId="2B23D58B" w14:textId="77777777" w:rsidR="00BB2CB4" w:rsidRPr="00222C32" w:rsidRDefault="000674DA">
            <w:pPr>
              <w:pStyle w:val="Summarytabletextrightaligned"/>
            </w:pPr>
            <w:r w:rsidRPr="00222C32">
              <w:t>0.1</w:t>
            </w:r>
          </w:p>
        </w:tc>
        <w:tc>
          <w:tcPr>
            <w:tcW w:w="850" w:type="dxa"/>
            <w:vAlign w:val="bottom"/>
          </w:tcPr>
          <w:p w14:paraId="18C3ED65" w14:textId="77777777" w:rsidR="00BB2CB4" w:rsidRPr="00222C32" w:rsidRDefault="000674DA">
            <w:pPr>
              <w:pStyle w:val="Summarytabletextrightaligned"/>
            </w:pPr>
            <w:r w:rsidRPr="00222C32">
              <w:t>0.1</w:t>
            </w:r>
          </w:p>
        </w:tc>
        <w:tc>
          <w:tcPr>
            <w:tcW w:w="850" w:type="dxa"/>
            <w:vAlign w:val="bottom"/>
          </w:tcPr>
          <w:p w14:paraId="2F770280" w14:textId="77777777" w:rsidR="00BB2CB4" w:rsidRPr="00222C32" w:rsidRDefault="000674DA">
            <w:pPr>
              <w:pStyle w:val="Summarytabletextrightaligned"/>
            </w:pPr>
            <w:r w:rsidRPr="00222C32">
              <w:t>0.1</w:t>
            </w:r>
          </w:p>
        </w:tc>
        <w:tc>
          <w:tcPr>
            <w:tcW w:w="850" w:type="dxa"/>
            <w:vAlign w:val="bottom"/>
          </w:tcPr>
          <w:p w14:paraId="03A7B4EE" w14:textId="77777777" w:rsidR="00BB2CB4" w:rsidRPr="00222C32" w:rsidRDefault="000674DA">
            <w:pPr>
              <w:pStyle w:val="Summarytabletextrightaligned"/>
            </w:pPr>
            <w:r w:rsidRPr="00222C32">
              <w:t>0.1</w:t>
            </w:r>
          </w:p>
        </w:tc>
      </w:tr>
      <w:tr w:rsidR="00BB2CB4" w:rsidRPr="00222C32" w14:paraId="56CFC2D4" w14:textId="77777777" w:rsidTr="00825163">
        <w:tc>
          <w:tcPr>
            <w:tcW w:w="3471" w:type="dxa"/>
            <w:vAlign w:val="bottom"/>
          </w:tcPr>
          <w:p w14:paraId="25B353C1" w14:textId="77777777" w:rsidR="00BB2CB4" w:rsidRPr="00222C32" w:rsidRDefault="000674DA">
            <w:pPr>
              <w:pStyle w:val="SummaryMeasureTitlewithTheme"/>
            </w:pPr>
            <w:r w:rsidRPr="00222C32">
              <w:t>Treasury Portfolio – additional resourcing(b)</w:t>
            </w:r>
          </w:p>
        </w:tc>
        <w:tc>
          <w:tcPr>
            <w:tcW w:w="850" w:type="dxa"/>
            <w:vAlign w:val="bottom"/>
          </w:tcPr>
          <w:p w14:paraId="6BA0EB00" w14:textId="77777777" w:rsidR="00BB2CB4" w:rsidRPr="00222C32" w:rsidRDefault="000674DA">
            <w:pPr>
              <w:pStyle w:val="Summarytabletextrightaligned"/>
            </w:pPr>
            <w:r w:rsidRPr="00222C32">
              <w:t>-</w:t>
            </w:r>
          </w:p>
        </w:tc>
        <w:tc>
          <w:tcPr>
            <w:tcW w:w="850" w:type="dxa"/>
            <w:shd w:val="clear" w:color="auto" w:fill="E6F2FF"/>
            <w:vAlign w:val="bottom"/>
          </w:tcPr>
          <w:p w14:paraId="176461AE" w14:textId="77777777" w:rsidR="00BB2CB4" w:rsidRPr="00222C32" w:rsidRDefault="000674DA">
            <w:pPr>
              <w:pStyle w:val="Summarytabletextrightaligned"/>
            </w:pPr>
            <w:r w:rsidRPr="00222C32">
              <w:t>..</w:t>
            </w:r>
          </w:p>
        </w:tc>
        <w:tc>
          <w:tcPr>
            <w:tcW w:w="850" w:type="dxa"/>
            <w:vAlign w:val="bottom"/>
          </w:tcPr>
          <w:p w14:paraId="0103FB4D" w14:textId="77777777" w:rsidR="00BB2CB4" w:rsidRPr="00222C32" w:rsidRDefault="000674DA">
            <w:pPr>
              <w:pStyle w:val="Summarytabletextrightaligned"/>
            </w:pPr>
            <w:r w:rsidRPr="00222C32">
              <w:t>..</w:t>
            </w:r>
          </w:p>
        </w:tc>
        <w:tc>
          <w:tcPr>
            <w:tcW w:w="850" w:type="dxa"/>
            <w:vAlign w:val="bottom"/>
          </w:tcPr>
          <w:p w14:paraId="10CC5719" w14:textId="77777777" w:rsidR="00BB2CB4" w:rsidRPr="00222C32" w:rsidRDefault="000674DA">
            <w:pPr>
              <w:pStyle w:val="Summarytabletextrightaligned"/>
            </w:pPr>
            <w:r w:rsidRPr="00222C32">
              <w:t>-</w:t>
            </w:r>
          </w:p>
        </w:tc>
        <w:tc>
          <w:tcPr>
            <w:tcW w:w="850" w:type="dxa"/>
            <w:vAlign w:val="bottom"/>
          </w:tcPr>
          <w:p w14:paraId="0A360E50" w14:textId="77777777" w:rsidR="00BB2CB4" w:rsidRPr="00222C32" w:rsidRDefault="000674DA">
            <w:pPr>
              <w:pStyle w:val="Summarytabletextrightaligned"/>
            </w:pPr>
            <w:r w:rsidRPr="00222C32">
              <w:t>-</w:t>
            </w:r>
          </w:p>
        </w:tc>
      </w:tr>
      <w:tr w:rsidR="00BB2CB4" w:rsidRPr="00222C32" w14:paraId="56EB3E7C" w14:textId="77777777" w:rsidTr="00825163">
        <w:tc>
          <w:tcPr>
            <w:tcW w:w="3471" w:type="dxa"/>
            <w:vAlign w:val="bottom"/>
          </w:tcPr>
          <w:p w14:paraId="7B722434" w14:textId="77777777" w:rsidR="00BB2CB4" w:rsidRPr="00222C32" w:rsidRDefault="000674DA">
            <w:pPr>
              <w:pStyle w:val="SummaryMeasureTitlewithTheme"/>
            </w:pPr>
            <w:r w:rsidRPr="00222C32">
              <w:t>Working With Children Checks Reform</w:t>
            </w:r>
          </w:p>
        </w:tc>
        <w:tc>
          <w:tcPr>
            <w:tcW w:w="850" w:type="dxa"/>
            <w:vAlign w:val="bottom"/>
          </w:tcPr>
          <w:p w14:paraId="64E3D7AC" w14:textId="77777777" w:rsidR="00BB2CB4" w:rsidRPr="00222C32" w:rsidRDefault="000674DA">
            <w:pPr>
              <w:pStyle w:val="Summarytabletextrightaligned"/>
            </w:pPr>
            <w:r w:rsidRPr="00222C32">
              <w:t>-</w:t>
            </w:r>
          </w:p>
        </w:tc>
        <w:tc>
          <w:tcPr>
            <w:tcW w:w="850" w:type="dxa"/>
            <w:shd w:val="clear" w:color="auto" w:fill="E6F2FF"/>
            <w:vAlign w:val="bottom"/>
          </w:tcPr>
          <w:p w14:paraId="13D5DA32" w14:textId="77777777" w:rsidR="00BB2CB4" w:rsidRPr="00222C32" w:rsidRDefault="000674DA">
            <w:pPr>
              <w:pStyle w:val="Summarytabletextrightaligned"/>
            </w:pPr>
            <w:r w:rsidRPr="00222C32">
              <w:t>..</w:t>
            </w:r>
          </w:p>
        </w:tc>
        <w:tc>
          <w:tcPr>
            <w:tcW w:w="850" w:type="dxa"/>
            <w:vAlign w:val="bottom"/>
          </w:tcPr>
          <w:p w14:paraId="0E207B8C" w14:textId="77777777" w:rsidR="00BB2CB4" w:rsidRPr="00222C32" w:rsidRDefault="000674DA">
            <w:pPr>
              <w:pStyle w:val="Summarytabletextrightaligned"/>
            </w:pPr>
            <w:r w:rsidRPr="00222C32">
              <w:t>..</w:t>
            </w:r>
          </w:p>
        </w:tc>
        <w:tc>
          <w:tcPr>
            <w:tcW w:w="850" w:type="dxa"/>
            <w:vAlign w:val="bottom"/>
          </w:tcPr>
          <w:p w14:paraId="0F305300" w14:textId="77777777" w:rsidR="00BB2CB4" w:rsidRPr="00222C32" w:rsidRDefault="000674DA">
            <w:pPr>
              <w:pStyle w:val="Summarytabletextrightaligned"/>
            </w:pPr>
            <w:r w:rsidRPr="00222C32">
              <w:t>..</w:t>
            </w:r>
          </w:p>
        </w:tc>
        <w:tc>
          <w:tcPr>
            <w:tcW w:w="850" w:type="dxa"/>
            <w:vAlign w:val="bottom"/>
          </w:tcPr>
          <w:p w14:paraId="4BECCFC3" w14:textId="77777777" w:rsidR="00BB2CB4" w:rsidRPr="00222C32" w:rsidRDefault="000674DA">
            <w:pPr>
              <w:pStyle w:val="Summarytabletextrightaligned"/>
            </w:pPr>
            <w:r w:rsidRPr="00222C32">
              <w:t>..</w:t>
            </w:r>
          </w:p>
        </w:tc>
      </w:tr>
      <w:tr w:rsidR="00BB2CB4" w:rsidRPr="00222C32" w14:paraId="24DCBE11" w14:textId="77777777" w:rsidTr="00825163">
        <w:tc>
          <w:tcPr>
            <w:tcW w:w="3471" w:type="dxa"/>
            <w:vAlign w:val="bottom"/>
          </w:tcPr>
          <w:p w14:paraId="19C9024D" w14:textId="77777777" w:rsidR="00BB2CB4" w:rsidRPr="00222C32" w:rsidRDefault="000674DA">
            <w:pPr>
              <w:pStyle w:val="SummaryAgencyTitle-BP2"/>
            </w:pPr>
            <w:r w:rsidRPr="00222C32">
              <w:t>Independent Parliamentary Expenses Authority</w:t>
            </w:r>
          </w:p>
        </w:tc>
        <w:tc>
          <w:tcPr>
            <w:tcW w:w="850" w:type="dxa"/>
          </w:tcPr>
          <w:p w14:paraId="4F6A02FD" w14:textId="77777777" w:rsidR="00BB2CB4" w:rsidRPr="00222C32" w:rsidRDefault="00BB2CB4">
            <w:pPr>
              <w:pStyle w:val="SummaryAgencyTitle-BP2"/>
            </w:pPr>
          </w:p>
        </w:tc>
        <w:tc>
          <w:tcPr>
            <w:tcW w:w="850" w:type="dxa"/>
            <w:shd w:val="clear" w:color="auto" w:fill="E6F2FF"/>
          </w:tcPr>
          <w:p w14:paraId="31017489" w14:textId="77777777" w:rsidR="00BB2CB4" w:rsidRPr="00222C32" w:rsidRDefault="00BB2CB4">
            <w:pPr>
              <w:pStyle w:val="SummaryAgencyTitle-BP2"/>
            </w:pPr>
          </w:p>
        </w:tc>
        <w:tc>
          <w:tcPr>
            <w:tcW w:w="850" w:type="dxa"/>
          </w:tcPr>
          <w:p w14:paraId="1FE07055" w14:textId="77777777" w:rsidR="00BB2CB4" w:rsidRPr="00222C32" w:rsidRDefault="00BB2CB4">
            <w:pPr>
              <w:pStyle w:val="SummaryAgencyTitle-BP2"/>
            </w:pPr>
          </w:p>
        </w:tc>
        <w:tc>
          <w:tcPr>
            <w:tcW w:w="850" w:type="dxa"/>
          </w:tcPr>
          <w:p w14:paraId="00422814" w14:textId="77777777" w:rsidR="00BB2CB4" w:rsidRPr="00222C32" w:rsidRDefault="00BB2CB4">
            <w:pPr>
              <w:pStyle w:val="SummaryAgencyTitle-BP2"/>
            </w:pPr>
          </w:p>
        </w:tc>
        <w:tc>
          <w:tcPr>
            <w:tcW w:w="850" w:type="dxa"/>
          </w:tcPr>
          <w:p w14:paraId="0508276A" w14:textId="77777777" w:rsidR="00BB2CB4" w:rsidRPr="00222C32" w:rsidRDefault="00BB2CB4">
            <w:pPr>
              <w:pStyle w:val="SummaryAgencyTitle-BP2"/>
            </w:pPr>
          </w:p>
        </w:tc>
      </w:tr>
      <w:tr w:rsidR="00BB2CB4" w:rsidRPr="00222C32" w14:paraId="717CAF47" w14:textId="77777777" w:rsidTr="00825163">
        <w:tc>
          <w:tcPr>
            <w:tcW w:w="3471" w:type="dxa"/>
            <w:vAlign w:val="bottom"/>
          </w:tcPr>
          <w:p w14:paraId="437448A2" w14:textId="77777777" w:rsidR="00BB2CB4" w:rsidRPr="00222C32" w:rsidRDefault="000674DA">
            <w:pPr>
              <w:pStyle w:val="SummaryMeasureTitlewithTheme"/>
            </w:pPr>
            <w:r w:rsidRPr="00222C32">
              <w:t>Finance Portfolio – additional resourcing</w:t>
            </w:r>
          </w:p>
        </w:tc>
        <w:tc>
          <w:tcPr>
            <w:tcW w:w="850" w:type="dxa"/>
            <w:vAlign w:val="bottom"/>
          </w:tcPr>
          <w:p w14:paraId="5F135A2F" w14:textId="77777777" w:rsidR="00BB2CB4" w:rsidRPr="00222C32" w:rsidRDefault="000674DA">
            <w:pPr>
              <w:pStyle w:val="Summarytabletextrightaligned"/>
            </w:pPr>
            <w:r w:rsidRPr="00222C32">
              <w:t>-</w:t>
            </w:r>
          </w:p>
        </w:tc>
        <w:tc>
          <w:tcPr>
            <w:tcW w:w="850" w:type="dxa"/>
            <w:shd w:val="clear" w:color="auto" w:fill="E6F2FF"/>
            <w:vAlign w:val="bottom"/>
          </w:tcPr>
          <w:p w14:paraId="0477B1D1" w14:textId="77777777" w:rsidR="00BB2CB4" w:rsidRPr="00222C32" w:rsidRDefault="000674DA">
            <w:pPr>
              <w:pStyle w:val="Summarytabletextrightaligned"/>
            </w:pPr>
            <w:r w:rsidRPr="00222C32">
              <w:t>1.5</w:t>
            </w:r>
          </w:p>
        </w:tc>
        <w:tc>
          <w:tcPr>
            <w:tcW w:w="850" w:type="dxa"/>
            <w:vAlign w:val="bottom"/>
          </w:tcPr>
          <w:p w14:paraId="7EED5240" w14:textId="77777777" w:rsidR="00BB2CB4" w:rsidRPr="00222C32" w:rsidRDefault="000674DA">
            <w:pPr>
              <w:pStyle w:val="Summarytabletextrightaligned"/>
            </w:pPr>
            <w:r w:rsidRPr="00222C32">
              <w:t>1.5</w:t>
            </w:r>
          </w:p>
        </w:tc>
        <w:tc>
          <w:tcPr>
            <w:tcW w:w="850" w:type="dxa"/>
            <w:vAlign w:val="bottom"/>
          </w:tcPr>
          <w:p w14:paraId="71794B59" w14:textId="77777777" w:rsidR="00BB2CB4" w:rsidRPr="00222C32" w:rsidRDefault="000674DA">
            <w:pPr>
              <w:pStyle w:val="Summarytabletextrightaligned"/>
            </w:pPr>
            <w:r w:rsidRPr="00222C32">
              <w:t>1.5</w:t>
            </w:r>
          </w:p>
        </w:tc>
        <w:tc>
          <w:tcPr>
            <w:tcW w:w="850" w:type="dxa"/>
            <w:vAlign w:val="bottom"/>
          </w:tcPr>
          <w:p w14:paraId="554C76F6" w14:textId="77777777" w:rsidR="00BB2CB4" w:rsidRPr="00222C32" w:rsidRDefault="000674DA">
            <w:pPr>
              <w:pStyle w:val="Summarytabletextrightaligned"/>
            </w:pPr>
            <w:r w:rsidRPr="00222C32">
              <w:t>1.5</w:t>
            </w:r>
          </w:p>
        </w:tc>
      </w:tr>
      <w:tr w:rsidR="00BB2CB4" w:rsidRPr="00222C32" w14:paraId="4CCF5CCE" w14:textId="77777777" w:rsidTr="00825163">
        <w:tc>
          <w:tcPr>
            <w:tcW w:w="3471" w:type="dxa"/>
            <w:vAlign w:val="bottom"/>
          </w:tcPr>
          <w:p w14:paraId="575D36EB" w14:textId="77777777" w:rsidR="00BB2CB4" w:rsidRPr="00222C32" w:rsidRDefault="000674DA">
            <w:pPr>
              <w:pStyle w:val="SummaryAgencyTitle-BP2"/>
            </w:pPr>
            <w:r w:rsidRPr="00222C32">
              <w:t>Services Australia</w:t>
            </w:r>
          </w:p>
        </w:tc>
        <w:tc>
          <w:tcPr>
            <w:tcW w:w="850" w:type="dxa"/>
          </w:tcPr>
          <w:p w14:paraId="2E10C697" w14:textId="77777777" w:rsidR="00BB2CB4" w:rsidRPr="00222C32" w:rsidRDefault="00BB2CB4">
            <w:pPr>
              <w:pStyle w:val="SummaryAgencyTitle-BP2"/>
            </w:pPr>
          </w:p>
        </w:tc>
        <w:tc>
          <w:tcPr>
            <w:tcW w:w="850" w:type="dxa"/>
            <w:shd w:val="clear" w:color="auto" w:fill="E6F2FF"/>
          </w:tcPr>
          <w:p w14:paraId="549F53F0" w14:textId="77777777" w:rsidR="00BB2CB4" w:rsidRPr="00222C32" w:rsidRDefault="00BB2CB4">
            <w:pPr>
              <w:pStyle w:val="SummaryAgencyTitle-BP2"/>
            </w:pPr>
          </w:p>
        </w:tc>
        <w:tc>
          <w:tcPr>
            <w:tcW w:w="850" w:type="dxa"/>
          </w:tcPr>
          <w:p w14:paraId="7F640A28" w14:textId="77777777" w:rsidR="00BB2CB4" w:rsidRPr="00222C32" w:rsidRDefault="00BB2CB4">
            <w:pPr>
              <w:pStyle w:val="SummaryAgencyTitle-BP2"/>
            </w:pPr>
          </w:p>
        </w:tc>
        <w:tc>
          <w:tcPr>
            <w:tcW w:w="850" w:type="dxa"/>
          </w:tcPr>
          <w:p w14:paraId="3BE696EB" w14:textId="77777777" w:rsidR="00BB2CB4" w:rsidRPr="00222C32" w:rsidRDefault="00BB2CB4">
            <w:pPr>
              <w:pStyle w:val="SummaryAgencyTitle-BP2"/>
            </w:pPr>
          </w:p>
        </w:tc>
        <w:tc>
          <w:tcPr>
            <w:tcW w:w="850" w:type="dxa"/>
          </w:tcPr>
          <w:p w14:paraId="18388EEA" w14:textId="77777777" w:rsidR="00BB2CB4" w:rsidRPr="00222C32" w:rsidRDefault="00BB2CB4">
            <w:pPr>
              <w:pStyle w:val="SummaryAgencyTitle-BP2"/>
            </w:pPr>
          </w:p>
        </w:tc>
      </w:tr>
      <w:tr w:rsidR="00BB2CB4" w:rsidRPr="00222C32" w14:paraId="54C4CE32" w14:textId="77777777" w:rsidTr="00825163">
        <w:tc>
          <w:tcPr>
            <w:tcW w:w="3471" w:type="dxa"/>
            <w:vAlign w:val="bottom"/>
          </w:tcPr>
          <w:p w14:paraId="4A2834B6" w14:textId="77777777" w:rsidR="00BB2CB4" w:rsidRPr="00222C32" w:rsidRDefault="000674DA">
            <w:pPr>
              <w:pStyle w:val="SummaryMeasureTitlewithTheme"/>
            </w:pPr>
            <w:r w:rsidRPr="00222C32">
              <w:t>A Fairer More Efficient Social Security System(b)</w:t>
            </w:r>
          </w:p>
        </w:tc>
        <w:tc>
          <w:tcPr>
            <w:tcW w:w="850" w:type="dxa"/>
            <w:vAlign w:val="bottom"/>
          </w:tcPr>
          <w:p w14:paraId="037AF6D9" w14:textId="77777777" w:rsidR="00BB2CB4" w:rsidRPr="00222C32" w:rsidRDefault="000674DA">
            <w:pPr>
              <w:pStyle w:val="Summarytabletextrightaligned"/>
            </w:pPr>
            <w:r w:rsidRPr="00222C32">
              <w:t>-</w:t>
            </w:r>
          </w:p>
        </w:tc>
        <w:tc>
          <w:tcPr>
            <w:tcW w:w="850" w:type="dxa"/>
            <w:shd w:val="clear" w:color="auto" w:fill="E6F2FF"/>
            <w:vAlign w:val="bottom"/>
          </w:tcPr>
          <w:p w14:paraId="1F5C964F" w14:textId="77777777" w:rsidR="00BB2CB4" w:rsidRPr="00222C32" w:rsidRDefault="000674DA">
            <w:pPr>
              <w:pStyle w:val="Summarytabletextrightaligned"/>
            </w:pPr>
            <w:r w:rsidRPr="00222C32">
              <w:t>54.0</w:t>
            </w:r>
          </w:p>
        </w:tc>
        <w:tc>
          <w:tcPr>
            <w:tcW w:w="850" w:type="dxa"/>
            <w:vAlign w:val="bottom"/>
          </w:tcPr>
          <w:p w14:paraId="3DFF265F" w14:textId="77777777" w:rsidR="00BB2CB4" w:rsidRPr="00222C32" w:rsidRDefault="000674DA">
            <w:pPr>
              <w:pStyle w:val="Summarytabletextrightaligned"/>
            </w:pPr>
            <w:r w:rsidRPr="00222C32">
              <w:t>38.1</w:t>
            </w:r>
          </w:p>
        </w:tc>
        <w:tc>
          <w:tcPr>
            <w:tcW w:w="850" w:type="dxa"/>
            <w:vAlign w:val="bottom"/>
          </w:tcPr>
          <w:p w14:paraId="006FE3E8" w14:textId="77777777" w:rsidR="00BB2CB4" w:rsidRPr="00222C32" w:rsidRDefault="000674DA">
            <w:pPr>
              <w:pStyle w:val="Summarytabletextrightaligned"/>
            </w:pPr>
            <w:r w:rsidRPr="00222C32">
              <w:t>1.8</w:t>
            </w:r>
          </w:p>
        </w:tc>
        <w:tc>
          <w:tcPr>
            <w:tcW w:w="850" w:type="dxa"/>
            <w:vAlign w:val="bottom"/>
          </w:tcPr>
          <w:p w14:paraId="5F86E324" w14:textId="77777777" w:rsidR="00BB2CB4" w:rsidRPr="00222C32" w:rsidRDefault="000674DA">
            <w:pPr>
              <w:pStyle w:val="Summarytabletextrightaligned"/>
            </w:pPr>
            <w:r w:rsidRPr="00222C32">
              <w:t>1.5</w:t>
            </w:r>
          </w:p>
        </w:tc>
      </w:tr>
      <w:tr w:rsidR="00BB2CB4" w:rsidRPr="00222C32" w14:paraId="68654DD5" w14:textId="77777777" w:rsidTr="00825163">
        <w:tc>
          <w:tcPr>
            <w:tcW w:w="3471" w:type="dxa"/>
            <w:vAlign w:val="bottom"/>
          </w:tcPr>
          <w:p w14:paraId="1D272B9C" w14:textId="77777777" w:rsidR="00BB2CB4" w:rsidRPr="00222C32" w:rsidRDefault="000674DA">
            <w:pPr>
              <w:pStyle w:val="SummaryMeasureTitlewithTheme"/>
            </w:pPr>
            <w:r w:rsidRPr="00222C32">
              <w:t>An Effective and Clinically Appropriate Medicare Benefits Schedule</w:t>
            </w:r>
          </w:p>
        </w:tc>
        <w:tc>
          <w:tcPr>
            <w:tcW w:w="850" w:type="dxa"/>
            <w:vAlign w:val="bottom"/>
          </w:tcPr>
          <w:p w14:paraId="02C0B22D" w14:textId="77777777" w:rsidR="00BB2CB4" w:rsidRPr="00222C32" w:rsidRDefault="000674DA">
            <w:pPr>
              <w:pStyle w:val="Summarytabletextrightaligned"/>
            </w:pPr>
            <w:r w:rsidRPr="00222C32">
              <w:t>-</w:t>
            </w:r>
          </w:p>
        </w:tc>
        <w:tc>
          <w:tcPr>
            <w:tcW w:w="850" w:type="dxa"/>
            <w:shd w:val="clear" w:color="auto" w:fill="E6F2FF"/>
            <w:vAlign w:val="bottom"/>
          </w:tcPr>
          <w:p w14:paraId="35802C29" w14:textId="77777777" w:rsidR="00BB2CB4" w:rsidRPr="00222C32" w:rsidRDefault="000674DA">
            <w:pPr>
              <w:pStyle w:val="Summarytabletextrightaligned"/>
            </w:pPr>
            <w:r w:rsidRPr="00222C32">
              <w:t>8.1</w:t>
            </w:r>
          </w:p>
        </w:tc>
        <w:tc>
          <w:tcPr>
            <w:tcW w:w="850" w:type="dxa"/>
            <w:vAlign w:val="bottom"/>
          </w:tcPr>
          <w:p w14:paraId="112AE323" w14:textId="77777777" w:rsidR="00BB2CB4" w:rsidRPr="00222C32" w:rsidRDefault="000674DA">
            <w:pPr>
              <w:pStyle w:val="Summarytabletextrightaligned"/>
            </w:pPr>
            <w:r w:rsidRPr="00222C32">
              <w:t>3.1</w:t>
            </w:r>
          </w:p>
        </w:tc>
        <w:tc>
          <w:tcPr>
            <w:tcW w:w="850" w:type="dxa"/>
            <w:vAlign w:val="bottom"/>
          </w:tcPr>
          <w:p w14:paraId="35586FB6" w14:textId="77777777" w:rsidR="00BB2CB4" w:rsidRPr="00222C32" w:rsidRDefault="000674DA">
            <w:pPr>
              <w:pStyle w:val="Summarytabletextrightaligned"/>
            </w:pPr>
            <w:r w:rsidRPr="00222C32">
              <w:t>-0.4</w:t>
            </w:r>
          </w:p>
        </w:tc>
        <w:tc>
          <w:tcPr>
            <w:tcW w:w="850" w:type="dxa"/>
            <w:vAlign w:val="bottom"/>
          </w:tcPr>
          <w:p w14:paraId="1CC26339" w14:textId="77777777" w:rsidR="00BB2CB4" w:rsidRPr="00222C32" w:rsidRDefault="000674DA">
            <w:pPr>
              <w:pStyle w:val="Summarytabletextrightaligned"/>
            </w:pPr>
            <w:r w:rsidRPr="00222C32">
              <w:t>0.4</w:t>
            </w:r>
          </w:p>
        </w:tc>
      </w:tr>
      <w:tr w:rsidR="00BB2CB4" w:rsidRPr="00222C32" w14:paraId="3B4C471D" w14:textId="77777777" w:rsidTr="00825163">
        <w:tc>
          <w:tcPr>
            <w:tcW w:w="3471" w:type="dxa"/>
            <w:vAlign w:val="bottom"/>
          </w:tcPr>
          <w:p w14:paraId="1167D333" w14:textId="77777777" w:rsidR="00BB2CB4" w:rsidRPr="00222C32" w:rsidRDefault="000674DA">
            <w:pPr>
              <w:pStyle w:val="SummaryMeasureTitlewithTheme"/>
            </w:pPr>
            <w:r w:rsidRPr="00222C32">
              <w:t>Assuring the Integrity of the Employment Services System</w:t>
            </w:r>
          </w:p>
        </w:tc>
        <w:tc>
          <w:tcPr>
            <w:tcW w:w="850" w:type="dxa"/>
            <w:vAlign w:val="bottom"/>
          </w:tcPr>
          <w:p w14:paraId="571E17CE" w14:textId="77777777" w:rsidR="00BB2CB4" w:rsidRPr="00222C32" w:rsidRDefault="000674DA">
            <w:pPr>
              <w:pStyle w:val="Summarytabletextrightaligned"/>
            </w:pPr>
            <w:r w:rsidRPr="00222C32">
              <w:t>-</w:t>
            </w:r>
          </w:p>
        </w:tc>
        <w:tc>
          <w:tcPr>
            <w:tcW w:w="850" w:type="dxa"/>
            <w:shd w:val="clear" w:color="auto" w:fill="E6F2FF"/>
            <w:vAlign w:val="bottom"/>
          </w:tcPr>
          <w:p w14:paraId="3884103B" w14:textId="77777777" w:rsidR="00BB2CB4" w:rsidRPr="00222C32" w:rsidRDefault="000674DA">
            <w:pPr>
              <w:pStyle w:val="Summarytabletextrightaligned"/>
            </w:pPr>
            <w:r w:rsidRPr="00222C32">
              <w:t>3.1</w:t>
            </w:r>
          </w:p>
        </w:tc>
        <w:tc>
          <w:tcPr>
            <w:tcW w:w="850" w:type="dxa"/>
            <w:vAlign w:val="bottom"/>
          </w:tcPr>
          <w:p w14:paraId="3D6F6B78" w14:textId="77777777" w:rsidR="00BB2CB4" w:rsidRPr="00222C32" w:rsidRDefault="000674DA">
            <w:pPr>
              <w:pStyle w:val="Summarytabletextrightaligned"/>
            </w:pPr>
            <w:r w:rsidRPr="00222C32">
              <w:t>15.5</w:t>
            </w:r>
          </w:p>
        </w:tc>
        <w:tc>
          <w:tcPr>
            <w:tcW w:w="850" w:type="dxa"/>
            <w:vAlign w:val="bottom"/>
          </w:tcPr>
          <w:p w14:paraId="767AB1BB" w14:textId="77777777" w:rsidR="00BB2CB4" w:rsidRPr="00222C32" w:rsidRDefault="000674DA">
            <w:pPr>
              <w:pStyle w:val="Summarytabletextrightaligned"/>
            </w:pPr>
            <w:r w:rsidRPr="00222C32">
              <w:t>1.0</w:t>
            </w:r>
          </w:p>
        </w:tc>
        <w:tc>
          <w:tcPr>
            <w:tcW w:w="850" w:type="dxa"/>
            <w:vAlign w:val="bottom"/>
          </w:tcPr>
          <w:p w14:paraId="5C015CA7" w14:textId="77777777" w:rsidR="00BB2CB4" w:rsidRPr="00222C32" w:rsidRDefault="000674DA">
            <w:pPr>
              <w:pStyle w:val="Summarytabletextrightaligned"/>
            </w:pPr>
            <w:r w:rsidRPr="00222C32">
              <w:t>1.0</w:t>
            </w:r>
          </w:p>
        </w:tc>
      </w:tr>
      <w:tr w:rsidR="00BB2CB4" w:rsidRPr="00222C32" w14:paraId="4006C6FA" w14:textId="77777777" w:rsidTr="00825163">
        <w:tc>
          <w:tcPr>
            <w:tcW w:w="3471" w:type="dxa"/>
            <w:vAlign w:val="bottom"/>
          </w:tcPr>
          <w:p w14:paraId="7850F235" w14:textId="77777777" w:rsidR="00BB2CB4" w:rsidRPr="00222C32" w:rsidRDefault="000674DA">
            <w:pPr>
              <w:pStyle w:val="SummaryMeasureTitlewithTheme"/>
            </w:pPr>
            <w:r w:rsidRPr="00222C32">
              <w:t>Delivering Election Commitments in the Health, Disability and Ageing Portfolio(b)</w:t>
            </w:r>
          </w:p>
        </w:tc>
        <w:tc>
          <w:tcPr>
            <w:tcW w:w="850" w:type="dxa"/>
            <w:vAlign w:val="bottom"/>
          </w:tcPr>
          <w:p w14:paraId="5468D0D1" w14:textId="77777777" w:rsidR="00BB2CB4" w:rsidRPr="00222C32" w:rsidRDefault="000674DA">
            <w:pPr>
              <w:pStyle w:val="Summarytabletextrightaligned"/>
            </w:pPr>
            <w:r w:rsidRPr="00222C32">
              <w:t>-</w:t>
            </w:r>
          </w:p>
        </w:tc>
        <w:tc>
          <w:tcPr>
            <w:tcW w:w="850" w:type="dxa"/>
            <w:shd w:val="clear" w:color="auto" w:fill="E6F2FF"/>
            <w:vAlign w:val="bottom"/>
          </w:tcPr>
          <w:p w14:paraId="541FBB9D" w14:textId="77777777" w:rsidR="00BB2CB4" w:rsidRPr="00222C32" w:rsidRDefault="000674DA">
            <w:pPr>
              <w:pStyle w:val="Summarytabletextrightaligned"/>
            </w:pPr>
            <w:r w:rsidRPr="00222C32">
              <w:t>7.8</w:t>
            </w:r>
          </w:p>
        </w:tc>
        <w:tc>
          <w:tcPr>
            <w:tcW w:w="850" w:type="dxa"/>
            <w:vAlign w:val="bottom"/>
          </w:tcPr>
          <w:p w14:paraId="606D6022" w14:textId="77777777" w:rsidR="00BB2CB4" w:rsidRPr="00222C32" w:rsidRDefault="000674DA">
            <w:pPr>
              <w:pStyle w:val="Summarytabletextrightaligned"/>
            </w:pPr>
            <w:r w:rsidRPr="00222C32">
              <w:t>4.4</w:t>
            </w:r>
          </w:p>
        </w:tc>
        <w:tc>
          <w:tcPr>
            <w:tcW w:w="850" w:type="dxa"/>
            <w:vAlign w:val="bottom"/>
          </w:tcPr>
          <w:p w14:paraId="5F0DD9FB" w14:textId="77777777" w:rsidR="00BB2CB4" w:rsidRPr="00222C32" w:rsidRDefault="000674DA">
            <w:pPr>
              <w:pStyle w:val="Summarytabletextrightaligned"/>
            </w:pPr>
            <w:r w:rsidRPr="00222C32">
              <w:t>0.3</w:t>
            </w:r>
          </w:p>
        </w:tc>
        <w:tc>
          <w:tcPr>
            <w:tcW w:w="850" w:type="dxa"/>
            <w:vAlign w:val="bottom"/>
          </w:tcPr>
          <w:p w14:paraId="31706606" w14:textId="77777777" w:rsidR="00BB2CB4" w:rsidRPr="00222C32" w:rsidRDefault="000674DA">
            <w:pPr>
              <w:pStyle w:val="Summarytabletextrightaligned"/>
            </w:pPr>
            <w:r w:rsidRPr="00222C32">
              <w:t>0.3</w:t>
            </w:r>
          </w:p>
        </w:tc>
      </w:tr>
      <w:tr w:rsidR="00BB2CB4" w:rsidRPr="00222C32" w14:paraId="7A6F8030" w14:textId="77777777" w:rsidTr="00825163">
        <w:tc>
          <w:tcPr>
            <w:tcW w:w="3471" w:type="dxa"/>
            <w:vAlign w:val="bottom"/>
          </w:tcPr>
          <w:p w14:paraId="5F0C33A5" w14:textId="77777777" w:rsidR="00BB2CB4" w:rsidRPr="00222C32" w:rsidRDefault="000674DA">
            <w:pPr>
              <w:pStyle w:val="SummaryMeasureTitlewithTheme"/>
            </w:pPr>
            <w:r w:rsidRPr="00222C32">
              <w:t>Health Research, Systems and Data</w:t>
            </w:r>
          </w:p>
        </w:tc>
        <w:tc>
          <w:tcPr>
            <w:tcW w:w="850" w:type="dxa"/>
            <w:vAlign w:val="bottom"/>
          </w:tcPr>
          <w:p w14:paraId="72261E13" w14:textId="77777777" w:rsidR="00BB2CB4" w:rsidRPr="00222C32" w:rsidRDefault="000674DA">
            <w:pPr>
              <w:pStyle w:val="Summarytabletextrightaligned"/>
            </w:pPr>
            <w:r w:rsidRPr="00222C32">
              <w:t>-</w:t>
            </w:r>
          </w:p>
        </w:tc>
        <w:tc>
          <w:tcPr>
            <w:tcW w:w="850" w:type="dxa"/>
            <w:shd w:val="clear" w:color="auto" w:fill="E6F2FF"/>
            <w:vAlign w:val="bottom"/>
          </w:tcPr>
          <w:p w14:paraId="3B5CB6A3" w14:textId="77777777" w:rsidR="00BB2CB4" w:rsidRPr="00222C32" w:rsidRDefault="000674DA">
            <w:pPr>
              <w:pStyle w:val="Summarytabletextrightaligned"/>
            </w:pPr>
            <w:r w:rsidRPr="00222C32">
              <w:t>6.5</w:t>
            </w:r>
          </w:p>
        </w:tc>
        <w:tc>
          <w:tcPr>
            <w:tcW w:w="850" w:type="dxa"/>
            <w:vAlign w:val="bottom"/>
          </w:tcPr>
          <w:p w14:paraId="6ED76F3E" w14:textId="77777777" w:rsidR="00BB2CB4" w:rsidRPr="00222C32" w:rsidRDefault="000674DA">
            <w:pPr>
              <w:pStyle w:val="Summarytabletextrightaligned"/>
            </w:pPr>
            <w:r w:rsidRPr="00222C32">
              <w:t>12.0</w:t>
            </w:r>
          </w:p>
        </w:tc>
        <w:tc>
          <w:tcPr>
            <w:tcW w:w="850" w:type="dxa"/>
            <w:vAlign w:val="bottom"/>
          </w:tcPr>
          <w:p w14:paraId="59D38A2B" w14:textId="77777777" w:rsidR="00BB2CB4" w:rsidRPr="00222C32" w:rsidRDefault="000674DA">
            <w:pPr>
              <w:pStyle w:val="Summarytabletextrightaligned"/>
            </w:pPr>
            <w:r w:rsidRPr="00222C32">
              <w:t>8.8</w:t>
            </w:r>
          </w:p>
        </w:tc>
        <w:tc>
          <w:tcPr>
            <w:tcW w:w="850" w:type="dxa"/>
            <w:vAlign w:val="bottom"/>
          </w:tcPr>
          <w:p w14:paraId="23687C26" w14:textId="77777777" w:rsidR="00BB2CB4" w:rsidRPr="00222C32" w:rsidRDefault="000674DA">
            <w:pPr>
              <w:pStyle w:val="Summarytabletextrightaligned"/>
            </w:pPr>
            <w:r w:rsidRPr="00222C32">
              <w:t>4.7</w:t>
            </w:r>
          </w:p>
        </w:tc>
      </w:tr>
      <w:tr w:rsidR="00BB2CB4" w:rsidRPr="00222C32" w14:paraId="169F5EEB" w14:textId="77777777" w:rsidTr="00825163">
        <w:tc>
          <w:tcPr>
            <w:tcW w:w="3471" w:type="dxa"/>
            <w:vAlign w:val="bottom"/>
          </w:tcPr>
          <w:p w14:paraId="2295AF18" w14:textId="77777777" w:rsidR="00BB2CB4" w:rsidRPr="00222C32" w:rsidRDefault="000674DA">
            <w:pPr>
              <w:pStyle w:val="SummaryMeasureTitlewithTheme"/>
            </w:pPr>
            <w:r w:rsidRPr="00222C32">
              <w:t>Health Workforce</w:t>
            </w:r>
          </w:p>
        </w:tc>
        <w:tc>
          <w:tcPr>
            <w:tcW w:w="850" w:type="dxa"/>
            <w:vAlign w:val="bottom"/>
          </w:tcPr>
          <w:p w14:paraId="636AF6B8" w14:textId="77777777" w:rsidR="00BB2CB4" w:rsidRPr="00222C32" w:rsidRDefault="000674DA">
            <w:pPr>
              <w:pStyle w:val="Summarytabletextrightaligned"/>
            </w:pPr>
            <w:r w:rsidRPr="00222C32">
              <w:t>-</w:t>
            </w:r>
          </w:p>
        </w:tc>
        <w:tc>
          <w:tcPr>
            <w:tcW w:w="850" w:type="dxa"/>
            <w:shd w:val="clear" w:color="auto" w:fill="E6F2FF"/>
            <w:vAlign w:val="bottom"/>
          </w:tcPr>
          <w:p w14:paraId="1987EA3B" w14:textId="77777777" w:rsidR="00BB2CB4" w:rsidRPr="00222C32" w:rsidRDefault="000674DA">
            <w:pPr>
              <w:pStyle w:val="Summarytabletextrightaligned"/>
            </w:pPr>
            <w:r w:rsidRPr="00222C32">
              <w:t>-</w:t>
            </w:r>
          </w:p>
        </w:tc>
        <w:tc>
          <w:tcPr>
            <w:tcW w:w="850" w:type="dxa"/>
            <w:vAlign w:val="bottom"/>
          </w:tcPr>
          <w:p w14:paraId="0E3196CE" w14:textId="77777777" w:rsidR="00BB2CB4" w:rsidRPr="00222C32" w:rsidRDefault="000674DA">
            <w:pPr>
              <w:pStyle w:val="Summarytabletextrightaligned"/>
            </w:pPr>
            <w:r w:rsidRPr="00222C32">
              <w:t>-</w:t>
            </w:r>
          </w:p>
        </w:tc>
        <w:tc>
          <w:tcPr>
            <w:tcW w:w="850" w:type="dxa"/>
            <w:vAlign w:val="bottom"/>
          </w:tcPr>
          <w:p w14:paraId="1F73073F" w14:textId="77777777" w:rsidR="00BB2CB4" w:rsidRPr="00222C32" w:rsidRDefault="000674DA">
            <w:pPr>
              <w:pStyle w:val="Summarytabletextrightaligned"/>
            </w:pPr>
            <w:r w:rsidRPr="00222C32">
              <w:t>-</w:t>
            </w:r>
          </w:p>
        </w:tc>
        <w:tc>
          <w:tcPr>
            <w:tcW w:w="850" w:type="dxa"/>
            <w:vAlign w:val="bottom"/>
          </w:tcPr>
          <w:p w14:paraId="1AE9CE63" w14:textId="77777777" w:rsidR="00BB2CB4" w:rsidRPr="00222C32" w:rsidRDefault="000674DA">
            <w:pPr>
              <w:pStyle w:val="Summarytabletextrightaligned"/>
            </w:pPr>
            <w:r w:rsidRPr="00222C32">
              <w:t>-</w:t>
            </w:r>
          </w:p>
        </w:tc>
      </w:tr>
      <w:tr w:rsidR="00BB2CB4" w:rsidRPr="00222C32" w14:paraId="34CAD4F4" w14:textId="77777777" w:rsidTr="00825163">
        <w:tc>
          <w:tcPr>
            <w:tcW w:w="3471" w:type="dxa"/>
            <w:vAlign w:val="bottom"/>
          </w:tcPr>
          <w:p w14:paraId="7B0924A0" w14:textId="77777777" w:rsidR="00BB2CB4" w:rsidRPr="00222C32" w:rsidRDefault="000674DA">
            <w:pPr>
              <w:pStyle w:val="SummaryMeasureTitlewithTheme"/>
            </w:pPr>
            <w:r w:rsidRPr="00222C32">
              <w:t>More Free Mental Health Services</w:t>
            </w:r>
          </w:p>
        </w:tc>
        <w:tc>
          <w:tcPr>
            <w:tcW w:w="850" w:type="dxa"/>
            <w:vAlign w:val="bottom"/>
          </w:tcPr>
          <w:p w14:paraId="28CF045D" w14:textId="77777777" w:rsidR="00BB2CB4" w:rsidRPr="00222C32" w:rsidRDefault="000674DA">
            <w:pPr>
              <w:pStyle w:val="Summarytabletextrightaligned"/>
            </w:pPr>
            <w:r w:rsidRPr="00222C32">
              <w:t>-</w:t>
            </w:r>
          </w:p>
        </w:tc>
        <w:tc>
          <w:tcPr>
            <w:tcW w:w="850" w:type="dxa"/>
            <w:shd w:val="clear" w:color="auto" w:fill="E6F2FF"/>
            <w:vAlign w:val="bottom"/>
          </w:tcPr>
          <w:p w14:paraId="28E72F8A" w14:textId="77777777" w:rsidR="00BB2CB4" w:rsidRPr="00222C32" w:rsidRDefault="000674DA">
            <w:pPr>
              <w:pStyle w:val="Summarytabletextrightaligned"/>
            </w:pPr>
            <w:r w:rsidRPr="00222C32">
              <w:t>-</w:t>
            </w:r>
          </w:p>
        </w:tc>
        <w:tc>
          <w:tcPr>
            <w:tcW w:w="850" w:type="dxa"/>
            <w:vAlign w:val="bottom"/>
          </w:tcPr>
          <w:p w14:paraId="48178D1C" w14:textId="77777777" w:rsidR="00BB2CB4" w:rsidRPr="00222C32" w:rsidRDefault="000674DA">
            <w:pPr>
              <w:pStyle w:val="Summarytabletextrightaligned"/>
            </w:pPr>
            <w:r w:rsidRPr="00222C32">
              <w:t>..</w:t>
            </w:r>
          </w:p>
        </w:tc>
        <w:tc>
          <w:tcPr>
            <w:tcW w:w="850" w:type="dxa"/>
            <w:vAlign w:val="bottom"/>
          </w:tcPr>
          <w:p w14:paraId="4A8D4C0E" w14:textId="77777777" w:rsidR="00BB2CB4" w:rsidRPr="00222C32" w:rsidRDefault="000674DA">
            <w:pPr>
              <w:pStyle w:val="Summarytabletextrightaligned"/>
            </w:pPr>
            <w:r w:rsidRPr="00222C32">
              <w:t>..</w:t>
            </w:r>
          </w:p>
        </w:tc>
        <w:tc>
          <w:tcPr>
            <w:tcW w:w="850" w:type="dxa"/>
            <w:vAlign w:val="bottom"/>
          </w:tcPr>
          <w:p w14:paraId="29AB899B" w14:textId="77777777" w:rsidR="00BB2CB4" w:rsidRPr="00222C32" w:rsidRDefault="000674DA">
            <w:pPr>
              <w:pStyle w:val="Summarytabletextrightaligned"/>
            </w:pPr>
            <w:r w:rsidRPr="00222C32">
              <w:t>..</w:t>
            </w:r>
          </w:p>
        </w:tc>
      </w:tr>
      <w:tr w:rsidR="00BB2CB4" w:rsidRPr="00222C32" w14:paraId="0528E3D5" w14:textId="77777777" w:rsidTr="00825163">
        <w:tc>
          <w:tcPr>
            <w:tcW w:w="3471" w:type="dxa"/>
            <w:vAlign w:val="bottom"/>
          </w:tcPr>
          <w:p w14:paraId="64585FB8" w14:textId="77777777" w:rsidR="00BB2CB4" w:rsidRPr="00222C32" w:rsidRDefault="000674DA">
            <w:pPr>
              <w:pStyle w:val="SummaryMeasureTitlewithTheme"/>
            </w:pPr>
            <w:r w:rsidRPr="00222C32">
              <w:t>Permanent Migration Program – 2025–26 planning levels(b)</w:t>
            </w:r>
          </w:p>
        </w:tc>
        <w:tc>
          <w:tcPr>
            <w:tcW w:w="850" w:type="dxa"/>
            <w:vAlign w:val="bottom"/>
          </w:tcPr>
          <w:p w14:paraId="2D5CEFD6" w14:textId="77777777" w:rsidR="00BB2CB4" w:rsidRPr="00222C32" w:rsidRDefault="000674DA">
            <w:pPr>
              <w:pStyle w:val="Summarytabletextrightaligned"/>
            </w:pPr>
            <w:r w:rsidRPr="00222C32">
              <w:t>-</w:t>
            </w:r>
          </w:p>
        </w:tc>
        <w:tc>
          <w:tcPr>
            <w:tcW w:w="850" w:type="dxa"/>
            <w:shd w:val="clear" w:color="auto" w:fill="E6F2FF"/>
            <w:vAlign w:val="bottom"/>
          </w:tcPr>
          <w:p w14:paraId="61699DFC" w14:textId="77777777" w:rsidR="00BB2CB4" w:rsidRPr="00222C32" w:rsidRDefault="000674DA">
            <w:pPr>
              <w:pStyle w:val="Summarytabletextrightaligned"/>
            </w:pPr>
            <w:r w:rsidRPr="00222C32">
              <w:t>..</w:t>
            </w:r>
          </w:p>
        </w:tc>
        <w:tc>
          <w:tcPr>
            <w:tcW w:w="850" w:type="dxa"/>
            <w:vAlign w:val="bottom"/>
          </w:tcPr>
          <w:p w14:paraId="2BDEC40F" w14:textId="77777777" w:rsidR="00BB2CB4" w:rsidRPr="00222C32" w:rsidRDefault="000674DA">
            <w:pPr>
              <w:pStyle w:val="Summarytabletextrightaligned"/>
            </w:pPr>
            <w:r w:rsidRPr="00222C32">
              <w:t>..</w:t>
            </w:r>
          </w:p>
        </w:tc>
        <w:tc>
          <w:tcPr>
            <w:tcW w:w="850" w:type="dxa"/>
            <w:vAlign w:val="bottom"/>
          </w:tcPr>
          <w:p w14:paraId="1C14426D" w14:textId="77777777" w:rsidR="00BB2CB4" w:rsidRPr="00222C32" w:rsidRDefault="000674DA">
            <w:pPr>
              <w:pStyle w:val="Summarytabletextrightaligned"/>
            </w:pPr>
            <w:r w:rsidRPr="00222C32">
              <w:t>..</w:t>
            </w:r>
          </w:p>
        </w:tc>
        <w:tc>
          <w:tcPr>
            <w:tcW w:w="850" w:type="dxa"/>
            <w:vAlign w:val="bottom"/>
          </w:tcPr>
          <w:p w14:paraId="5045144E" w14:textId="77777777" w:rsidR="00BB2CB4" w:rsidRPr="00222C32" w:rsidRDefault="000674DA">
            <w:pPr>
              <w:pStyle w:val="Summarytabletextrightaligned"/>
            </w:pPr>
            <w:r w:rsidRPr="00222C32">
              <w:t>..</w:t>
            </w:r>
          </w:p>
        </w:tc>
      </w:tr>
      <w:tr w:rsidR="00BB2CB4" w:rsidRPr="00222C32" w14:paraId="661B30DF" w14:textId="77777777" w:rsidTr="00825163">
        <w:tc>
          <w:tcPr>
            <w:tcW w:w="3471" w:type="dxa"/>
            <w:vAlign w:val="bottom"/>
          </w:tcPr>
          <w:p w14:paraId="0CB920A6" w14:textId="77777777" w:rsidR="00BB2CB4" w:rsidRPr="00222C32" w:rsidRDefault="000674DA">
            <w:pPr>
              <w:pStyle w:val="SummaryMeasureTitlewithTheme"/>
            </w:pPr>
            <w:r w:rsidRPr="00222C32">
              <w:t>Pharmaceutical Benefits Scheme New and Amended Listings(b)</w:t>
            </w:r>
          </w:p>
        </w:tc>
        <w:tc>
          <w:tcPr>
            <w:tcW w:w="850" w:type="dxa"/>
            <w:vAlign w:val="bottom"/>
          </w:tcPr>
          <w:p w14:paraId="3526319C" w14:textId="77777777" w:rsidR="00BB2CB4" w:rsidRPr="00222C32" w:rsidRDefault="000674DA">
            <w:pPr>
              <w:pStyle w:val="Summarytabletextrightaligned"/>
            </w:pPr>
            <w:r w:rsidRPr="00222C32">
              <w:t>-</w:t>
            </w:r>
          </w:p>
        </w:tc>
        <w:tc>
          <w:tcPr>
            <w:tcW w:w="850" w:type="dxa"/>
            <w:shd w:val="clear" w:color="auto" w:fill="E6F2FF"/>
            <w:vAlign w:val="bottom"/>
          </w:tcPr>
          <w:p w14:paraId="1549F515" w14:textId="77777777" w:rsidR="00BB2CB4" w:rsidRPr="00222C32" w:rsidRDefault="000674DA">
            <w:pPr>
              <w:pStyle w:val="Summarytabletextrightaligned"/>
            </w:pPr>
            <w:r w:rsidRPr="00222C32">
              <w:t>0.9</w:t>
            </w:r>
          </w:p>
        </w:tc>
        <w:tc>
          <w:tcPr>
            <w:tcW w:w="850" w:type="dxa"/>
            <w:vAlign w:val="bottom"/>
          </w:tcPr>
          <w:p w14:paraId="514BDE13" w14:textId="77777777" w:rsidR="00BB2CB4" w:rsidRPr="00222C32" w:rsidRDefault="000674DA">
            <w:pPr>
              <w:pStyle w:val="Summarytabletextrightaligned"/>
            </w:pPr>
            <w:r w:rsidRPr="00222C32">
              <w:t>0.1</w:t>
            </w:r>
          </w:p>
        </w:tc>
        <w:tc>
          <w:tcPr>
            <w:tcW w:w="850" w:type="dxa"/>
            <w:vAlign w:val="bottom"/>
          </w:tcPr>
          <w:p w14:paraId="669368A0" w14:textId="77777777" w:rsidR="00BB2CB4" w:rsidRPr="00222C32" w:rsidRDefault="000674DA">
            <w:pPr>
              <w:pStyle w:val="Summarytabletextrightaligned"/>
            </w:pPr>
            <w:r w:rsidRPr="00222C32">
              <w:t>0.1</w:t>
            </w:r>
          </w:p>
        </w:tc>
        <w:tc>
          <w:tcPr>
            <w:tcW w:w="850" w:type="dxa"/>
            <w:vAlign w:val="bottom"/>
          </w:tcPr>
          <w:p w14:paraId="4021A747" w14:textId="77777777" w:rsidR="00BB2CB4" w:rsidRPr="00222C32" w:rsidRDefault="000674DA">
            <w:pPr>
              <w:pStyle w:val="Summarytabletextrightaligned"/>
            </w:pPr>
            <w:r w:rsidRPr="00222C32">
              <w:t>0.1</w:t>
            </w:r>
          </w:p>
        </w:tc>
      </w:tr>
      <w:tr w:rsidR="00BB2CB4" w:rsidRPr="00222C32" w14:paraId="26096EA5" w14:textId="77777777" w:rsidTr="00825163">
        <w:tc>
          <w:tcPr>
            <w:tcW w:w="3471" w:type="dxa"/>
            <w:vAlign w:val="bottom"/>
          </w:tcPr>
          <w:p w14:paraId="3C2ED24C" w14:textId="77777777" w:rsidR="00BB2CB4" w:rsidRPr="00222C32" w:rsidRDefault="000674DA">
            <w:pPr>
              <w:pStyle w:val="SummaryMeasureTitlewithTheme"/>
            </w:pPr>
            <w:r w:rsidRPr="00222C32">
              <w:t>Strengthening Medicare – establishing 1800MEDICARE and Medicare Urgent Care Clinics additional support</w:t>
            </w:r>
          </w:p>
        </w:tc>
        <w:tc>
          <w:tcPr>
            <w:tcW w:w="850" w:type="dxa"/>
            <w:vAlign w:val="bottom"/>
          </w:tcPr>
          <w:p w14:paraId="6B468E0A" w14:textId="77777777" w:rsidR="00BB2CB4" w:rsidRPr="00222C32" w:rsidRDefault="000674DA">
            <w:pPr>
              <w:pStyle w:val="Summarytabletextrightaligned"/>
            </w:pPr>
            <w:r w:rsidRPr="00222C32">
              <w:t>-</w:t>
            </w:r>
          </w:p>
        </w:tc>
        <w:tc>
          <w:tcPr>
            <w:tcW w:w="850" w:type="dxa"/>
            <w:shd w:val="clear" w:color="auto" w:fill="E6F2FF"/>
            <w:vAlign w:val="bottom"/>
          </w:tcPr>
          <w:p w14:paraId="0CC40D12" w14:textId="77777777" w:rsidR="00BB2CB4" w:rsidRPr="00222C32" w:rsidRDefault="000674DA">
            <w:pPr>
              <w:pStyle w:val="Summarytabletextrightaligned"/>
            </w:pPr>
            <w:r w:rsidRPr="00222C32">
              <w:t>-</w:t>
            </w:r>
          </w:p>
        </w:tc>
        <w:tc>
          <w:tcPr>
            <w:tcW w:w="850" w:type="dxa"/>
            <w:vAlign w:val="bottom"/>
          </w:tcPr>
          <w:p w14:paraId="583633B2" w14:textId="77777777" w:rsidR="00BB2CB4" w:rsidRPr="00222C32" w:rsidRDefault="000674DA">
            <w:pPr>
              <w:pStyle w:val="Summarytabletextrightaligned"/>
            </w:pPr>
            <w:r w:rsidRPr="00222C32">
              <w:t>..</w:t>
            </w:r>
          </w:p>
        </w:tc>
        <w:tc>
          <w:tcPr>
            <w:tcW w:w="850" w:type="dxa"/>
            <w:vAlign w:val="bottom"/>
          </w:tcPr>
          <w:p w14:paraId="326A0A6F" w14:textId="77777777" w:rsidR="00BB2CB4" w:rsidRPr="00222C32" w:rsidRDefault="000674DA">
            <w:pPr>
              <w:pStyle w:val="Summarytabletextrightaligned"/>
            </w:pPr>
            <w:r w:rsidRPr="00222C32">
              <w:t>..</w:t>
            </w:r>
          </w:p>
        </w:tc>
        <w:tc>
          <w:tcPr>
            <w:tcW w:w="850" w:type="dxa"/>
            <w:vAlign w:val="bottom"/>
          </w:tcPr>
          <w:p w14:paraId="291F04D7" w14:textId="77777777" w:rsidR="00BB2CB4" w:rsidRPr="00222C32" w:rsidRDefault="000674DA">
            <w:pPr>
              <w:pStyle w:val="Summarytabletextrightaligned"/>
            </w:pPr>
            <w:r w:rsidRPr="00222C32">
              <w:t>-</w:t>
            </w:r>
          </w:p>
        </w:tc>
      </w:tr>
      <w:tr w:rsidR="00BB2CB4" w:rsidRPr="00222C32" w14:paraId="774F155F" w14:textId="77777777" w:rsidTr="00825163">
        <w:tc>
          <w:tcPr>
            <w:tcW w:w="3471" w:type="dxa"/>
            <w:vAlign w:val="bottom"/>
          </w:tcPr>
          <w:p w14:paraId="52E66ECE" w14:textId="77777777" w:rsidR="00BB2CB4" w:rsidRPr="00222C32" w:rsidRDefault="000674DA">
            <w:pPr>
              <w:pStyle w:val="SummaryMeasureTitlewithTheme"/>
            </w:pPr>
            <w:r w:rsidRPr="00222C32">
              <w:t>Strengthening Safety and Quality in the Early Childhood Education and Care Sector</w:t>
            </w:r>
          </w:p>
        </w:tc>
        <w:tc>
          <w:tcPr>
            <w:tcW w:w="850" w:type="dxa"/>
            <w:vAlign w:val="bottom"/>
          </w:tcPr>
          <w:p w14:paraId="6D35BDE2" w14:textId="77777777" w:rsidR="00BB2CB4" w:rsidRPr="00222C32" w:rsidRDefault="000674DA">
            <w:pPr>
              <w:pStyle w:val="Summarytabletextrightaligned"/>
            </w:pPr>
            <w:r w:rsidRPr="00222C32">
              <w:t>-</w:t>
            </w:r>
          </w:p>
        </w:tc>
        <w:tc>
          <w:tcPr>
            <w:tcW w:w="850" w:type="dxa"/>
            <w:shd w:val="clear" w:color="auto" w:fill="E6F2FF"/>
            <w:vAlign w:val="bottom"/>
          </w:tcPr>
          <w:p w14:paraId="41C27A44" w14:textId="77777777" w:rsidR="00BB2CB4" w:rsidRPr="00222C32" w:rsidRDefault="000674DA">
            <w:pPr>
              <w:pStyle w:val="Summarytabletextrightaligned"/>
            </w:pPr>
            <w:r w:rsidRPr="00222C32">
              <w:t>2.6</w:t>
            </w:r>
          </w:p>
        </w:tc>
        <w:tc>
          <w:tcPr>
            <w:tcW w:w="850" w:type="dxa"/>
            <w:vAlign w:val="bottom"/>
          </w:tcPr>
          <w:p w14:paraId="5CD96395" w14:textId="77777777" w:rsidR="00BB2CB4" w:rsidRPr="00222C32" w:rsidRDefault="000674DA">
            <w:pPr>
              <w:pStyle w:val="Summarytabletextrightaligned"/>
            </w:pPr>
            <w:r w:rsidRPr="00222C32">
              <w:t>0.2</w:t>
            </w:r>
          </w:p>
        </w:tc>
        <w:tc>
          <w:tcPr>
            <w:tcW w:w="850" w:type="dxa"/>
            <w:vAlign w:val="bottom"/>
          </w:tcPr>
          <w:p w14:paraId="1ACE4604" w14:textId="77777777" w:rsidR="00BB2CB4" w:rsidRPr="00222C32" w:rsidRDefault="000674DA">
            <w:pPr>
              <w:pStyle w:val="Summarytabletextrightaligned"/>
            </w:pPr>
            <w:r w:rsidRPr="00222C32">
              <w:t>0.2</w:t>
            </w:r>
          </w:p>
        </w:tc>
        <w:tc>
          <w:tcPr>
            <w:tcW w:w="850" w:type="dxa"/>
            <w:vAlign w:val="bottom"/>
          </w:tcPr>
          <w:p w14:paraId="7660B6BB" w14:textId="77777777" w:rsidR="00BB2CB4" w:rsidRPr="00222C32" w:rsidRDefault="000674DA">
            <w:pPr>
              <w:pStyle w:val="Summarytabletextrightaligned"/>
            </w:pPr>
            <w:r w:rsidRPr="00222C32">
              <w:t>0.2</w:t>
            </w:r>
          </w:p>
        </w:tc>
      </w:tr>
      <w:tr w:rsidR="00BB2CB4" w:rsidRPr="00222C32" w14:paraId="3794A2A4" w14:textId="77777777" w:rsidTr="00825163">
        <w:tc>
          <w:tcPr>
            <w:tcW w:w="3471" w:type="dxa"/>
            <w:vAlign w:val="bottom"/>
          </w:tcPr>
          <w:p w14:paraId="2FF3DE04" w14:textId="77777777" w:rsidR="00BB2CB4" w:rsidRPr="00222C32" w:rsidRDefault="000674DA">
            <w:pPr>
              <w:pStyle w:val="SummaryMeasureTitlewithTheme"/>
            </w:pPr>
            <w:r w:rsidRPr="00222C32">
              <w:t>Treasury Portfolio – additional resourcing(b)</w:t>
            </w:r>
          </w:p>
        </w:tc>
        <w:tc>
          <w:tcPr>
            <w:tcW w:w="850" w:type="dxa"/>
            <w:tcBorders>
              <w:bottom w:val="single" w:sz="4" w:space="0" w:color="293F5B"/>
            </w:tcBorders>
            <w:vAlign w:val="bottom"/>
          </w:tcPr>
          <w:p w14:paraId="399906B6"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3EA343FE" w14:textId="77777777" w:rsidR="00BB2CB4" w:rsidRPr="00222C32" w:rsidRDefault="000674DA">
            <w:pPr>
              <w:pStyle w:val="Summarytabletextrightaligned"/>
            </w:pPr>
            <w:r w:rsidRPr="00222C32">
              <w:t>4.6</w:t>
            </w:r>
          </w:p>
        </w:tc>
        <w:tc>
          <w:tcPr>
            <w:tcW w:w="850" w:type="dxa"/>
            <w:tcBorders>
              <w:bottom w:val="single" w:sz="4" w:space="0" w:color="293F5B"/>
            </w:tcBorders>
            <w:vAlign w:val="bottom"/>
          </w:tcPr>
          <w:p w14:paraId="187432E1" w14:textId="77777777" w:rsidR="00BB2CB4" w:rsidRPr="00222C32" w:rsidRDefault="000674DA">
            <w:pPr>
              <w:pStyle w:val="Summarytabletextrightaligned"/>
            </w:pPr>
            <w:r w:rsidRPr="00222C32">
              <w:t>12.3</w:t>
            </w:r>
          </w:p>
        </w:tc>
        <w:tc>
          <w:tcPr>
            <w:tcW w:w="850" w:type="dxa"/>
            <w:tcBorders>
              <w:bottom w:val="single" w:sz="4" w:space="0" w:color="293F5B"/>
            </w:tcBorders>
            <w:vAlign w:val="bottom"/>
          </w:tcPr>
          <w:p w14:paraId="3CD09FC8" w14:textId="77777777" w:rsidR="00BB2CB4" w:rsidRPr="00222C32" w:rsidRDefault="000674DA">
            <w:pPr>
              <w:pStyle w:val="Summarytabletextrightaligned"/>
            </w:pPr>
            <w:r w:rsidRPr="00222C32">
              <w:t>24.6</w:t>
            </w:r>
          </w:p>
        </w:tc>
        <w:tc>
          <w:tcPr>
            <w:tcW w:w="850" w:type="dxa"/>
            <w:tcBorders>
              <w:bottom w:val="single" w:sz="4" w:space="0" w:color="293F5B"/>
            </w:tcBorders>
            <w:vAlign w:val="bottom"/>
          </w:tcPr>
          <w:p w14:paraId="2A8E7E6B" w14:textId="77777777" w:rsidR="00BB2CB4" w:rsidRPr="00222C32" w:rsidRDefault="000674DA">
            <w:pPr>
              <w:pStyle w:val="Summarytabletextrightaligned"/>
            </w:pPr>
            <w:r w:rsidRPr="00222C32">
              <w:t>7.4</w:t>
            </w:r>
          </w:p>
        </w:tc>
      </w:tr>
      <w:tr w:rsidR="00BB2CB4" w:rsidRPr="00222C32" w14:paraId="0A3C7791" w14:textId="77777777" w:rsidTr="00825163">
        <w:tc>
          <w:tcPr>
            <w:tcW w:w="3471" w:type="dxa"/>
            <w:tcBorders>
              <w:bottom w:val="single" w:sz="4" w:space="0" w:color="293F5B"/>
            </w:tcBorders>
            <w:vAlign w:val="bottom"/>
          </w:tcPr>
          <w:p w14:paraId="5C304A43"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439DE0A1"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1ABF56BC" w14:textId="77777777" w:rsidR="00BB2CB4" w:rsidRPr="00222C32" w:rsidRDefault="000674DA">
            <w:pPr>
              <w:pStyle w:val="Summarytabletextrightalignedbold"/>
            </w:pPr>
            <w:r w:rsidRPr="00222C32">
              <w:t>97.9</w:t>
            </w:r>
          </w:p>
        </w:tc>
        <w:tc>
          <w:tcPr>
            <w:tcW w:w="850" w:type="dxa"/>
            <w:tcBorders>
              <w:top w:val="single" w:sz="4" w:space="0" w:color="293F5B"/>
              <w:bottom w:val="single" w:sz="4" w:space="0" w:color="293F5B"/>
            </w:tcBorders>
            <w:vAlign w:val="bottom"/>
          </w:tcPr>
          <w:p w14:paraId="396F2065" w14:textId="77777777" w:rsidR="00BB2CB4" w:rsidRPr="00222C32" w:rsidRDefault="000674DA">
            <w:pPr>
              <w:pStyle w:val="Summarytabletextrightalignedbold"/>
            </w:pPr>
            <w:r w:rsidRPr="00222C32">
              <w:t>94.4</w:t>
            </w:r>
          </w:p>
        </w:tc>
        <w:tc>
          <w:tcPr>
            <w:tcW w:w="850" w:type="dxa"/>
            <w:tcBorders>
              <w:top w:val="single" w:sz="4" w:space="0" w:color="293F5B"/>
              <w:bottom w:val="single" w:sz="4" w:space="0" w:color="293F5B"/>
            </w:tcBorders>
            <w:vAlign w:val="bottom"/>
          </w:tcPr>
          <w:p w14:paraId="773AA212" w14:textId="77777777" w:rsidR="00BB2CB4" w:rsidRPr="00222C32" w:rsidRDefault="000674DA">
            <w:pPr>
              <w:pStyle w:val="Summarytabletextrightalignedbold"/>
            </w:pPr>
            <w:r w:rsidRPr="00222C32">
              <w:t>39.3</w:t>
            </w:r>
          </w:p>
        </w:tc>
        <w:tc>
          <w:tcPr>
            <w:tcW w:w="850" w:type="dxa"/>
            <w:tcBorders>
              <w:top w:val="single" w:sz="4" w:space="0" w:color="293F5B"/>
              <w:bottom w:val="single" w:sz="4" w:space="0" w:color="293F5B"/>
            </w:tcBorders>
            <w:vAlign w:val="bottom"/>
          </w:tcPr>
          <w:p w14:paraId="1F689583" w14:textId="77777777" w:rsidR="00BB2CB4" w:rsidRPr="00222C32" w:rsidRDefault="000674DA">
            <w:pPr>
              <w:pStyle w:val="Summarytabletextrightalignedbold"/>
            </w:pPr>
            <w:r w:rsidRPr="00222C32">
              <w:t>18.3</w:t>
            </w:r>
          </w:p>
        </w:tc>
      </w:tr>
    </w:tbl>
    <w:p w14:paraId="4CC3B943"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0BA7130A" w14:textId="47FBD6E5"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37AB7660" w14:textId="77777777" w:rsidTr="00825163">
        <w:tc>
          <w:tcPr>
            <w:tcW w:w="3471" w:type="dxa"/>
            <w:tcBorders>
              <w:top w:val="single" w:sz="4" w:space="0" w:color="293F5B"/>
              <w:bottom w:val="nil"/>
            </w:tcBorders>
            <w:vAlign w:val="bottom"/>
          </w:tcPr>
          <w:p w14:paraId="239215FD" w14:textId="77777777" w:rsidR="000D63FB" w:rsidRPr="00222C32" w:rsidRDefault="000D63FB" w:rsidP="000D63FB"/>
        </w:tc>
        <w:tc>
          <w:tcPr>
            <w:tcW w:w="850" w:type="dxa"/>
            <w:tcBorders>
              <w:top w:val="single" w:sz="4" w:space="0" w:color="293F5B"/>
              <w:bottom w:val="nil"/>
            </w:tcBorders>
          </w:tcPr>
          <w:p w14:paraId="36625CF5"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7694F8DE"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4C1C62FF"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780E9E56"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63DD30F1" w14:textId="77777777" w:rsidR="000D63FB" w:rsidRPr="00222C32" w:rsidRDefault="000D63FB" w:rsidP="000D63FB">
            <w:pPr>
              <w:pStyle w:val="Summarytabletextrightaligned"/>
            </w:pPr>
            <w:r w:rsidRPr="00222C32">
              <w:t>2028-29</w:t>
            </w:r>
          </w:p>
        </w:tc>
      </w:tr>
      <w:tr w:rsidR="000D63FB" w:rsidRPr="00222C32" w14:paraId="2A269D3C" w14:textId="77777777" w:rsidTr="00825163">
        <w:tc>
          <w:tcPr>
            <w:tcW w:w="3471" w:type="dxa"/>
            <w:tcBorders>
              <w:top w:val="nil"/>
            </w:tcBorders>
            <w:vAlign w:val="bottom"/>
          </w:tcPr>
          <w:p w14:paraId="47E91F22" w14:textId="77777777" w:rsidR="000D63FB" w:rsidRPr="00222C32" w:rsidRDefault="000D63FB" w:rsidP="000D63FB"/>
        </w:tc>
        <w:tc>
          <w:tcPr>
            <w:tcW w:w="850" w:type="dxa"/>
            <w:tcBorders>
              <w:top w:val="nil"/>
              <w:bottom w:val="single" w:sz="4" w:space="0" w:color="293F5B"/>
            </w:tcBorders>
          </w:tcPr>
          <w:p w14:paraId="555C4885"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5057091B"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36053523"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00D461E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6EBB7FE6" w14:textId="77777777" w:rsidR="000D63FB" w:rsidRPr="00222C32" w:rsidRDefault="000D63FB" w:rsidP="000D63FB">
            <w:pPr>
              <w:pStyle w:val="Summarytabletextrightaligned"/>
            </w:pPr>
            <w:r w:rsidRPr="00222C32">
              <w:t>$m</w:t>
            </w:r>
          </w:p>
        </w:tc>
      </w:tr>
      <w:tr w:rsidR="00BB2CB4" w:rsidRPr="00222C32" w14:paraId="635D9F91" w14:textId="77777777" w:rsidTr="00825163">
        <w:tc>
          <w:tcPr>
            <w:tcW w:w="3471" w:type="dxa"/>
            <w:vAlign w:val="bottom"/>
          </w:tcPr>
          <w:p w14:paraId="266ABD6C" w14:textId="77777777" w:rsidR="00BB2CB4" w:rsidRPr="00222C32" w:rsidRDefault="000674DA">
            <w:pPr>
              <w:pStyle w:val="SummaryPortfolioTitle-BP2"/>
            </w:pPr>
            <w:r w:rsidRPr="00222C32">
              <w:t>FOREIGN AFFAIRS AND TRADE</w:t>
            </w:r>
          </w:p>
        </w:tc>
        <w:tc>
          <w:tcPr>
            <w:tcW w:w="850" w:type="dxa"/>
            <w:tcBorders>
              <w:top w:val="single" w:sz="4" w:space="0" w:color="293F5B"/>
            </w:tcBorders>
          </w:tcPr>
          <w:p w14:paraId="67F19BAB"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3AEDDB3E" w14:textId="77777777" w:rsidR="00BB2CB4" w:rsidRPr="00222C32" w:rsidRDefault="00BB2CB4">
            <w:pPr>
              <w:pStyle w:val="MeasureTableTextRightAlignedBefore6ptAfter1pt"/>
            </w:pPr>
          </w:p>
        </w:tc>
        <w:tc>
          <w:tcPr>
            <w:tcW w:w="850" w:type="dxa"/>
            <w:tcBorders>
              <w:top w:val="single" w:sz="4" w:space="0" w:color="293F5B"/>
            </w:tcBorders>
          </w:tcPr>
          <w:p w14:paraId="5200B77C" w14:textId="77777777" w:rsidR="00BB2CB4" w:rsidRPr="00222C32" w:rsidRDefault="00BB2CB4">
            <w:pPr>
              <w:pStyle w:val="MeasureTableTextRightAlignedBefore6ptAfter1pt"/>
            </w:pPr>
          </w:p>
        </w:tc>
        <w:tc>
          <w:tcPr>
            <w:tcW w:w="850" w:type="dxa"/>
            <w:tcBorders>
              <w:top w:val="single" w:sz="4" w:space="0" w:color="293F5B"/>
            </w:tcBorders>
          </w:tcPr>
          <w:p w14:paraId="008BE159" w14:textId="77777777" w:rsidR="00BB2CB4" w:rsidRPr="00222C32" w:rsidRDefault="00BB2CB4">
            <w:pPr>
              <w:pStyle w:val="MeasureTableTextRightAlignedBefore6ptAfter1pt"/>
            </w:pPr>
          </w:p>
        </w:tc>
        <w:tc>
          <w:tcPr>
            <w:tcW w:w="850" w:type="dxa"/>
            <w:tcBorders>
              <w:top w:val="single" w:sz="4" w:space="0" w:color="293F5B"/>
            </w:tcBorders>
          </w:tcPr>
          <w:p w14:paraId="1150C9E2" w14:textId="77777777" w:rsidR="00BB2CB4" w:rsidRPr="00222C32" w:rsidRDefault="00BB2CB4">
            <w:pPr>
              <w:pStyle w:val="MeasureTableTextRightAlignedBefore6ptAfter1pt"/>
            </w:pPr>
          </w:p>
        </w:tc>
      </w:tr>
      <w:tr w:rsidR="00BB2CB4" w:rsidRPr="00222C32" w14:paraId="382C6F94" w14:textId="77777777" w:rsidTr="00825163">
        <w:tc>
          <w:tcPr>
            <w:tcW w:w="3471" w:type="dxa"/>
            <w:vAlign w:val="bottom"/>
          </w:tcPr>
          <w:p w14:paraId="19BF796C" w14:textId="77777777" w:rsidR="00BB2CB4" w:rsidRPr="00222C32" w:rsidRDefault="000674DA">
            <w:pPr>
              <w:pStyle w:val="SummaryAgencyTitle-BP2"/>
            </w:pPr>
            <w:r w:rsidRPr="00222C32">
              <w:t>Australian Trade and Investment Commission</w:t>
            </w:r>
          </w:p>
        </w:tc>
        <w:tc>
          <w:tcPr>
            <w:tcW w:w="850" w:type="dxa"/>
          </w:tcPr>
          <w:p w14:paraId="61A1EA11" w14:textId="77777777" w:rsidR="00BB2CB4" w:rsidRPr="00222C32" w:rsidRDefault="00BB2CB4">
            <w:pPr>
              <w:pStyle w:val="SummaryAgencyTitle-BP2"/>
            </w:pPr>
          </w:p>
        </w:tc>
        <w:tc>
          <w:tcPr>
            <w:tcW w:w="850" w:type="dxa"/>
            <w:shd w:val="clear" w:color="auto" w:fill="E6F2FF"/>
          </w:tcPr>
          <w:p w14:paraId="1B9D731B" w14:textId="77777777" w:rsidR="00BB2CB4" w:rsidRPr="00222C32" w:rsidRDefault="00BB2CB4">
            <w:pPr>
              <w:pStyle w:val="SummaryAgencyTitle-BP2"/>
            </w:pPr>
          </w:p>
        </w:tc>
        <w:tc>
          <w:tcPr>
            <w:tcW w:w="850" w:type="dxa"/>
          </w:tcPr>
          <w:p w14:paraId="02559FFD" w14:textId="77777777" w:rsidR="00BB2CB4" w:rsidRPr="00222C32" w:rsidRDefault="00BB2CB4">
            <w:pPr>
              <w:pStyle w:val="SummaryAgencyTitle-BP2"/>
            </w:pPr>
          </w:p>
        </w:tc>
        <w:tc>
          <w:tcPr>
            <w:tcW w:w="850" w:type="dxa"/>
          </w:tcPr>
          <w:p w14:paraId="29E763D6" w14:textId="77777777" w:rsidR="00BB2CB4" w:rsidRPr="00222C32" w:rsidRDefault="00BB2CB4">
            <w:pPr>
              <w:pStyle w:val="SummaryAgencyTitle-BP2"/>
            </w:pPr>
          </w:p>
        </w:tc>
        <w:tc>
          <w:tcPr>
            <w:tcW w:w="850" w:type="dxa"/>
          </w:tcPr>
          <w:p w14:paraId="2CEDC1B1" w14:textId="77777777" w:rsidR="00BB2CB4" w:rsidRPr="00222C32" w:rsidRDefault="00BB2CB4">
            <w:pPr>
              <w:pStyle w:val="SummaryAgencyTitle-BP2"/>
            </w:pPr>
          </w:p>
        </w:tc>
      </w:tr>
      <w:tr w:rsidR="00BB2CB4" w:rsidRPr="00222C32" w14:paraId="741F4A46" w14:textId="77777777" w:rsidTr="00825163">
        <w:tc>
          <w:tcPr>
            <w:tcW w:w="3471" w:type="dxa"/>
            <w:vAlign w:val="bottom"/>
          </w:tcPr>
          <w:p w14:paraId="1BC15729" w14:textId="11627827" w:rsidR="00BB2CB4" w:rsidRPr="00222C32" w:rsidRDefault="000674DA">
            <w:pPr>
              <w:pStyle w:val="SummaryMeasureTitlewithTheme"/>
            </w:pPr>
            <w:r w:rsidRPr="00222C32">
              <w:t>Supporting Australia</w:t>
            </w:r>
            <w:r w:rsidR="00A67A30">
              <w:t>’</w:t>
            </w:r>
            <w:r w:rsidRPr="00222C32">
              <w:t>s Trade and Tourism Industries</w:t>
            </w:r>
          </w:p>
        </w:tc>
        <w:tc>
          <w:tcPr>
            <w:tcW w:w="850" w:type="dxa"/>
            <w:vAlign w:val="bottom"/>
          </w:tcPr>
          <w:p w14:paraId="633983ED" w14:textId="77777777" w:rsidR="00BB2CB4" w:rsidRPr="00222C32" w:rsidRDefault="000674DA">
            <w:pPr>
              <w:pStyle w:val="Summarytabletextrightaligned"/>
            </w:pPr>
            <w:r w:rsidRPr="00222C32">
              <w:t>-</w:t>
            </w:r>
          </w:p>
        </w:tc>
        <w:tc>
          <w:tcPr>
            <w:tcW w:w="850" w:type="dxa"/>
            <w:shd w:val="clear" w:color="auto" w:fill="E6F2FF"/>
            <w:vAlign w:val="bottom"/>
          </w:tcPr>
          <w:p w14:paraId="3087189B" w14:textId="77777777" w:rsidR="00BB2CB4" w:rsidRPr="00222C32" w:rsidRDefault="000674DA">
            <w:pPr>
              <w:pStyle w:val="Summarytabletextrightaligned"/>
            </w:pPr>
            <w:r w:rsidRPr="00222C32">
              <w:t>32.4</w:t>
            </w:r>
          </w:p>
        </w:tc>
        <w:tc>
          <w:tcPr>
            <w:tcW w:w="850" w:type="dxa"/>
            <w:vAlign w:val="bottom"/>
          </w:tcPr>
          <w:p w14:paraId="49C7AF4D" w14:textId="77777777" w:rsidR="00BB2CB4" w:rsidRPr="00222C32" w:rsidRDefault="000674DA">
            <w:pPr>
              <w:pStyle w:val="Summarytabletextrightaligned"/>
            </w:pPr>
            <w:r w:rsidRPr="00222C32">
              <w:t>33.2</w:t>
            </w:r>
          </w:p>
        </w:tc>
        <w:tc>
          <w:tcPr>
            <w:tcW w:w="850" w:type="dxa"/>
            <w:vAlign w:val="bottom"/>
          </w:tcPr>
          <w:p w14:paraId="0C9CF145" w14:textId="77777777" w:rsidR="00BB2CB4" w:rsidRPr="00222C32" w:rsidRDefault="000674DA">
            <w:pPr>
              <w:pStyle w:val="Summarytabletextrightaligned"/>
            </w:pPr>
            <w:r w:rsidRPr="00222C32">
              <w:t>3.0</w:t>
            </w:r>
          </w:p>
        </w:tc>
        <w:tc>
          <w:tcPr>
            <w:tcW w:w="850" w:type="dxa"/>
            <w:vAlign w:val="bottom"/>
          </w:tcPr>
          <w:p w14:paraId="7BE0A4CD" w14:textId="77777777" w:rsidR="00BB2CB4" w:rsidRPr="00222C32" w:rsidRDefault="000674DA">
            <w:pPr>
              <w:pStyle w:val="Summarytabletextrightaligned"/>
            </w:pPr>
            <w:r w:rsidRPr="00222C32">
              <w:t>-</w:t>
            </w:r>
          </w:p>
        </w:tc>
      </w:tr>
      <w:tr w:rsidR="00BB2CB4" w:rsidRPr="00222C32" w14:paraId="001D67B2" w14:textId="77777777" w:rsidTr="00825163">
        <w:tc>
          <w:tcPr>
            <w:tcW w:w="3471" w:type="dxa"/>
            <w:vAlign w:val="bottom"/>
          </w:tcPr>
          <w:p w14:paraId="6F715EBB" w14:textId="77777777" w:rsidR="00BB2CB4" w:rsidRPr="00222C32" w:rsidRDefault="000674DA">
            <w:pPr>
              <w:pStyle w:val="SummaryAgencyTitle-BP2"/>
            </w:pPr>
            <w:r w:rsidRPr="00222C32">
              <w:t>Department of Foreign Affairs and Trade</w:t>
            </w:r>
          </w:p>
        </w:tc>
        <w:tc>
          <w:tcPr>
            <w:tcW w:w="850" w:type="dxa"/>
          </w:tcPr>
          <w:p w14:paraId="6B4C1D26" w14:textId="77777777" w:rsidR="00BB2CB4" w:rsidRPr="00222C32" w:rsidRDefault="00BB2CB4">
            <w:pPr>
              <w:pStyle w:val="SummaryAgencyTitle-BP2"/>
            </w:pPr>
          </w:p>
        </w:tc>
        <w:tc>
          <w:tcPr>
            <w:tcW w:w="850" w:type="dxa"/>
            <w:shd w:val="clear" w:color="auto" w:fill="E6F2FF"/>
          </w:tcPr>
          <w:p w14:paraId="62072653" w14:textId="77777777" w:rsidR="00BB2CB4" w:rsidRPr="00222C32" w:rsidRDefault="00BB2CB4">
            <w:pPr>
              <w:pStyle w:val="SummaryAgencyTitle-BP2"/>
            </w:pPr>
          </w:p>
        </w:tc>
        <w:tc>
          <w:tcPr>
            <w:tcW w:w="850" w:type="dxa"/>
          </w:tcPr>
          <w:p w14:paraId="4756312B" w14:textId="77777777" w:rsidR="00BB2CB4" w:rsidRPr="00222C32" w:rsidRDefault="00BB2CB4">
            <w:pPr>
              <w:pStyle w:val="SummaryAgencyTitle-BP2"/>
            </w:pPr>
          </w:p>
        </w:tc>
        <w:tc>
          <w:tcPr>
            <w:tcW w:w="850" w:type="dxa"/>
          </w:tcPr>
          <w:p w14:paraId="50A9117E" w14:textId="77777777" w:rsidR="00BB2CB4" w:rsidRPr="00222C32" w:rsidRDefault="00BB2CB4">
            <w:pPr>
              <w:pStyle w:val="SummaryAgencyTitle-BP2"/>
            </w:pPr>
          </w:p>
        </w:tc>
        <w:tc>
          <w:tcPr>
            <w:tcW w:w="850" w:type="dxa"/>
          </w:tcPr>
          <w:p w14:paraId="0110E492" w14:textId="77777777" w:rsidR="00BB2CB4" w:rsidRPr="00222C32" w:rsidRDefault="00BB2CB4">
            <w:pPr>
              <w:pStyle w:val="SummaryAgencyTitle-BP2"/>
            </w:pPr>
          </w:p>
        </w:tc>
      </w:tr>
      <w:tr w:rsidR="00BB2CB4" w:rsidRPr="00222C32" w14:paraId="14FFC1F1" w14:textId="77777777" w:rsidTr="00825163">
        <w:tc>
          <w:tcPr>
            <w:tcW w:w="3471" w:type="dxa"/>
            <w:vAlign w:val="bottom"/>
          </w:tcPr>
          <w:p w14:paraId="031FC30E" w14:textId="77777777" w:rsidR="00BB2CB4" w:rsidRPr="00222C32" w:rsidRDefault="000674DA">
            <w:pPr>
              <w:pStyle w:val="SummaryMeasureTitlewithTheme"/>
            </w:pPr>
            <w:r w:rsidRPr="00222C32">
              <w:t>Delivering Consular Services</w:t>
            </w:r>
          </w:p>
        </w:tc>
        <w:tc>
          <w:tcPr>
            <w:tcW w:w="850" w:type="dxa"/>
            <w:vAlign w:val="bottom"/>
          </w:tcPr>
          <w:p w14:paraId="748A8F37" w14:textId="77777777" w:rsidR="00BB2CB4" w:rsidRPr="00222C32" w:rsidRDefault="000674DA">
            <w:pPr>
              <w:pStyle w:val="Summarytabletextrightaligned"/>
            </w:pPr>
            <w:r w:rsidRPr="00222C32">
              <w:t>-</w:t>
            </w:r>
          </w:p>
        </w:tc>
        <w:tc>
          <w:tcPr>
            <w:tcW w:w="850" w:type="dxa"/>
            <w:shd w:val="clear" w:color="auto" w:fill="E6F2FF"/>
            <w:vAlign w:val="bottom"/>
          </w:tcPr>
          <w:p w14:paraId="02A51BFB" w14:textId="77777777" w:rsidR="00BB2CB4" w:rsidRPr="00222C32" w:rsidRDefault="000674DA">
            <w:pPr>
              <w:pStyle w:val="Summarytabletextrightaligned"/>
            </w:pPr>
            <w:r w:rsidRPr="00222C32">
              <w:t>14.2</w:t>
            </w:r>
          </w:p>
        </w:tc>
        <w:tc>
          <w:tcPr>
            <w:tcW w:w="850" w:type="dxa"/>
            <w:vAlign w:val="bottom"/>
          </w:tcPr>
          <w:p w14:paraId="132F2E59" w14:textId="77777777" w:rsidR="00BB2CB4" w:rsidRPr="00222C32" w:rsidRDefault="000674DA">
            <w:pPr>
              <w:pStyle w:val="Summarytabletextrightaligned"/>
            </w:pPr>
            <w:r w:rsidRPr="00222C32">
              <w:t>-</w:t>
            </w:r>
          </w:p>
        </w:tc>
        <w:tc>
          <w:tcPr>
            <w:tcW w:w="850" w:type="dxa"/>
            <w:vAlign w:val="bottom"/>
          </w:tcPr>
          <w:p w14:paraId="1411CEB9" w14:textId="77777777" w:rsidR="00BB2CB4" w:rsidRPr="00222C32" w:rsidRDefault="000674DA">
            <w:pPr>
              <w:pStyle w:val="Summarytabletextrightaligned"/>
            </w:pPr>
            <w:r w:rsidRPr="00222C32">
              <w:t>-</w:t>
            </w:r>
          </w:p>
        </w:tc>
        <w:tc>
          <w:tcPr>
            <w:tcW w:w="850" w:type="dxa"/>
            <w:vAlign w:val="bottom"/>
          </w:tcPr>
          <w:p w14:paraId="0A345724" w14:textId="77777777" w:rsidR="00BB2CB4" w:rsidRPr="00222C32" w:rsidRDefault="000674DA">
            <w:pPr>
              <w:pStyle w:val="Summarytabletextrightaligned"/>
            </w:pPr>
            <w:r w:rsidRPr="00222C32">
              <w:t>-</w:t>
            </w:r>
          </w:p>
        </w:tc>
      </w:tr>
      <w:tr w:rsidR="00BB2CB4" w:rsidRPr="00222C32" w14:paraId="4C146B5D" w14:textId="77777777" w:rsidTr="00825163">
        <w:tc>
          <w:tcPr>
            <w:tcW w:w="3471" w:type="dxa"/>
            <w:vAlign w:val="bottom"/>
          </w:tcPr>
          <w:p w14:paraId="32C0076E" w14:textId="09A82C30" w:rsidR="00BB2CB4" w:rsidRPr="00222C32" w:rsidRDefault="000674DA">
            <w:pPr>
              <w:pStyle w:val="SummaryMeasureTitlewithTheme"/>
            </w:pPr>
            <w:r w:rsidRPr="00222C32">
              <w:t>Extending Australia</w:t>
            </w:r>
            <w:r w:rsidR="00A67A30">
              <w:t>’</w:t>
            </w:r>
            <w:r w:rsidRPr="00222C32">
              <w:t>s International Climate Change Engagement</w:t>
            </w:r>
          </w:p>
        </w:tc>
        <w:tc>
          <w:tcPr>
            <w:tcW w:w="850" w:type="dxa"/>
            <w:vAlign w:val="bottom"/>
          </w:tcPr>
          <w:p w14:paraId="0BE9C860" w14:textId="77777777" w:rsidR="00BB2CB4" w:rsidRPr="00222C32" w:rsidRDefault="000674DA">
            <w:pPr>
              <w:pStyle w:val="Summarytabletextrightaligned"/>
            </w:pPr>
            <w:r w:rsidRPr="00222C32">
              <w:t>-</w:t>
            </w:r>
          </w:p>
        </w:tc>
        <w:tc>
          <w:tcPr>
            <w:tcW w:w="850" w:type="dxa"/>
            <w:shd w:val="clear" w:color="auto" w:fill="E6F2FF"/>
            <w:vAlign w:val="bottom"/>
          </w:tcPr>
          <w:p w14:paraId="22B8D44F" w14:textId="77777777" w:rsidR="00BB2CB4" w:rsidRPr="00222C32" w:rsidRDefault="000674DA">
            <w:pPr>
              <w:pStyle w:val="Summarytabletextrightaligned"/>
            </w:pPr>
            <w:r w:rsidRPr="00222C32">
              <w:t>6.3</w:t>
            </w:r>
          </w:p>
        </w:tc>
        <w:tc>
          <w:tcPr>
            <w:tcW w:w="850" w:type="dxa"/>
            <w:vAlign w:val="bottom"/>
          </w:tcPr>
          <w:p w14:paraId="27B58E7A" w14:textId="77777777" w:rsidR="00BB2CB4" w:rsidRPr="00222C32" w:rsidRDefault="000674DA">
            <w:pPr>
              <w:pStyle w:val="Summarytabletextrightaligned"/>
            </w:pPr>
            <w:r w:rsidRPr="00222C32">
              <w:t>-</w:t>
            </w:r>
          </w:p>
        </w:tc>
        <w:tc>
          <w:tcPr>
            <w:tcW w:w="850" w:type="dxa"/>
            <w:vAlign w:val="bottom"/>
          </w:tcPr>
          <w:p w14:paraId="7B27A580" w14:textId="77777777" w:rsidR="00BB2CB4" w:rsidRPr="00222C32" w:rsidRDefault="000674DA">
            <w:pPr>
              <w:pStyle w:val="Summarytabletextrightaligned"/>
            </w:pPr>
            <w:r w:rsidRPr="00222C32">
              <w:t>-</w:t>
            </w:r>
          </w:p>
        </w:tc>
        <w:tc>
          <w:tcPr>
            <w:tcW w:w="850" w:type="dxa"/>
            <w:vAlign w:val="bottom"/>
          </w:tcPr>
          <w:p w14:paraId="3B050EC5" w14:textId="77777777" w:rsidR="00BB2CB4" w:rsidRPr="00222C32" w:rsidRDefault="000674DA">
            <w:pPr>
              <w:pStyle w:val="Summarytabletextrightaligned"/>
            </w:pPr>
            <w:r w:rsidRPr="00222C32">
              <w:t>-</w:t>
            </w:r>
          </w:p>
        </w:tc>
      </w:tr>
      <w:tr w:rsidR="00BB2CB4" w:rsidRPr="00222C32" w14:paraId="79A4633D" w14:textId="77777777" w:rsidTr="00825163">
        <w:tc>
          <w:tcPr>
            <w:tcW w:w="3471" w:type="dxa"/>
            <w:vAlign w:val="bottom"/>
          </w:tcPr>
          <w:p w14:paraId="4667B9C8" w14:textId="77777777" w:rsidR="00BB2CB4" w:rsidRPr="00222C32" w:rsidRDefault="000674DA">
            <w:pPr>
              <w:pStyle w:val="SummaryMeasureTitlewithTheme"/>
            </w:pPr>
            <w:r w:rsidRPr="00222C32">
              <w:t>Investment in Sport</w:t>
            </w:r>
          </w:p>
        </w:tc>
        <w:tc>
          <w:tcPr>
            <w:tcW w:w="850" w:type="dxa"/>
            <w:vAlign w:val="bottom"/>
          </w:tcPr>
          <w:p w14:paraId="144F162F" w14:textId="77777777" w:rsidR="00BB2CB4" w:rsidRPr="00222C32" w:rsidRDefault="000674DA">
            <w:pPr>
              <w:pStyle w:val="Summarytabletextrightaligned"/>
            </w:pPr>
            <w:r w:rsidRPr="00222C32">
              <w:t>-</w:t>
            </w:r>
          </w:p>
        </w:tc>
        <w:tc>
          <w:tcPr>
            <w:tcW w:w="850" w:type="dxa"/>
            <w:shd w:val="clear" w:color="auto" w:fill="E6F2FF"/>
            <w:vAlign w:val="bottom"/>
          </w:tcPr>
          <w:p w14:paraId="3912CB76" w14:textId="77777777" w:rsidR="00BB2CB4" w:rsidRPr="00222C32" w:rsidRDefault="000674DA">
            <w:pPr>
              <w:pStyle w:val="Summarytabletextrightaligned"/>
            </w:pPr>
            <w:r w:rsidRPr="00222C32">
              <w:t>-0.5</w:t>
            </w:r>
          </w:p>
        </w:tc>
        <w:tc>
          <w:tcPr>
            <w:tcW w:w="850" w:type="dxa"/>
            <w:vAlign w:val="bottom"/>
          </w:tcPr>
          <w:p w14:paraId="21144529" w14:textId="77777777" w:rsidR="00BB2CB4" w:rsidRPr="00222C32" w:rsidRDefault="000674DA">
            <w:pPr>
              <w:pStyle w:val="Summarytabletextrightaligned"/>
            </w:pPr>
            <w:r w:rsidRPr="00222C32">
              <w:t>-</w:t>
            </w:r>
          </w:p>
        </w:tc>
        <w:tc>
          <w:tcPr>
            <w:tcW w:w="850" w:type="dxa"/>
            <w:vAlign w:val="bottom"/>
          </w:tcPr>
          <w:p w14:paraId="21AE00D3" w14:textId="77777777" w:rsidR="00BB2CB4" w:rsidRPr="00222C32" w:rsidRDefault="000674DA">
            <w:pPr>
              <w:pStyle w:val="Summarytabletextrightaligned"/>
            </w:pPr>
            <w:r w:rsidRPr="00222C32">
              <w:t>-</w:t>
            </w:r>
          </w:p>
        </w:tc>
        <w:tc>
          <w:tcPr>
            <w:tcW w:w="850" w:type="dxa"/>
            <w:vAlign w:val="bottom"/>
          </w:tcPr>
          <w:p w14:paraId="2B626AB5" w14:textId="77777777" w:rsidR="00BB2CB4" w:rsidRPr="00222C32" w:rsidRDefault="000674DA">
            <w:pPr>
              <w:pStyle w:val="Summarytabletextrightaligned"/>
            </w:pPr>
            <w:r w:rsidRPr="00222C32">
              <w:t>-</w:t>
            </w:r>
          </w:p>
        </w:tc>
      </w:tr>
      <w:tr w:rsidR="00BB2CB4" w:rsidRPr="00222C32" w14:paraId="3811F3D9" w14:textId="77777777" w:rsidTr="00825163">
        <w:tc>
          <w:tcPr>
            <w:tcW w:w="3471" w:type="dxa"/>
            <w:vAlign w:val="bottom"/>
          </w:tcPr>
          <w:p w14:paraId="328011EC" w14:textId="77777777" w:rsidR="00BB2CB4" w:rsidRPr="00222C32" w:rsidRDefault="000674DA">
            <w:pPr>
              <w:pStyle w:val="SummaryMeasureTitlewithTheme"/>
            </w:pPr>
            <w:r w:rsidRPr="00222C32">
              <w:t>Memorial Services for the 2005 Bali Bombings – travel assistance payment</w:t>
            </w:r>
          </w:p>
        </w:tc>
        <w:tc>
          <w:tcPr>
            <w:tcW w:w="850" w:type="dxa"/>
            <w:vAlign w:val="bottom"/>
          </w:tcPr>
          <w:p w14:paraId="763C60D3" w14:textId="77777777" w:rsidR="00BB2CB4" w:rsidRPr="00222C32" w:rsidRDefault="000674DA">
            <w:pPr>
              <w:pStyle w:val="Summarytabletextrightaligned"/>
            </w:pPr>
            <w:r w:rsidRPr="00222C32">
              <w:t>-</w:t>
            </w:r>
          </w:p>
        </w:tc>
        <w:tc>
          <w:tcPr>
            <w:tcW w:w="850" w:type="dxa"/>
            <w:shd w:val="clear" w:color="auto" w:fill="E6F2FF"/>
            <w:vAlign w:val="bottom"/>
          </w:tcPr>
          <w:p w14:paraId="055B738B" w14:textId="77777777" w:rsidR="00BB2CB4" w:rsidRPr="00222C32" w:rsidRDefault="000674DA">
            <w:pPr>
              <w:pStyle w:val="Summarytabletextrightaligned"/>
            </w:pPr>
            <w:r w:rsidRPr="00222C32">
              <w:t>-</w:t>
            </w:r>
          </w:p>
        </w:tc>
        <w:tc>
          <w:tcPr>
            <w:tcW w:w="850" w:type="dxa"/>
            <w:vAlign w:val="bottom"/>
          </w:tcPr>
          <w:p w14:paraId="206C5CC3" w14:textId="77777777" w:rsidR="00BB2CB4" w:rsidRPr="00222C32" w:rsidRDefault="000674DA">
            <w:pPr>
              <w:pStyle w:val="Summarytabletextrightaligned"/>
            </w:pPr>
            <w:r w:rsidRPr="00222C32">
              <w:t>-</w:t>
            </w:r>
          </w:p>
        </w:tc>
        <w:tc>
          <w:tcPr>
            <w:tcW w:w="850" w:type="dxa"/>
            <w:vAlign w:val="bottom"/>
          </w:tcPr>
          <w:p w14:paraId="782F6054" w14:textId="77777777" w:rsidR="00BB2CB4" w:rsidRPr="00222C32" w:rsidRDefault="000674DA">
            <w:pPr>
              <w:pStyle w:val="Summarytabletextrightaligned"/>
            </w:pPr>
            <w:r w:rsidRPr="00222C32">
              <w:t>-</w:t>
            </w:r>
          </w:p>
        </w:tc>
        <w:tc>
          <w:tcPr>
            <w:tcW w:w="850" w:type="dxa"/>
            <w:vAlign w:val="bottom"/>
          </w:tcPr>
          <w:p w14:paraId="4C8F7F42" w14:textId="77777777" w:rsidR="00BB2CB4" w:rsidRPr="00222C32" w:rsidRDefault="000674DA">
            <w:pPr>
              <w:pStyle w:val="Summarytabletextrightaligned"/>
            </w:pPr>
            <w:r w:rsidRPr="00222C32">
              <w:t>-</w:t>
            </w:r>
          </w:p>
        </w:tc>
      </w:tr>
      <w:tr w:rsidR="00BB2CB4" w:rsidRPr="00222C32" w14:paraId="52D5B005" w14:textId="77777777" w:rsidTr="00825163">
        <w:tc>
          <w:tcPr>
            <w:tcW w:w="3471" w:type="dxa"/>
            <w:vAlign w:val="bottom"/>
          </w:tcPr>
          <w:p w14:paraId="23C4A2C0" w14:textId="77777777" w:rsidR="00BB2CB4" w:rsidRPr="00222C32" w:rsidRDefault="000674DA">
            <w:pPr>
              <w:pStyle w:val="SummaryMeasureTitlewithTheme"/>
            </w:pPr>
            <w:r w:rsidRPr="00222C32">
              <w:t>Supporting the Australia New Zealand Leadership Forum</w:t>
            </w:r>
          </w:p>
        </w:tc>
        <w:tc>
          <w:tcPr>
            <w:tcW w:w="850" w:type="dxa"/>
            <w:vAlign w:val="bottom"/>
          </w:tcPr>
          <w:p w14:paraId="49A46E33" w14:textId="77777777" w:rsidR="00BB2CB4" w:rsidRPr="00222C32" w:rsidRDefault="000674DA">
            <w:pPr>
              <w:pStyle w:val="Summarytabletextrightaligned"/>
            </w:pPr>
            <w:r w:rsidRPr="00222C32">
              <w:t>-</w:t>
            </w:r>
          </w:p>
        </w:tc>
        <w:tc>
          <w:tcPr>
            <w:tcW w:w="850" w:type="dxa"/>
            <w:shd w:val="clear" w:color="auto" w:fill="E6F2FF"/>
            <w:vAlign w:val="bottom"/>
          </w:tcPr>
          <w:p w14:paraId="44247B2F" w14:textId="77777777" w:rsidR="00BB2CB4" w:rsidRPr="00222C32" w:rsidRDefault="000674DA">
            <w:pPr>
              <w:pStyle w:val="Summarytabletextrightaligned"/>
            </w:pPr>
            <w:r w:rsidRPr="00222C32">
              <w:t>-</w:t>
            </w:r>
          </w:p>
        </w:tc>
        <w:tc>
          <w:tcPr>
            <w:tcW w:w="850" w:type="dxa"/>
            <w:vAlign w:val="bottom"/>
          </w:tcPr>
          <w:p w14:paraId="4696A00D" w14:textId="77777777" w:rsidR="00BB2CB4" w:rsidRPr="00222C32" w:rsidRDefault="000674DA">
            <w:pPr>
              <w:pStyle w:val="Summarytabletextrightaligned"/>
            </w:pPr>
            <w:r w:rsidRPr="00222C32">
              <w:t>-</w:t>
            </w:r>
          </w:p>
        </w:tc>
        <w:tc>
          <w:tcPr>
            <w:tcW w:w="850" w:type="dxa"/>
            <w:vAlign w:val="bottom"/>
          </w:tcPr>
          <w:p w14:paraId="1B86F4BB" w14:textId="77777777" w:rsidR="00BB2CB4" w:rsidRPr="00222C32" w:rsidRDefault="000674DA">
            <w:pPr>
              <w:pStyle w:val="Summarytabletextrightaligned"/>
            </w:pPr>
            <w:r w:rsidRPr="00222C32">
              <w:t>-</w:t>
            </w:r>
          </w:p>
        </w:tc>
        <w:tc>
          <w:tcPr>
            <w:tcW w:w="850" w:type="dxa"/>
            <w:vAlign w:val="bottom"/>
          </w:tcPr>
          <w:p w14:paraId="236773E4" w14:textId="77777777" w:rsidR="00BB2CB4" w:rsidRPr="00222C32" w:rsidRDefault="000674DA">
            <w:pPr>
              <w:pStyle w:val="Summarytabletextrightaligned"/>
            </w:pPr>
            <w:r w:rsidRPr="00222C32">
              <w:t>-</w:t>
            </w:r>
          </w:p>
        </w:tc>
      </w:tr>
      <w:tr w:rsidR="00BB2CB4" w:rsidRPr="00222C32" w14:paraId="263B66CF" w14:textId="77777777" w:rsidTr="00825163">
        <w:tc>
          <w:tcPr>
            <w:tcW w:w="3471" w:type="dxa"/>
            <w:vAlign w:val="bottom"/>
          </w:tcPr>
          <w:p w14:paraId="6ACE8083" w14:textId="77777777" w:rsidR="00BB2CB4" w:rsidRPr="00222C32" w:rsidRDefault="000674DA">
            <w:pPr>
              <w:pStyle w:val="SummaryAgencyTitle-BP2"/>
            </w:pPr>
            <w:r w:rsidRPr="00222C32">
              <w:t>Export Finance and Insurance Corporation (National Interest component)</w:t>
            </w:r>
          </w:p>
        </w:tc>
        <w:tc>
          <w:tcPr>
            <w:tcW w:w="850" w:type="dxa"/>
          </w:tcPr>
          <w:p w14:paraId="0F25137C" w14:textId="77777777" w:rsidR="00BB2CB4" w:rsidRPr="00222C32" w:rsidRDefault="00BB2CB4">
            <w:pPr>
              <w:pStyle w:val="SummaryAgencyTitle-BP2"/>
            </w:pPr>
          </w:p>
        </w:tc>
        <w:tc>
          <w:tcPr>
            <w:tcW w:w="850" w:type="dxa"/>
            <w:shd w:val="clear" w:color="auto" w:fill="E6F2FF"/>
          </w:tcPr>
          <w:p w14:paraId="1C69331F" w14:textId="77777777" w:rsidR="00BB2CB4" w:rsidRPr="00222C32" w:rsidRDefault="00BB2CB4">
            <w:pPr>
              <w:pStyle w:val="SummaryAgencyTitle-BP2"/>
            </w:pPr>
          </w:p>
        </w:tc>
        <w:tc>
          <w:tcPr>
            <w:tcW w:w="850" w:type="dxa"/>
          </w:tcPr>
          <w:p w14:paraId="0ADAF326" w14:textId="77777777" w:rsidR="00BB2CB4" w:rsidRPr="00222C32" w:rsidRDefault="00BB2CB4">
            <w:pPr>
              <w:pStyle w:val="SummaryAgencyTitle-BP2"/>
            </w:pPr>
          </w:p>
        </w:tc>
        <w:tc>
          <w:tcPr>
            <w:tcW w:w="850" w:type="dxa"/>
          </w:tcPr>
          <w:p w14:paraId="0CAEA5D7" w14:textId="77777777" w:rsidR="00BB2CB4" w:rsidRPr="00222C32" w:rsidRDefault="00BB2CB4">
            <w:pPr>
              <w:pStyle w:val="SummaryAgencyTitle-BP2"/>
            </w:pPr>
          </w:p>
        </w:tc>
        <w:tc>
          <w:tcPr>
            <w:tcW w:w="850" w:type="dxa"/>
          </w:tcPr>
          <w:p w14:paraId="231CE2F4" w14:textId="77777777" w:rsidR="00BB2CB4" w:rsidRPr="00222C32" w:rsidRDefault="00BB2CB4">
            <w:pPr>
              <w:pStyle w:val="SummaryAgencyTitle-BP2"/>
            </w:pPr>
          </w:p>
        </w:tc>
      </w:tr>
      <w:tr w:rsidR="00BB2CB4" w:rsidRPr="00222C32" w14:paraId="1D3AECD7" w14:textId="77777777" w:rsidTr="00825163">
        <w:tc>
          <w:tcPr>
            <w:tcW w:w="3471" w:type="dxa"/>
            <w:vAlign w:val="bottom"/>
          </w:tcPr>
          <w:p w14:paraId="4FE3E791" w14:textId="77777777" w:rsidR="00BB2CB4" w:rsidRPr="00222C32" w:rsidRDefault="000674DA">
            <w:pPr>
              <w:pStyle w:val="SummaryMeasureTitlewithTheme"/>
            </w:pPr>
            <w:r w:rsidRPr="00222C32">
              <w:t>Southeast Asia Investment Financing Facility – equity transactions(b)</w:t>
            </w:r>
          </w:p>
        </w:tc>
        <w:tc>
          <w:tcPr>
            <w:tcW w:w="850" w:type="dxa"/>
            <w:tcBorders>
              <w:bottom w:val="single" w:sz="4" w:space="0" w:color="293F5B"/>
            </w:tcBorders>
            <w:vAlign w:val="bottom"/>
          </w:tcPr>
          <w:p w14:paraId="753793BE"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702BD9B4" w14:textId="77777777" w:rsidR="00BB2CB4" w:rsidRPr="00222C32" w:rsidRDefault="000674DA">
            <w:pPr>
              <w:pStyle w:val="Summarytabletextrightaligned"/>
              <w:rPr>
                <w:lang w:val="en-US"/>
              </w:rPr>
            </w:pPr>
            <w:r w:rsidRPr="69C11E82">
              <w:rPr>
                <w:lang w:val="en-US"/>
              </w:rPr>
              <w:t>nfp</w:t>
            </w:r>
          </w:p>
        </w:tc>
        <w:tc>
          <w:tcPr>
            <w:tcW w:w="850" w:type="dxa"/>
            <w:tcBorders>
              <w:bottom w:val="single" w:sz="4" w:space="0" w:color="293F5B"/>
            </w:tcBorders>
            <w:vAlign w:val="bottom"/>
          </w:tcPr>
          <w:p w14:paraId="5D4BCDFE" w14:textId="77777777" w:rsidR="00BB2CB4" w:rsidRPr="00222C32" w:rsidRDefault="000674DA">
            <w:pPr>
              <w:pStyle w:val="Summarytabletextrightaligned"/>
              <w:rPr>
                <w:lang w:val="en-US"/>
              </w:rPr>
            </w:pPr>
            <w:r w:rsidRPr="69C11E82">
              <w:rPr>
                <w:lang w:val="en-US"/>
              </w:rPr>
              <w:t>nfp</w:t>
            </w:r>
          </w:p>
        </w:tc>
        <w:tc>
          <w:tcPr>
            <w:tcW w:w="850" w:type="dxa"/>
            <w:tcBorders>
              <w:bottom w:val="single" w:sz="4" w:space="0" w:color="293F5B"/>
            </w:tcBorders>
            <w:vAlign w:val="bottom"/>
          </w:tcPr>
          <w:p w14:paraId="402A7000" w14:textId="77777777" w:rsidR="00BB2CB4" w:rsidRPr="00222C32" w:rsidRDefault="000674DA">
            <w:pPr>
              <w:pStyle w:val="Summarytabletextrightaligned"/>
              <w:rPr>
                <w:lang w:val="en-US"/>
              </w:rPr>
            </w:pPr>
            <w:r w:rsidRPr="69C11E82">
              <w:rPr>
                <w:lang w:val="en-US"/>
              </w:rPr>
              <w:t>nfp</w:t>
            </w:r>
          </w:p>
        </w:tc>
        <w:tc>
          <w:tcPr>
            <w:tcW w:w="850" w:type="dxa"/>
            <w:tcBorders>
              <w:bottom w:val="single" w:sz="4" w:space="0" w:color="293F5B"/>
            </w:tcBorders>
            <w:vAlign w:val="bottom"/>
          </w:tcPr>
          <w:p w14:paraId="37178AF7" w14:textId="77777777" w:rsidR="00BB2CB4" w:rsidRPr="00222C32" w:rsidRDefault="000674DA">
            <w:pPr>
              <w:pStyle w:val="Summarytabletextrightaligned"/>
              <w:rPr>
                <w:lang w:val="en-US"/>
              </w:rPr>
            </w:pPr>
            <w:r w:rsidRPr="69C11E82">
              <w:rPr>
                <w:lang w:val="en-US"/>
              </w:rPr>
              <w:t>nfp</w:t>
            </w:r>
          </w:p>
        </w:tc>
      </w:tr>
      <w:tr w:rsidR="00BB2CB4" w:rsidRPr="00222C32" w14:paraId="58F72AF9" w14:textId="77777777" w:rsidTr="00825163">
        <w:tc>
          <w:tcPr>
            <w:tcW w:w="3471" w:type="dxa"/>
            <w:vAlign w:val="bottom"/>
          </w:tcPr>
          <w:p w14:paraId="789CB60A"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2F0097D8"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4CDF6D6" w14:textId="77777777" w:rsidR="00BB2CB4" w:rsidRPr="00222C32" w:rsidRDefault="000674DA">
            <w:pPr>
              <w:pStyle w:val="Summarytabletextrightalignedbold"/>
            </w:pPr>
            <w:r w:rsidRPr="00222C32">
              <w:t>52.4</w:t>
            </w:r>
          </w:p>
        </w:tc>
        <w:tc>
          <w:tcPr>
            <w:tcW w:w="850" w:type="dxa"/>
            <w:tcBorders>
              <w:top w:val="single" w:sz="4" w:space="0" w:color="293F5B"/>
              <w:bottom w:val="single" w:sz="4" w:space="0" w:color="293F5B"/>
            </w:tcBorders>
            <w:vAlign w:val="bottom"/>
          </w:tcPr>
          <w:p w14:paraId="2C834084" w14:textId="77777777" w:rsidR="00BB2CB4" w:rsidRPr="00222C32" w:rsidRDefault="000674DA">
            <w:pPr>
              <w:pStyle w:val="Summarytabletextrightalignedbold"/>
            </w:pPr>
            <w:r w:rsidRPr="00222C32">
              <w:t>33.2</w:t>
            </w:r>
          </w:p>
        </w:tc>
        <w:tc>
          <w:tcPr>
            <w:tcW w:w="850" w:type="dxa"/>
            <w:tcBorders>
              <w:top w:val="single" w:sz="4" w:space="0" w:color="293F5B"/>
              <w:bottom w:val="single" w:sz="4" w:space="0" w:color="293F5B"/>
            </w:tcBorders>
            <w:vAlign w:val="bottom"/>
          </w:tcPr>
          <w:p w14:paraId="424EDA73" w14:textId="77777777" w:rsidR="00BB2CB4" w:rsidRPr="00222C32" w:rsidRDefault="000674DA">
            <w:pPr>
              <w:pStyle w:val="Summarytabletextrightalignedbold"/>
            </w:pPr>
            <w:r w:rsidRPr="00222C32">
              <w:t>3.0</w:t>
            </w:r>
          </w:p>
        </w:tc>
        <w:tc>
          <w:tcPr>
            <w:tcW w:w="850" w:type="dxa"/>
            <w:tcBorders>
              <w:top w:val="single" w:sz="4" w:space="0" w:color="293F5B"/>
              <w:bottom w:val="single" w:sz="4" w:space="0" w:color="293F5B"/>
            </w:tcBorders>
            <w:vAlign w:val="bottom"/>
          </w:tcPr>
          <w:p w14:paraId="661F4717" w14:textId="77777777" w:rsidR="00BB2CB4" w:rsidRPr="00222C32" w:rsidRDefault="000674DA">
            <w:pPr>
              <w:pStyle w:val="Summarytabletextrightalignedbold"/>
            </w:pPr>
            <w:r w:rsidRPr="00222C32">
              <w:t>-</w:t>
            </w:r>
          </w:p>
        </w:tc>
      </w:tr>
      <w:tr w:rsidR="00BB2CB4" w:rsidRPr="00222C32" w14:paraId="57CE4019" w14:textId="77777777" w:rsidTr="00825163">
        <w:tc>
          <w:tcPr>
            <w:tcW w:w="3471" w:type="dxa"/>
            <w:vAlign w:val="bottom"/>
          </w:tcPr>
          <w:p w14:paraId="1D3888B2" w14:textId="77777777" w:rsidR="00BB2CB4" w:rsidRPr="00222C32" w:rsidRDefault="000674DA">
            <w:pPr>
              <w:pStyle w:val="SummaryPortfolioTitle-BP2"/>
            </w:pPr>
            <w:r w:rsidRPr="00222C32">
              <w:t>HEALTH, DISABILITY AND AGEING</w:t>
            </w:r>
          </w:p>
        </w:tc>
        <w:tc>
          <w:tcPr>
            <w:tcW w:w="850" w:type="dxa"/>
            <w:tcBorders>
              <w:top w:val="single" w:sz="4" w:space="0" w:color="293F5B"/>
            </w:tcBorders>
          </w:tcPr>
          <w:p w14:paraId="1CE0E045"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7A08751B" w14:textId="77777777" w:rsidR="00BB2CB4" w:rsidRPr="00222C32" w:rsidRDefault="00BB2CB4">
            <w:pPr>
              <w:pStyle w:val="MeasureTableTextRightAlignedBefore6ptAfter1pt"/>
            </w:pPr>
          </w:p>
        </w:tc>
        <w:tc>
          <w:tcPr>
            <w:tcW w:w="850" w:type="dxa"/>
            <w:tcBorders>
              <w:top w:val="single" w:sz="4" w:space="0" w:color="293F5B"/>
            </w:tcBorders>
          </w:tcPr>
          <w:p w14:paraId="318175EF" w14:textId="77777777" w:rsidR="00BB2CB4" w:rsidRPr="00222C32" w:rsidRDefault="00BB2CB4">
            <w:pPr>
              <w:pStyle w:val="MeasureTableTextRightAlignedBefore6ptAfter1pt"/>
            </w:pPr>
          </w:p>
        </w:tc>
        <w:tc>
          <w:tcPr>
            <w:tcW w:w="850" w:type="dxa"/>
            <w:tcBorders>
              <w:top w:val="single" w:sz="4" w:space="0" w:color="293F5B"/>
            </w:tcBorders>
          </w:tcPr>
          <w:p w14:paraId="4E9625AB" w14:textId="77777777" w:rsidR="00BB2CB4" w:rsidRPr="00222C32" w:rsidRDefault="00BB2CB4">
            <w:pPr>
              <w:pStyle w:val="MeasureTableTextRightAlignedBefore6ptAfter1pt"/>
            </w:pPr>
          </w:p>
        </w:tc>
        <w:tc>
          <w:tcPr>
            <w:tcW w:w="850" w:type="dxa"/>
            <w:tcBorders>
              <w:top w:val="single" w:sz="4" w:space="0" w:color="293F5B"/>
            </w:tcBorders>
          </w:tcPr>
          <w:p w14:paraId="712FF4C6" w14:textId="77777777" w:rsidR="00BB2CB4" w:rsidRPr="00222C32" w:rsidRDefault="00BB2CB4">
            <w:pPr>
              <w:pStyle w:val="MeasureTableTextRightAlignedBefore6ptAfter1pt"/>
            </w:pPr>
          </w:p>
        </w:tc>
      </w:tr>
      <w:tr w:rsidR="00BB2CB4" w:rsidRPr="00222C32" w14:paraId="779170CD" w14:textId="77777777" w:rsidTr="00825163">
        <w:tc>
          <w:tcPr>
            <w:tcW w:w="3471" w:type="dxa"/>
            <w:vAlign w:val="bottom"/>
          </w:tcPr>
          <w:p w14:paraId="1E7DD5C7" w14:textId="77777777" w:rsidR="00BB2CB4" w:rsidRPr="00222C32" w:rsidRDefault="000674DA">
            <w:pPr>
              <w:pStyle w:val="SummaryAgencyTitle-BP2"/>
            </w:pPr>
            <w:r w:rsidRPr="00222C32">
              <w:t>Aged Care Quality and Safety Commission</w:t>
            </w:r>
          </w:p>
        </w:tc>
        <w:tc>
          <w:tcPr>
            <w:tcW w:w="850" w:type="dxa"/>
          </w:tcPr>
          <w:p w14:paraId="5C7EECD6" w14:textId="77777777" w:rsidR="00BB2CB4" w:rsidRPr="00222C32" w:rsidRDefault="00BB2CB4">
            <w:pPr>
              <w:pStyle w:val="SummaryAgencyTitle-BP2"/>
            </w:pPr>
          </w:p>
        </w:tc>
        <w:tc>
          <w:tcPr>
            <w:tcW w:w="850" w:type="dxa"/>
            <w:shd w:val="clear" w:color="auto" w:fill="E6F2FF"/>
          </w:tcPr>
          <w:p w14:paraId="0C50BAC4" w14:textId="77777777" w:rsidR="00BB2CB4" w:rsidRPr="00222C32" w:rsidRDefault="00BB2CB4">
            <w:pPr>
              <w:pStyle w:val="SummaryAgencyTitle-BP2"/>
            </w:pPr>
          </w:p>
        </w:tc>
        <w:tc>
          <w:tcPr>
            <w:tcW w:w="850" w:type="dxa"/>
          </w:tcPr>
          <w:p w14:paraId="1019AFB2" w14:textId="77777777" w:rsidR="00BB2CB4" w:rsidRPr="00222C32" w:rsidRDefault="00BB2CB4">
            <w:pPr>
              <w:pStyle w:val="SummaryAgencyTitle-BP2"/>
            </w:pPr>
          </w:p>
        </w:tc>
        <w:tc>
          <w:tcPr>
            <w:tcW w:w="850" w:type="dxa"/>
          </w:tcPr>
          <w:p w14:paraId="447605DF" w14:textId="77777777" w:rsidR="00BB2CB4" w:rsidRPr="00222C32" w:rsidRDefault="00BB2CB4">
            <w:pPr>
              <w:pStyle w:val="SummaryAgencyTitle-BP2"/>
            </w:pPr>
          </w:p>
        </w:tc>
        <w:tc>
          <w:tcPr>
            <w:tcW w:w="850" w:type="dxa"/>
          </w:tcPr>
          <w:p w14:paraId="7ECC1D6A" w14:textId="77777777" w:rsidR="00BB2CB4" w:rsidRPr="00222C32" w:rsidRDefault="00BB2CB4">
            <w:pPr>
              <w:pStyle w:val="SummaryAgencyTitle-BP2"/>
            </w:pPr>
          </w:p>
        </w:tc>
      </w:tr>
      <w:tr w:rsidR="00BB2CB4" w:rsidRPr="00222C32" w14:paraId="3DC01F2B" w14:textId="77777777" w:rsidTr="00825163">
        <w:tc>
          <w:tcPr>
            <w:tcW w:w="3471" w:type="dxa"/>
            <w:vAlign w:val="bottom"/>
          </w:tcPr>
          <w:p w14:paraId="21A16E12" w14:textId="77777777" w:rsidR="00BB2CB4" w:rsidRPr="00222C32" w:rsidRDefault="000674DA">
            <w:pPr>
              <w:pStyle w:val="SummaryMeasureTitlewithTheme"/>
            </w:pPr>
            <w:r w:rsidRPr="00222C32">
              <w:t>Improving Residential Aged Care</w:t>
            </w:r>
          </w:p>
        </w:tc>
        <w:tc>
          <w:tcPr>
            <w:tcW w:w="850" w:type="dxa"/>
            <w:vAlign w:val="bottom"/>
          </w:tcPr>
          <w:p w14:paraId="49087D48" w14:textId="77777777" w:rsidR="00BB2CB4" w:rsidRPr="00222C32" w:rsidRDefault="000674DA">
            <w:pPr>
              <w:pStyle w:val="Summarytabletextrightaligned"/>
            </w:pPr>
            <w:r w:rsidRPr="00222C32">
              <w:t>-</w:t>
            </w:r>
          </w:p>
        </w:tc>
        <w:tc>
          <w:tcPr>
            <w:tcW w:w="850" w:type="dxa"/>
            <w:shd w:val="clear" w:color="auto" w:fill="E6F2FF"/>
            <w:vAlign w:val="bottom"/>
          </w:tcPr>
          <w:p w14:paraId="65BB1DB4" w14:textId="77777777" w:rsidR="00BB2CB4" w:rsidRPr="00222C32" w:rsidRDefault="000674DA">
            <w:pPr>
              <w:pStyle w:val="Summarytabletextrightaligned"/>
            </w:pPr>
            <w:r w:rsidRPr="00222C32">
              <w:t>2.7</w:t>
            </w:r>
          </w:p>
        </w:tc>
        <w:tc>
          <w:tcPr>
            <w:tcW w:w="850" w:type="dxa"/>
            <w:vAlign w:val="bottom"/>
          </w:tcPr>
          <w:p w14:paraId="566F6778" w14:textId="77777777" w:rsidR="00BB2CB4" w:rsidRPr="00222C32" w:rsidRDefault="000674DA">
            <w:pPr>
              <w:pStyle w:val="Summarytabletextrightaligned"/>
            </w:pPr>
            <w:r w:rsidRPr="00222C32">
              <w:t>-</w:t>
            </w:r>
          </w:p>
        </w:tc>
        <w:tc>
          <w:tcPr>
            <w:tcW w:w="850" w:type="dxa"/>
            <w:vAlign w:val="bottom"/>
          </w:tcPr>
          <w:p w14:paraId="0AE141B6" w14:textId="77777777" w:rsidR="00BB2CB4" w:rsidRPr="00222C32" w:rsidRDefault="000674DA">
            <w:pPr>
              <w:pStyle w:val="Summarytabletextrightaligned"/>
            </w:pPr>
            <w:r w:rsidRPr="00222C32">
              <w:t>-</w:t>
            </w:r>
          </w:p>
        </w:tc>
        <w:tc>
          <w:tcPr>
            <w:tcW w:w="850" w:type="dxa"/>
            <w:vAlign w:val="bottom"/>
          </w:tcPr>
          <w:p w14:paraId="7EA291CB" w14:textId="77777777" w:rsidR="00BB2CB4" w:rsidRPr="00222C32" w:rsidRDefault="000674DA">
            <w:pPr>
              <w:pStyle w:val="Summarytabletextrightaligned"/>
            </w:pPr>
            <w:r w:rsidRPr="00222C32">
              <w:t>-</w:t>
            </w:r>
          </w:p>
        </w:tc>
      </w:tr>
      <w:tr w:rsidR="00BB2CB4" w:rsidRPr="00222C32" w14:paraId="64DB937A" w14:textId="77777777" w:rsidTr="00825163">
        <w:tc>
          <w:tcPr>
            <w:tcW w:w="3471" w:type="dxa"/>
            <w:vAlign w:val="bottom"/>
          </w:tcPr>
          <w:p w14:paraId="0E78895E" w14:textId="77777777" w:rsidR="00BB2CB4" w:rsidRPr="00222C32" w:rsidRDefault="000674DA">
            <w:pPr>
              <w:pStyle w:val="SummaryAgencyTitle-BP2"/>
            </w:pPr>
            <w:r w:rsidRPr="00222C32">
              <w:t>Australian Digital Health Agency</w:t>
            </w:r>
          </w:p>
        </w:tc>
        <w:tc>
          <w:tcPr>
            <w:tcW w:w="850" w:type="dxa"/>
          </w:tcPr>
          <w:p w14:paraId="413A9F55" w14:textId="77777777" w:rsidR="00BB2CB4" w:rsidRPr="00222C32" w:rsidRDefault="00BB2CB4">
            <w:pPr>
              <w:pStyle w:val="SummaryAgencyTitle-BP2"/>
            </w:pPr>
          </w:p>
        </w:tc>
        <w:tc>
          <w:tcPr>
            <w:tcW w:w="850" w:type="dxa"/>
            <w:shd w:val="clear" w:color="auto" w:fill="E6F2FF"/>
          </w:tcPr>
          <w:p w14:paraId="00FF64F6" w14:textId="77777777" w:rsidR="00BB2CB4" w:rsidRPr="00222C32" w:rsidRDefault="00BB2CB4">
            <w:pPr>
              <w:pStyle w:val="SummaryAgencyTitle-BP2"/>
            </w:pPr>
          </w:p>
        </w:tc>
        <w:tc>
          <w:tcPr>
            <w:tcW w:w="850" w:type="dxa"/>
          </w:tcPr>
          <w:p w14:paraId="60D0E61D" w14:textId="77777777" w:rsidR="00BB2CB4" w:rsidRPr="00222C32" w:rsidRDefault="00BB2CB4">
            <w:pPr>
              <w:pStyle w:val="SummaryAgencyTitle-BP2"/>
            </w:pPr>
          </w:p>
        </w:tc>
        <w:tc>
          <w:tcPr>
            <w:tcW w:w="850" w:type="dxa"/>
          </w:tcPr>
          <w:p w14:paraId="4918E1F1" w14:textId="77777777" w:rsidR="00BB2CB4" w:rsidRPr="00222C32" w:rsidRDefault="00BB2CB4">
            <w:pPr>
              <w:pStyle w:val="SummaryAgencyTitle-BP2"/>
            </w:pPr>
          </w:p>
        </w:tc>
        <w:tc>
          <w:tcPr>
            <w:tcW w:w="850" w:type="dxa"/>
          </w:tcPr>
          <w:p w14:paraId="5AA0C612" w14:textId="77777777" w:rsidR="00BB2CB4" w:rsidRPr="00222C32" w:rsidRDefault="00BB2CB4">
            <w:pPr>
              <w:pStyle w:val="SummaryAgencyTitle-BP2"/>
            </w:pPr>
          </w:p>
        </w:tc>
      </w:tr>
      <w:tr w:rsidR="00BB2CB4" w:rsidRPr="00222C32" w14:paraId="4F71ABCA" w14:textId="77777777" w:rsidTr="00825163">
        <w:tc>
          <w:tcPr>
            <w:tcW w:w="3471" w:type="dxa"/>
            <w:vAlign w:val="bottom"/>
          </w:tcPr>
          <w:p w14:paraId="56B5A196" w14:textId="77777777" w:rsidR="00BB2CB4" w:rsidRPr="00222C32" w:rsidRDefault="000674DA">
            <w:pPr>
              <w:pStyle w:val="SummaryMeasureTitlewithTheme"/>
            </w:pPr>
            <w:r w:rsidRPr="00222C32">
              <w:t>Health Research, Systems and Data</w:t>
            </w:r>
          </w:p>
        </w:tc>
        <w:tc>
          <w:tcPr>
            <w:tcW w:w="850" w:type="dxa"/>
            <w:vAlign w:val="bottom"/>
          </w:tcPr>
          <w:p w14:paraId="1104D169" w14:textId="77777777" w:rsidR="00BB2CB4" w:rsidRPr="00222C32" w:rsidRDefault="000674DA">
            <w:pPr>
              <w:pStyle w:val="Summarytabletextrightaligned"/>
            </w:pPr>
            <w:r w:rsidRPr="00222C32">
              <w:t>-</w:t>
            </w:r>
          </w:p>
        </w:tc>
        <w:tc>
          <w:tcPr>
            <w:tcW w:w="850" w:type="dxa"/>
            <w:shd w:val="clear" w:color="auto" w:fill="E6F2FF"/>
            <w:vAlign w:val="bottom"/>
          </w:tcPr>
          <w:p w14:paraId="00E25B6D" w14:textId="77777777" w:rsidR="00BB2CB4" w:rsidRPr="00222C32" w:rsidRDefault="000674DA">
            <w:pPr>
              <w:pStyle w:val="Summarytabletextrightaligned"/>
            </w:pPr>
            <w:r w:rsidRPr="00222C32">
              <w:t>1.1</w:t>
            </w:r>
          </w:p>
        </w:tc>
        <w:tc>
          <w:tcPr>
            <w:tcW w:w="850" w:type="dxa"/>
            <w:vAlign w:val="bottom"/>
          </w:tcPr>
          <w:p w14:paraId="06DA1382" w14:textId="77777777" w:rsidR="00BB2CB4" w:rsidRPr="00222C32" w:rsidRDefault="000674DA">
            <w:pPr>
              <w:pStyle w:val="Summarytabletextrightaligned"/>
            </w:pPr>
            <w:r w:rsidRPr="00222C32">
              <w:t>0.5</w:t>
            </w:r>
          </w:p>
        </w:tc>
        <w:tc>
          <w:tcPr>
            <w:tcW w:w="850" w:type="dxa"/>
            <w:vAlign w:val="bottom"/>
          </w:tcPr>
          <w:p w14:paraId="772B0A76" w14:textId="77777777" w:rsidR="00BB2CB4" w:rsidRPr="00222C32" w:rsidRDefault="000674DA">
            <w:pPr>
              <w:pStyle w:val="Summarytabletextrightaligned"/>
            </w:pPr>
            <w:r w:rsidRPr="00222C32">
              <w:t>-</w:t>
            </w:r>
          </w:p>
        </w:tc>
        <w:tc>
          <w:tcPr>
            <w:tcW w:w="850" w:type="dxa"/>
            <w:vAlign w:val="bottom"/>
          </w:tcPr>
          <w:p w14:paraId="493D4AF6" w14:textId="77777777" w:rsidR="00BB2CB4" w:rsidRPr="00222C32" w:rsidRDefault="000674DA">
            <w:pPr>
              <w:pStyle w:val="Summarytabletextrightaligned"/>
            </w:pPr>
            <w:r w:rsidRPr="00222C32">
              <w:t>-</w:t>
            </w:r>
          </w:p>
        </w:tc>
      </w:tr>
      <w:tr w:rsidR="00BB2CB4" w:rsidRPr="00222C32" w14:paraId="3B389EAF" w14:textId="77777777" w:rsidTr="00825163">
        <w:tc>
          <w:tcPr>
            <w:tcW w:w="3471" w:type="dxa"/>
            <w:vAlign w:val="bottom"/>
          </w:tcPr>
          <w:p w14:paraId="56D837DA" w14:textId="77777777" w:rsidR="00BB2CB4" w:rsidRPr="00222C32" w:rsidRDefault="000674DA">
            <w:pPr>
              <w:pStyle w:val="SummaryMeasureTitlewithTheme"/>
            </w:pPr>
            <w:r w:rsidRPr="00222C32">
              <w:t>Strengthening Medicare – establishing 1800MEDICARE and Medicare Urgent Care Clinics additional support</w:t>
            </w:r>
          </w:p>
        </w:tc>
        <w:tc>
          <w:tcPr>
            <w:tcW w:w="850" w:type="dxa"/>
            <w:vAlign w:val="bottom"/>
          </w:tcPr>
          <w:p w14:paraId="3FE38D5F" w14:textId="77777777" w:rsidR="00BB2CB4" w:rsidRPr="00222C32" w:rsidRDefault="000674DA">
            <w:pPr>
              <w:pStyle w:val="Summarytabletextrightaligned"/>
            </w:pPr>
            <w:r w:rsidRPr="00222C32">
              <w:t>-</w:t>
            </w:r>
          </w:p>
        </w:tc>
        <w:tc>
          <w:tcPr>
            <w:tcW w:w="850" w:type="dxa"/>
            <w:shd w:val="clear" w:color="auto" w:fill="E6F2FF"/>
            <w:vAlign w:val="bottom"/>
          </w:tcPr>
          <w:p w14:paraId="17B353ED" w14:textId="77777777" w:rsidR="00BB2CB4" w:rsidRPr="00222C32" w:rsidRDefault="000674DA">
            <w:pPr>
              <w:pStyle w:val="Summarytabletextrightaligned"/>
            </w:pPr>
            <w:r w:rsidRPr="00222C32">
              <w:t>5.0</w:t>
            </w:r>
          </w:p>
        </w:tc>
        <w:tc>
          <w:tcPr>
            <w:tcW w:w="850" w:type="dxa"/>
            <w:vAlign w:val="bottom"/>
          </w:tcPr>
          <w:p w14:paraId="55A7597A" w14:textId="77777777" w:rsidR="00BB2CB4" w:rsidRPr="00222C32" w:rsidRDefault="000674DA">
            <w:pPr>
              <w:pStyle w:val="Summarytabletextrightaligned"/>
            </w:pPr>
            <w:r w:rsidRPr="00222C32">
              <w:t>-</w:t>
            </w:r>
          </w:p>
        </w:tc>
        <w:tc>
          <w:tcPr>
            <w:tcW w:w="850" w:type="dxa"/>
            <w:vAlign w:val="bottom"/>
          </w:tcPr>
          <w:p w14:paraId="102087DF" w14:textId="77777777" w:rsidR="00BB2CB4" w:rsidRPr="00222C32" w:rsidRDefault="000674DA">
            <w:pPr>
              <w:pStyle w:val="Summarytabletextrightaligned"/>
            </w:pPr>
            <w:r w:rsidRPr="00222C32">
              <w:t>-</w:t>
            </w:r>
          </w:p>
        </w:tc>
        <w:tc>
          <w:tcPr>
            <w:tcW w:w="850" w:type="dxa"/>
            <w:vAlign w:val="bottom"/>
          </w:tcPr>
          <w:p w14:paraId="4B0934BA" w14:textId="77777777" w:rsidR="00BB2CB4" w:rsidRPr="00222C32" w:rsidRDefault="000674DA">
            <w:pPr>
              <w:pStyle w:val="Summarytabletextrightaligned"/>
            </w:pPr>
            <w:r w:rsidRPr="00222C32">
              <w:t>-</w:t>
            </w:r>
          </w:p>
        </w:tc>
      </w:tr>
      <w:tr w:rsidR="00BB2CB4" w:rsidRPr="00222C32" w14:paraId="32FF49EA" w14:textId="77777777" w:rsidTr="00825163">
        <w:tc>
          <w:tcPr>
            <w:tcW w:w="3471" w:type="dxa"/>
            <w:vAlign w:val="bottom"/>
          </w:tcPr>
          <w:p w14:paraId="062C749F" w14:textId="77777777" w:rsidR="00BB2CB4" w:rsidRPr="00222C32" w:rsidRDefault="000674DA">
            <w:pPr>
              <w:pStyle w:val="SummaryAgencyTitle-BP2"/>
            </w:pPr>
            <w:r w:rsidRPr="00222C32">
              <w:t>Cancer Australia</w:t>
            </w:r>
          </w:p>
        </w:tc>
        <w:tc>
          <w:tcPr>
            <w:tcW w:w="850" w:type="dxa"/>
          </w:tcPr>
          <w:p w14:paraId="7282B174" w14:textId="77777777" w:rsidR="00BB2CB4" w:rsidRPr="00222C32" w:rsidRDefault="00BB2CB4">
            <w:pPr>
              <w:pStyle w:val="SummaryAgencyTitle-BP2"/>
            </w:pPr>
          </w:p>
        </w:tc>
        <w:tc>
          <w:tcPr>
            <w:tcW w:w="850" w:type="dxa"/>
            <w:shd w:val="clear" w:color="auto" w:fill="E6F2FF"/>
          </w:tcPr>
          <w:p w14:paraId="1ADEAA1A" w14:textId="77777777" w:rsidR="00BB2CB4" w:rsidRPr="00222C32" w:rsidRDefault="00BB2CB4">
            <w:pPr>
              <w:pStyle w:val="SummaryAgencyTitle-BP2"/>
            </w:pPr>
          </w:p>
        </w:tc>
        <w:tc>
          <w:tcPr>
            <w:tcW w:w="850" w:type="dxa"/>
          </w:tcPr>
          <w:p w14:paraId="6B305DC4" w14:textId="77777777" w:rsidR="00BB2CB4" w:rsidRPr="00222C32" w:rsidRDefault="00BB2CB4">
            <w:pPr>
              <w:pStyle w:val="SummaryAgencyTitle-BP2"/>
            </w:pPr>
          </w:p>
        </w:tc>
        <w:tc>
          <w:tcPr>
            <w:tcW w:w="850" w:type="dxa"/>
          </w:tcPr>
          <w:p w14:paraId="398A1C7E" w14:textId="77777777" w:rsidR="00BB2CB4" w:rsidRPr="00222C32" w:rsidRDefault="00BB2CB4">
            <w:pPr>
              <w:pStyle w:val="SummaryAgencyTitle-BP2"/>
            </w:pPr>
          </w:p>
        </w:tc>
        <w:tc>
          <w:tcPr>
            <w:tcW w:w="850" w:type="dxa"/>
          </w:tcPr>
          <w:p w14:paraId="0273E405" w14:textId="77777777" w:rsidR="00BB2CB4" w:rsidRPr="00222C32" w:rsidRDefault="00BB2CB4">
            <w:pPr>
              <w:pStyle w:val="SummaryAgencyTitle-BP2"/>
            </w:pPr>
          </w:p>
        </w:tc>
      </w:tr>
      <w:tr w:rsidR="00BB2CB4" w:rsidRPr="00222C32" w14:paraId="119A8472" w14:textId="77777777" w:rsidTr="00825163">
        <w:tc>
          <w:tcPr>
            <w:tcW w:w="3471" w:type="dxa"/>
            <w:vAlign w:val="bottom"/>
          </w:tcPr>
          <w:p w14:paraId="06C37566" w14:textId="77777777" w:rsidR="00BB2CB4" w:rsidRPr="00222C32" w:rsidRDefault="000674DA">
            <w:pPr>
              <w:pStyle w:val="SummaryMeasureTitlewithTheme"/>
            </w:pPr>
            <w:r w:rsidRPr="00222C32">
              <w:t>Health Research, Systems and Data</w:t>
            </w:r>
          </w:p>
        </w:tc>
        <w:tc>
          <w:tcPr>
            <w:tcW w:w="850" w:type="dxa"/>
            <w:vAlign w:val="bottom"/>
          </w:tcPr>
          <w:p w14:paraId="137B76F1" w14:textId="77777777" w:rsidR="00BB2CB4" w:rsidRPr="00222C32" w:rsidRDefault="000674DA">
            <w:pPr>
              <w:pStyle w:val="Summarytabletextrightaligned"/>
            </w:pPr>
            <w:r w:rsidRPr="00222C32">
              <w:t>-</w:t>
            </w:r>
          </w:p>
        </w:tc>
        <w:tc>
          <w:tcPr>
            <w:tcW w:w="850" w:type="dxa"/>
            <w:shd w:val="clear" w:color="auto" w:fill="E6F2FF"/>
            <w:vAlign w:val="bottom"/>
          </w:tcPr>
          <w:p w14:paraId="028EA776" w14:textId="77777777" w:rsidR="00BB2CB4" w:rsidRPr="00222C32" w:rsidRDefault="000674DA">
            <w:pPr>
              <w:pStyle w:val="Summarytabletextrightaligned"/>
            </w:pPr>
            <w:r w:rsidRPr="00222C32">
              <w:t>1.2</w:t>
            </w:r>
          </w:p>
        </w:tc>
        <w:tc>
          <w:tcPr>
            <w:tcW w:w="850" w:type="dxa"/>
            <w:vAlign w:val="bottom"/>
          </w:tcPr>
          <w:p w14:paraId="35BB1E47" w14:textId="77777777" w:rsidR="00BB2CB4" w:rsidRPr="00222C32" w:rsidRDefault="000674DA">
            <w:pPr>
              <w:pStyle w:val="Summarytabletextrightaligned"/>
            </w:pPr>
            <w:r w:rsidRPr="00222C32">
              <w:t>1.2</w:t>
            </w:r>
          </w:p>
        </w:tc>
        <w:tc>
          <w:tcPr>
            <w:tcW w:w="850" w:type="dxa"/>
            <w:vAlign w:val="bottom"/>
          </w:tcPr>
          <w:p w14:paraId="66855D6A" w14:textId="77777777" w:rsidR="00BB2CB4" w:rsidRPr="00222C32" w:rsidRDefault="000674DA">
            <w:pPr>
              <w:pStyle w:val="Summarytabletextrightaligned"/>
            </w:pPr>
            <w:r w:rsidRPr="00222C32">
              <w:t>1.2</w:t>
            </w:r>
          </w:p>
        </w:tc>
        <w:tc>
          <w:tcPr>
            <w:tcW w:w="850" w:type="dxa"/>
            <w:vAlign w:val="bottom"/>
          </w:tcPr>
          <w:p w14:paraId="255D9143" w14:textId="77777777" w:rsidR="00BB2CB4" w:rsidRPr="00222C32" w:rsidRDefault="000674DA">
            <w:pPr>
              <w:pStyle w:val="Summarytabletextrightaligned"/>
            </w:pPr>
            <w:r w:rsidRPr="00222C32">
              <w:t>1.2</w:t>
            </w:r>
          </w:p>
        </w:tc>
      </w:tr>
      <w:tr w:rsidR="00BB2CB4" w:rsidRPr="00222C32" w14:paraId="21A34A9F" w14:textId="77777777" w:rsidTr="00825163">
        <w:tc>
          <w:tcPr>
            <w:tcW w:w="3471" w:type="dxa"/>
            <w:vAlign w:val="bottom"/>
          </w:tcPr>
          <w:p w14:paraId="6FD7B95E" w14:textId="77777777" w:rsidR="00BB2CB4" w:rsidRPr="00222C32" w:rsidRDefault="000674DA">
            <w:pPr>
              <w:pStyle w:val="SummaryAgencyTitle-BP2"/>
            </w:pPr>
            <w:r w:rsidRPr="00222C32">
              <w:t>Department of Health, Disability and Ageing</w:t>
            </w:r>
          </w:p>
        </w:tc>
        <w:tc>
          <w:tcPr>
            <w:tcW w:w="850" w:type="dxa"/>
          </w:tcPr>
          <w:p w14:paraId="41EF2E94" w14:textId="77777777" w:rsidR="00BB2CB4" w:rsidRPr="00222C32" w:rsidRDefault="00BB2CB4">
            <w:pPr>
              <w:pStyle w:val="SummaryAgencyTitle-BP2"/>
            </w:pPr>
          </w:p>
        </w:tc>
        <w:tc>
          <w:tcPr>
            <w:tcW w:w="850" w:type="dxa"/>
            <w:shd w:val="clear" w:color="auto" w:fill="E6F2FF"/>
          </w:tcPr>
          <w:p w14:paraId="0FDABF1B" w14:textId="77777777" w:rsidR="00BB2CB4" w:rsidRPr="00222C32" w:rsidRDefault="00BB2CB4">
            <w:pPr>
              <w:pStyle w:val="SummaryAgencyTitle-BP2"/>
            </w:pPr>
          </w:p>
        </w:tc>
        <w:tc>
          <w:tcPr>
            <w:tcW w:w="850" w:type="dxa"/>
          </w:tcPr>
          <w:p w14:paraId="55E23265" w14:textId="77777777" w:rsidR="00BB2CB4" w:rsidRPr="00222C32" w:rsidRDefault="00BB2CB4">
            <w:pPr>
              <w:pStyle w:val="SummaryAgencyTitle-BP2"/>
            </w:pPr>
          </w:p>
        </w:tc>
        <w:tc>
          <w:tcPr>
            <w:tcW w:w="850" w:type="dxa"/>
          </w:tcPr>
          <w:p w14:paraId="61B42062" w14:textId="77777777" w:rsidR="00BB2CB4" w:rsidRPr="00222C32" w:rsidRDefault="00BB2CB4">
            <w:pPr>
              <w:pStyle w:val="SummaryAgencyTitle-BP2"/>
            </w:pPr>
          </w:p>
        </w:tc>
        <w:tc>
          <w:tcPr>
            <w:tcW w:w="850" w:type="dxa"/>
          </w:tcPr>
          <w:p w14:paraId="564B4BAF" w14:textId="77777777" w:rsidR="00BB2CB4" w:rsidRPr="00222C32" w:rsidRDefault="00BB2CB4">
            <w:pPr>
              <w:pStyle w:val="SummaryAgencyTitle-BP2"/>
            </w:pPr>
          </w:p>
        </w:tc>
      </w:tr>
      <w:tr w:rsidR="00BB2CB4" w:rsidRPr="00222C32" w14:paraId="3366662D" w14:textId="77777777" w:rsidTr="00825163">
        <w:tc>
          <w:tcPr>
            <w:tcW w:w="3471" w:type="dxa"/>
            <w:vAlign w:val="bottom"/>
          </w:tcPr>
          <w:p w14:paraId="10728BA2" w14:textId="77777777" w:rsidR="00BB2CB4" w:rsidRPr="00222C32" w:rsidRDefault="000674DA">
            <w:pPr>
              <w:pStyle w:val="SummaryMeasureTitlewithTheme"/>
            </w:pPr>
            <w:r w:rsidRPr="00222C32">
              <w:t>ACT Primary Care and Aged Care Package</w:t>
            </w:r>
          </w:p>
        </w:tc>
        <w:tc>
          <w:tcPr>
            <w:tcW w:w="850" w:type="dxa"/>
            <w:vAlign w:val="bottom"/>
          </w:tcPr>
          <w:p w14:paraId="15637F79" w14:textId="77777777" w:rsidR="00BB2CB4" w:rsidRPr="00222C32" w:rsidRDefault="000674DA">
            <w:pPr>
              <w:pStyle w:val="Summarytabletextrightaligned"/>
            </w:pPr>
            <w:r w:rsidRPr="00222C32">
              <w:t>-</w:t>
            </w:r>
          </w:p>
        </w:tc>
        <w:tc>
          <w:tcPr>
            <w:tcW w:w="850" w:type="dxa"/>
            <w:shd w:val="clear" w:color="auto" w:fill="E6F2FF"/>
            <w:vAlign w:val="bottom"/>
          </w:tcPr>
          <w:p w14:paraId="251E1296" w14:textId="77777777" w:rsidR="00BB2CB4" w:rsidRPr="00222C32" w:rsidRDefault="000674DA">
            <w:pPr>
              <w:pStyle w:val="Summarytabletextrightaligned"/>
            </w:pPr>
            <w:r w:rsidRPr="00222C32">
              <w:t>12.5</w:t>
            </w:r>
          </w:p>
        </w:tc>
        <w:tc>
          <w:tcPr>
            <w:tcW w:w="850" w:type="dxa"/>
            <w:vAlign w:val="bottom"/>
          </w:tcPr>
          <w:p w14:paraId="0DBBBEDD" w14:textId="77777777" w:rsidR="00BB2CB4" w:rsidRPr="00222C32" w:rsidRDefault="000674DA">
            <w:pPr>
              <w:pStyle w:val="Summarytabletextrightaligned"/>
            </w:pPr>
            <w:r w:rsidRPr="00222C32">
              <w:t>6.4</w:t>
            </w:r>
          </w:p>
        </w:tc>
        <w:tc>
          <w:tcPr>
            <w:tcW w:w="850" w:type="dxa"/>
            <w:vAlign w:val="bottom"/>
          </w:tcPr>
          <w:p w14:paraId="7695EADD" w14:textId="77777777" w:rsidR="00BB2CB4" w:rsidRPr="00222C32" w:rsidRDefault="000674DA">
            <w:pPr>
              <w:pStyle w:val="Summarytabletextrightaligned"/>
            </w:pPr>
            <w:r w:rsidRPr="00222C32">
              <w:t>5.4</w:t>
            </w:r>
          </w:p>
        </w:tc>
        <w:tc>
          <w:tcPr>
            <w:tcW w:w="850" w:type="dxa"/>
            <w:vAlign w:val="bottom"/>
          </w:tcPr>
          <w:p w14:paraId="70602488" w14:textId="77777777" w:rsidR="00BB2CB4" w:rsidRPr="00222C32" w:rsidRDefault="000674DA">
            <w:pPr>
              <w:pStyle w:val="Summarytabletextrightaligned"/>
            </w:pPr>
            <w:r w:rsidRPr="00222C32">
              <w:t>-</w:t>
            </w:r>
          </w:p>
        </w:tc>
      </w:tr>
      <w:tr w:rsidR="00BB2CB4" w:rsidRPr="00222C32" w14:paraId="0E1A9134" w14:textId="77777777" w:rsidTr="00825163">
        <w:tc>
          <w:tcPr>
            <w:tcW w:w="3471" w:type="dxa"/>
            <w:vAlign w:val="bottom"/>
          </w:tcPr>
          <w:p w14:paraId="7A6A8E0E" w14:textId="77777777" w:rsidR="00BB2CB4" w:rsidRPr="00222C32" w:rsidRDefault="000674DA">
            <w:pPr>
              <w:pStyle w:val="SummaryMeasureTitlewithTheme"/>
            </w:pPr>
            <w:r w:rsidRPr="00222C32">
              <w:t>An Effective and Clinically Appropriate Medicare Benefits Schedule</w:t>
            </w:r>
          </w:p>
        </w:tc>
        <w:tc>
          <w:tcPr>
            <w:tcW w:w="850" w:type="dxa"/>
            <w:vAlign w:val="bottom"/>
          </w:tcPr>
          <w:p w14:paraId="64D8BAC0" w14:textId="77777777" w:rsidR="00BB2CB4" w:rsidRPr="00222C32" w:rsidRDefault="000674DA">
            <w:pPr>
              <w:pStyle w:val="Summarytabletextrightaligned"/>
            </w:pPr>
            <w:r w:rsidRPr="00222C32">
              <w:t>-</w:t>
            </w:r>
          </w:p>
        </w:tc>
        <w:tc>
          <w:tcPr>
            <w:tcW w:w="850" w:type="dxa"/>
            <w:shd w:val="clear" w:color="auto" w:fill="E6F2FF"/>
            <w:vAlign w:val="bottom"/>
          </w:tcPr>
          <w:p w14:paraId="698147C4" w14:textId="77777777" w:rsidR="00BB2CB4" w:rsidRPr="00222C32" w:rsidRDefault="000674DA">
            <w:pPr>
              <w:pStyle w:val="Summarytabletextrightaligned"/>
            </w:pPr>
            <w:r w:rsidRPr="00222C32">
              <w:t>-24.6</w:t>
            </w:r>
          </w:p>
        </w:tc>
        <w:tc>
          <w:tcPr>
            <w:tcW w:w="850" w:type="dxa"/>
            <w:vAlign w:val="bottom"/>
          </w:tcPr>
          <w:p w14:paraId="1FAB1940" w14:textId="77777777" w:rsidR="00BB2CB4" w:rsidRPr="00222C32" w:rsidRDefault="000674DA">
            <w:pPr>
              <w:pStyle w:val="Summarytabletextrightaligned"/>
            </w:pPr>
            <w:r w:rsidRPr="00222C32">
              <w:t>-20.1</w:t>
            </w:r>
          </w:p>
        </w:tc>
        <w:tc>
          <w:tcPr>
            <w:tcW w:w="850" w:type="dxa"/>
            <w:vAlign w:val="bottom"/>
          </w:tcPr>
          <w:p w14:paraId="01F46713" w14:textId="77777777" w:rsidR="00BB2CB4" w:rsidRPr="00222C32" w:rsidRDefault="000674DA">
            <w:pPr>
              <w:pStyle w:val="Summarytabletextrightaligned"/>
            </w:pPr>
            <w:r w:rsidRPr="00222C32">
              <w:t>-12.1</w:t>
            </w:r>
          </w:p>
        </w:tc>
        <w:tc>
          <w:tcPr>
            <w:tcW w:w="850" w:type="dxa"/>
            <w:vAlign w:val="bottom"/>
          </w:tcPr>
          <w:p w14:paraId="1822E792" w14:textId="77777777" w:rsidR="00BB2CB4" w:rsidRPr="00222C32" w:rsidRDefault="000674DA">
            <w:pPr>
              <w:pStyle w:val="Summarytabletextrightaligned"/>
            </w:pPr>
            <w:r w:rsidRPr="00222C32">
              <w:t>-16.9</w:t>
            </w:r>
          </w:p>
        </w:tc>
      </w:tr>
      <w:tr w:rsidR="00BB2CB4" w:rsidRPr="00222C32" w14:paraId="61CF1860" w14:textId="77777777" w:rsidTr="00825163">
        <w:tc>
          <w:tcPr>
            <w:tcW w:w="3471" w:type="dxa"/>
            <w:vAlign w:val="bottom"/>
          </w:tcPr>
          <w:p w14:paraId="2C41351C" w14:textId="77777777" w:rsidR="00BB2CB4" w:rsidRPr="00222C32" w:rsidRDefault="000674DA">
            <w:pPr>
              <w:pStyle w:val="SummaryMeasureTitlewithTheme"/>
            </w:pPr>
            <w:r w:rsidRPr="00222C32">
              <w:t>Delivering Election Commitments in the Health, Disability and Ageing Portfolio(b)</w:t>
            </w:r>
          </w:p>
        </w:tc>
        <w:tc>
          <w:tcPr>
            <w:tcW w:w="850" w:type="dxa"/>
            <w:vAlign w:val="bottom"/>
          </w:tcPr>
          <w:p w14:paraId="5C9F3602" w14:textId="77777777" w:rsidR="00BB2CB4" w:rsidRPr="00222C32" w:rsidRDefault="000674DA">
            <w:pPr>
              <w:pStyle w:val="Summarytabletextrightaligned"/>
            </w:pPr>
            <w:r w:rsidRPr="00222C32">
              <w:t>-</w:t>
            </w:r>
          </w:p>
        </w:tc>
        <w:tc>
          <w:tcPr>
            <w:tcW w:w="850" w:type="dxa"/>
            <w:shd w:val="clear" w:color="auto" w:fill="E6F2FF"/>
            <w:vAlign w:val="bottom"/>
          </w:tcPr>
          <w:p w14:paraId="62E7C577" w14:textId="77777777" w:rsidR="00BB2CB4" w:rsidRPr="00222C32" w:rsidRDefault="000674DA">
            <w:pPr>
              <w:pStyle w:val="Summarytabletextrightaligned"/>
            </w:pPr>
            <w:r w:rsidRPr="00222C32">
              <w:t>24.5</w:t>
            </w:r>
          </w:p>
        </w:tc>
        <w:tc>
          <w:tcPr>
            <w:tcW w:w="850" w:type="dxa"/>
            <w:vAlign w:val="bottom"/>
          </w:tcPr>
          <w:p w14:paraId="708F3ECB" w14:textId="77777777" w:rsidR="00BB2CB4" w:rsidRPr="00222C32" w:rsidRDefault="000674DA">
            <w:pPr>
              <w:pStyle w:val="Summarytabletextrightaligned"/>
            </w:pPr>
            <w:r w:rsidRPr="00222C32">
              <w:t>9.7</w:t>
            </w:r>
          </w:p>
        </w:tc>
        <w:tc>
          <w:tcPr>
            <w:tcW w:w="850" w:type="dxa"/>
            <w:vAlign w:val="bottom"/>
          </w:tcPr>
          <w:p w14:paraId="4268E669" w14:textId="77777777" w:rsidR="00BB2CB4" w:rsidRPr="00222C32" w:rsidRDefault="000674DA">
            <w:pPr>
              <w:pStyle w:val="Summarytabletextrightaligned"/>
            </w:pPr>
            <w:r w:rsidRPr="00222C32">
              <w:t>5.9</w:t>
            </w:r>
          </w:p>
        </w:tc>
        <w:tc>
          <w:tcPr>
            <w:tcW w:w="850" w:type="dxa"/>
            <w:vAlign w:val="bottom"/>
          </w:tcPr>
          <w:p w14:paraId="4D5C1CF1" w14:textId="77777777" w:rsidR="00BB2CB4" w:rsidRPr="00222C32" w:rsidRDefault="000674DA">
            <w:pPr>
              <w:pStyle w:val="Summarytabletextrightaligned"/>
            </w:pPr>
            <w:r w:rsidRPr="00222C32">
              <w:t>1.3</w:t>
            </w:r>
          </w:p>
        </w:tc>
      </w:tr>
      <w:tr w:rsidR="00BB2CB4" w:rsidRPr="00222C32" w14:paraId="67D9BBEA" w14:textId="77777777" w:rsidTr="00825163">
        <w:tc>
          <w:tcPr>
            <w:tcW w:w="3471" w:type="dxa"/>
            <w:vAlign w:val="bottom"/>
          </w:tcPr>
          <w:p w14:paraId="60E6F802" w14:textId="77777777" w:rsidR="00BB2CB4" w:rsidRPr="00222C32" w:rsidRDefault="000674DA">
            <w:pPr>
              <w:pStyle w:val="SummaryMeasureTitlewithTheme"/>
            </w:pPr>
            <w:r w:rsidRPr="00222C32">
              <w:t>Delivering Funding Certainty for the Drug and Alcohol and Chronic Condition Programs</w:t>
            </w:r>
          </w:p>
        </w:tc>
        <w:tc>
          <w:tcPr>
            <w:tcW w:w="850" w:type="dxa"/>
            <w:vAlign w:val="bottom"/>
          </w:tcPr>
          <w:p w14:paraId="17C55C77" w14:textId="77777777" w:rsidR="00BB2CB4" w:rsidRPr="00222C32" w:rsidRDefault="000674DA">
            <w:pPr>
              <w:pStyle w:val="Summarytabletextrightaligned"/>
            </w:pPr>
            <w:r w:rsidRPr="00222C32">
              <w:t>-</w:t>
            </w:r>
          </w:p>
        </w:tc>
        <w:tc>
          <w:tcPr>
            <w:tcW w:w="850" w:type="dxa"/>
            <w:shd w:val="clear" w:color="auto" w:fill="E6F2FF"/>
            <w:vAlign w:val="bottom"/>
          </w:tcPr>
          <w:p w14:paraId="0978FEC0" w14:textId="77777777" w:rsidR="00BB2CB4" w:rsidRPr="00222C32" w:rsidRDefault="000674DA">
            <w:pPr>
              <w:pStyle w:val="Summarytabletextrightaligned"/>
            </w:pPr>
            <w:r w:rsidRPr="00222C32">
              <w:t>2.5</w:t>
            </w:r>
          </w:p>
        </w:tc>
        <w:tc>
          <w:tcPr>
            <w:tcW w:w="850" w:type="dxa"/>
            <w:vAlign w:val="bottom"/>
          </w:tcPr>
          <w:p w14:paraId="01D1C41A" w14:textId="77777777" w:rsidR="00BB2CB4" w:rsidRPr="00222C32" w:rsidRDefault="000674DA">
            <w:pPr>
              <w:pStyle w:val="Summarytabletextrightaligned"/>
            </w:pPr>
            <w:r w:rsidRPr="00222C32">
              <w:t>97.9</w:t>
            </w:r>
          </w:p>
        </w:tc>
        <w:tc>
          <w:tcPr>
            <w:tcW w:w="850" w:type="dxa"/>
            <w:vAlign w:val="bottom"/>
          </w:tcPr>
          <w:p w14:paraId="675CBD55" w14:textId="77777777" w:rsidR="00BB2CB4" w:rsidRPr="00222C32" w:rsidRDefault="000674DA">
            <w:pPr>
              <w:pStyle w:val="Summarytabletextrightaligned"/>
            </w:pPr>
            <w:r w:rsidRPr="00222C32">
              <w:t>93.6</w:t>
            </w:r>
          </w:p>
        </w:tc>
        <w:tc>
          <w:tcPr>
            <w:tcW w:w="850" w:type="dxa"/>
            <w:vAlign w:val="bottom"/>
          </w:tcPr>
          <w:p w14:paraId="6BD8664E" w14:textId="77777777" w:rsidR="00BB2CB4" w:rsidRPr="00222C32" w:rsidRDefault="000674DA">
            <w:pPr>
              <w:pStyle w:val="Summarytabletextrightaligned"/>
            </w:pPr>
            <w:r w:rsidRPr="00222C32">
              <w:t>96.6</w:t>
            </w:r>
          </w:p>
        </w:tc>
      </w:tr>
      <w:tr w:rsidR="00BB2CB4" w:rsidRPr="00222C32" w14:paraId="2C74C06B" w14:textId="77777777" w:rsidTr="00825163">
        <w:tc>
          <w:tcPr>
            <w:tcW w:w="3471" w:type="dxa"/>
            <w:vAlign w:val="bottom"/>
          </w:tcPr>
          <w:p w14:paraId="270AEA55" w14:textId="66F2E296" w:rsidR="00BB2CB4" w:rsidRPr="00222C32" w:rsidRDefault="000674DA">
            <w:pPr>
              <w:pStyle w:val="SummaryMeasureTitlewithTheme"/>
            </w:pPr>
            <w:r w:rsidRPr="00222C32">
              <w:t>Department of Veterans</w:t>
            </w:r>
            <w:r w:rsidR="00A67A30">
              <w:t>’</w:t>
            </w:r>
            <w:r w:rsidRPr="00222C32">
              <w:t xml:space="preserve"> Affairs – enhancing the </w:t>
            </w:r>
            <w:r w:rsidR="00B80CAE">
              <w:t>h</w:t>
            </w:r>
            <w:r w:rsidRPr="00222C32">
              <w:t xml:space="preserve">ealth and </w:t>
            </w:r>
            <w:r w:rsidR="00B80CAE">
              <w:t>w</w:t>
            </w:r>
            <w:r w:rsidRPr="00222C32">
              <w:t xml:space="preserve">ellbeing of </w:t>
            </w:r>
            <w:r w:rsidR="00E4044D">
              <w:t>v</w:t>
            </w:r>
            <w:r w:rsidRPr="00222C32">
              <w:t xml:space="preserve">eterans and </w:t>
            </w:r>
            <w:r w:rsidR="00E4044D">
              <w:t>s</w:t>
            </w:r>
            <w:r w:rsidRPr="00222C32">
              <w:t xml:space="preserve">erving </w:t>
            </w:r>
            <w:r w:rsidR="00E4044D">
              <w:t>m</w:t>
            </w:r>
            <w:r w:rsidRPr="00222C32">
              <w:t>embers</w:t>
            </w:r>
          </w:p>
        </w:tc>
        <w:tc>
          <w:tcPr>
            <w:tcW w:w="850" w:type="dxa"/>
            <w:vAlign w:val="bottom"/>
          </w:tcPr>
          <w:p w14:paraId="68CC8F0D" w14:textId="77777777" w:rsidR="00BB2CB4" w:rsidRPr="00222C32" w:rsidRDefault="000674DA">
            <w:pPr>
              <w:pStyle w:val="Summarytabletextrightaligned"/>
            </w:pPr>
            <w:r w:rsidRPr="00222C32">
              <w:t>-</w:t>
            </w:r>
          </w:p>
        </w:tc>
        <w:tc>
          <w:tcPr>
            <w:tcW w:w="850" w:type="dxa"/>
            <w:shd w:val="clear" w:color="auto" w:fill="E6F2FF"/>
            <w:vAlign w:val="bottom"/>
          </w:tcPr>
          <w:p w14:paraId="0A98CD34" w14:textId="77777777" w:rsidR="00BB2CB4" w:rsidRPr="00222C32" w:rsidRDefault="000674DA">
            <w:pPr>
              <w:pStyle w:val="Summarytabletextrightaligned"/>
            </w:pPr>
            <w:r w:rsidRPr="00222C32">
              <w:t>-</w:t>
            </w:r>
          </w:p>
        </w:tc>
        <w:tc>
          <w:tcPr>
            <w:tcW w:w="850" w:type="dxa"/>
            <w:vAlign w:val="bottom"/>
          </w:tcPr>
          <w:p w14:paraId="2304F173" w14:textId="77777777" w:rsidR="00BB2CB4" w:rsidRPr="00222C32" w:rsidRDefault="000674DA">
            <w:pPr>
              <w:pStyle w:val="Summarytabletextrightaligned"/>
            </w:pPr>
            <w:r w:rsidRPr="00222C32">
              <w:t>0.7</w:t>
            </w:r>
          </w:p>
        </w:tc>
        <w:tc>
          <w:tcPr>
            <w:tcW w:w="850" w:type="dxa"/>
            <w:vAlign w:val="bottom"/>
          </w:tcPr>
          <w:p w14:paraId="0FAF8D0A" w14:textId="77777777" w:rsidR="00BB2CB4" w:rsidRPr="00222C32" w:rsidRDefault="000674DA">
            <w:pPr>
              <w:pStyle w:val="Summarytabletextrightaligned"/>
            </w:pPr>
            <w:r w:rsidRPr="00222C32">
              <w:t>1.6</w:t>
            </w:r>
          </w:p>
        </w:tc>
        <w:tc>
          <w:tcPr>
            <w:tcW w:w="850" w:type="dxa"/>
            <w:vAlign w:val="bottom"/>
          </w:tcPr>
          <w:p w14:paraId="5CC27E51" w14:textId="77777777" w:rsidR="00BB2CB4" w:rsidRPr="00222C32" w:rsidRDefault="000674DA">
            <w:pPr>
              <w:pStyle w:val="Summarytabletextrightaligned"/>
            </w:pPr>
            <w:r w:rsidRPr="00222C32">
              <w:t>2.7</w:t>
            </w:r>
          </w:p>
        </w:tc>
      </w:tr>
      <w:tr w:rsidR="00BB2CB4" w:rsidRPr="00222C32" w14:paraId="697282E8" w14:textId="77777777" w:rsidTr="00825163">
        <w:tc>
          <w:tcPr>
            <w:tcW w:w="3471" w:type="dxa"/>
            <w:vAlign w:val="bottom"/>
          </w:tcPr>
          <w:p w14:paraId="16069E4B" w14:textId="77498CEF" w:rsidR="00BB2CB4" w:rsidRPr="00222C32" w:rsidRDefault="000674DA">
            <w:pPr>
              <w:pStyle w:val="SummaryMeasureTitlewithTheme"/>
            </w:pPr>
            <w:r w:rsidRPr="00222C32">
              <w:t>Department of Veterans</w:t>
            </w:r>
            <w:r w:rsidR="00A67A30">
              <w:t>’</w:t>
            </w:r>
            <w:r w:rsidRPr="00222C32">
              <w:t xml:space="preserve"> Affairs – strengthening program integrity and veterans</w:t>
            </w:r>
            <w:r w:rsidR="00A67A30">
              <w:t>’</w:t>
            </w:r>
            <w:r w:rsidRPr="00222C32">
              <w:t xml:space="preserve"> advocacy</w:t>
            </w:r>
          </w:p>
        </w:tc>
        <w:tc>
          <w:tcPr>
            <w:tcW w:w="850" w:type="dxa"/>
            <w:vAlign w:val="bottom"/>
          </w:tcPr>
          <w:p w14:paraId="16F3596C" w14:textId="77777777" w:rsidR="00BB2CB4" w:rsidRPr="00222C32" w:rsidRDefault="000674DA">
            <w:pPr>
              <w:pStyle w:val="Summarytabletextrightaligned"/>
            </w:pPr>
            <w:r w:rsidRPr="00222C32">
              <w:t>-</w:t>
            </w:r>
          </w:p>
        </w:tc>
        <w:tc>
          <w:tcPr>
            <w:tcW w:w="850" w:type="dxa"/>
            <w:shd w:val="clear" w:color="auto" w:fill="E6F2FF"/>
            <w:vAlign w:val="bottom"/>
          </w:tcPr>
          <w:p w14:paraId="10BA443A" w14:textId="77777777" w:rsidR="00BB2CB4" w:rsidRPr="00222C32" w:rsidRDefault="000674DA">
            <w:pPr>
              <w:pStyle w:val="Summarytabletextrightaligned"/>
            </w:pPr>
            <w:r w:rsidRPr="00222C32">
              <w:t>0.8</w:t>
            </w:r>
          </w:p>
        </w:tc>
        <w:tc>
          <w:tcPr>
            <w:tcW w:w="850" w:type="dxa"/>
            <w:vAlign w:val="bottom"/>
          </w:tcPr>
          <w:p w14:paraId="54D81D31" w14:textId="77777777" w:rsidR="00BB2CB4" w:rsidRPr="00222C32" w:rsidRDefault="000674DA">
            <w:pPr>
              <w:pStyle w:val="Summarytabletextrightaligned"/>
            </w:pPr>
            <w:r w:rsidRPr="00222C32">
              <w:t>1.6</w:t>
            </w:r>
          </w:p>
        </w:tc>
        <w:tc>
          <w:tcPr>
            <w:tcW w:w="850" w:type="dxa"/>
            <w:vAlign w:val="bottom"/>
          </w:tcPr>
          <w:p w14:paraId="01E4BC84" w14:textId="77777777" w:rsidR="00BB2CB4" w:rsidRPr="00222C32" w:rsidRDefault="000674DA">
            <w:pPr>
              <w:pStyle w:val="Summarytabletextrightaligned"/>
            </w:pPr>
            <w:r w:rsidRPr="00222C32">
              <w:t>1.5</w:t>
            </w:r>
          </w:p>
        </w:tc>
        <w:tc>
          <w:tcPr>
            <w:tcW w:w="850" w:type="dxa"/>
            <w:vAlign w:val="bottom"/>
          </w:tcPr>
          <w:p w14:paraId="3F20D404" w14:textId="77777777" w:rsidR="00BB2CB4" w:rsidRPr="00222C32" w:rsidRDefault="000674DA">
            <w:pPr>
              <w:pStyle w:val="Summarytabletextrightaligned"/>
            </w:pPr>
            <w:r w:rsidRPr="00222C32">
              <w:t>-</w:t>
            </w:r>
          </w:p>
        </w:tc>
      </w:tr>
      <w:tr w:rsidR="00BB2CB4" w:rsidRPr="00222C32" w14:paraId="08043E23" w14:textId="77777777" w:rsidTr="00825163">
        <w:tc>
          <w:tcPr>
            <w:tcW w:w="3471" w:type="dxa"/>
            <w:vAlign w:val="bottom"/>
          </w:tcPr>
          <w:p w14:paraId="6914ECE0" w14:textId="77777777" w:rsidR="00BB2CB4" w:rsidRPr="00222C32" w:rsidRDefault="000674DA">
            <w:pPr>
              <w:pStyle w:val="SummaryMeasureTitlewithTheme"/>
            </w:pPr>
            <w:r w:rsidRPr="00222C32">
              <w:t>Equitable Healthcare for Men, Women and Families</w:t>
            </w:r>
          </w:p>
        </w:tc>
        <w:tc>
          <w:tcPr>
            <w:tcW w:w="850" w:type="dxa"/>
            <w:vAlign w:val="bottom"/>
          </w:tcPr>
          <w:p w14:paraId="62D02B1C" w14:textId="77777777" w:rsidR="00BB2CB4" w:rsidRPr="00222C32" w:rsidRDefault="000674DA">
            <w:pPr>
              <w:pStyle w:val="Summarytabletextrightaligned"/>
            </w:pPr>
            <w:r w:rsidRPr="00222C32">
              <w:t>-</w:t>
            </w:r>
          </w:p>
        </w:tc>
        <w:tc>
          <w:tcPr>
            <w:tcW w:w="850" w:type="dxa"/>
            <w:shd w:val="clear" w:color="auto" w:fill="E6F2FF"/>
            <w:vAlign w:val="bottom"/>
          </w:tcPr>
          <w:p w14:paraId="6712B3ED" w14:textId="77777777" w:rsidR="00BB2CB4" w:rsidRPr="00222C32" w:rsidRDefault="000674DA">
            <w:pPr>
              <w:pStyle w:val="Summarytabletextrightaligned"/>
            </w:pPr>
            <w:r w:rsidRPr="00222C32">
              <w:t>..</w:t>
            </w:r>
          </w:p>
        </w:tc>
        <w:tc>
          <w:tcPr>
            <w:tcW w:w="850" w:type="dxa"/>
            <w:vAlign w:val="bottom"/>
          </w:tcPr>
          <w:p w14:paraId="538D745F" w14:textId="77777777" w:rsidR="00BB2CB4" w:rsidRPr="00222C32" w:rsidRDefault="000674DA">
            <w:pPr>
              <w:pStyle w:val="Summarytabletextrightaligned"/>
            </w:pPr>
            <w:r w:rsidRPr="00222C32">
              <w:t>24.9</w:t>
            </w:r>
          </w:p>
        </w:tc>
        <w:tc>
          <w:tcPr>
            <w:tcW w:w="850" w:type="dxa"/>
            <w:vAlign w:val="bottom"/>
          </w:tcPr>
          <w:p w14:paraId="74B64237" w14:textId="77777777" w:rsidR="00BB2CB4" w:rsidRPr="00222C32" w:rsidRDefault="000674DA">
            <w:pPr>
              <w:pStyle w:val="Summarytabletextrightaligned"/>
            </w:pPr>
            <w:r w:rsidRPr="00222C32">
              <w:t>20.4</w:t>
            </w:r>
          </w:p>
        </w:tc>
        <w:tc>
          <w:tcPr>
            <w:tcW w:w="850" w:type="dxa"/>
            <w:vAlign w:val="bottom"/>
          </w:tcPr>
          <w:p w14:paraId="0F1732CB" w14:textId="77777777" w:rsidR="00BB2CB4" w:rsidRPr="00222C32" w:rsidRDefault="000674DA">
            <w:pPr>
              <w:pStyle w:val="Summarytabletextrightaligned"/>
            </w:pPr>
            <w:r w:rsidRPr="00222C32">
              <w:t>3.9</w:t>
            </w:r>
          </w:p>
        </w:tc>
      </w:tr>
      <w:tr w:rsidR="00BB2CB4" w:rsidRPr="00222C32" w14:paraId="1B99375B" w14:textId="77777777" w:rsidTr="00825163">
        <w:tc>
          <w:tcPr>
            <w:tcW w:w="3471" w:type="dxa"/>
            <w:tcBorders>
              <w:bottom w:val="nil"/>
            </w:tcBorders>
            <w:vAlign w:val="bottom"/>
          </w:tcPr>
          <w:p w14:paraId="25D07485" w14:textId="77777777" w:rsidR="00BB2CB4" w:rsidRPr="00222C32" w:rsidRDefault="000674DA">
            <w:pPr>
              <w:pStyle w:val="SummaryMeasureTitlewithTheme"/>
            </w:pPr>
            <w:r w:rsidRPr="00222C32">
              <w:t>Health Protection</w:t>
            </w:r>
          </w:p>
        </w:tc>
        <w:tc>
          <w:tcPr>
            <w:tcW w:w="850" w:type="dxa"/>
            <w:tcBorders>
              <w:bottom w:val="nil"/>
            </w:tcBorders>
            <w:vAlign w:val="bottom"/>
          </w:tcPr>
          <w:p w14:paraId="4912E7CF"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7553D3B3" w14:textId="77777777" w:rsidR="00BB2CB4" w:rsidRPr="00222C32" w:rsidRDefault="000674DA">
            <w:pPr>
              <w:pStyle w:val="Summarytabletextrightaligned"/>
            </w:pPr>
            <w:r w:rsidRPr="00222C32">
              <w:t>2.3</w:t>
            </w:r>
          </w:p>
        </w:tc>
        <w:tc>
          <w:tcPr>
            <w:tcW w:w="850" w:type="dxa"/>
            <w:tcBorders>
              <w:bottom w:val="nil"/>
            </w:tcBorders>
            <w:vAlign w:val="bottom"/>
          </w:tcPr>
          <w:p w14:paraId="2BED82A0" w14:textId="77777777" w:rsidR="00BB2CB4" w:rsidRPr="00222C32" w:rsidRDefault="000674DA">
            <w:pPr>
              <w:pStyle w:val="Summarytabletextrightaligned"/>
            </w:pPr>
            <w:r w:rsidRPr="00222C32">
              <w:t>73.9</w:t>
            </w:r>
          </w:p>
        </w:tc>
        <w:tc>
          <w:tcPr>
            <w:tcW w:w="850" w:type="dxa"/>
            <w:tcBorders>
              <w:bottom w:val="nil"/>
            </w:tcBorders>
            <w:vAlign w:val="bottom"/>
          </w:tcPr>
          <w:p w14:paraId="51B8ECB2" w14:textId="77777777" w:rsidR="00BB2CB4" w:rsidRPr="00222C32" w:rsidRDefault="000674DA">
            <w:pPr>
              <w:pStyle w:val="Summarytabletextrightaligned"/>
            </w:pPr>
            <w:r w:rsidRPr="00222C32">
              <w:t>68.5</w:t>
            </w:r>
          </w:p>
        </w:tc>
        <w:tc>
          <w:tcPr>
            <w:tcW w:w="850" w:type="dxa"/>
            <w:tcBorders>
              <w:bottom w:val="nil"/>
            </w:tcBorders>
            <w:vAlign w:val="bottom"/>
          </w:tcPr>
          <w:p w14:paraId="3E5D47D3" w14:textId="77777777" w:rsidR="00BB2CB4" w:rsidRPr="00222C32" w:rsidRDefault="000674DA">
            <w:pPr>
              <w:pStyle w:val="Summarytabletextrightaligned"/>
            </w:pPr>
            <w:r w:rsidRPr="00222C32">
              <w:t>74.2</w:t>
            </w:r>
          </w:p>
        </w:tc>
      </w:tr>
      <w:tr w:rsidR="00BB2CB4" w:rsidRPr="00222C32" w14:paraId="566B2B33" w14:textId="77777777" w:rsidTr="00825163">
        <w:tc>
          <w:tcPr>
            <w:tcW w:w="3471" w:type="dxa"/>
            <w:tcBorders>
              <w:top w:val="nil"/>
              <w:bottom w:val="single" w:sz="4" w:space="0" w:color="293F5B"/>
            </w:tcBorders>
            <w:vAlign w:val="bottom"/>
          </w:tcPr>
          <w:p w14:paraId="5FED5F65" w14:textId="77777777" w:rsidR="00BB2CB4" w:rsidRPr="00222C32" w:rsidRDefault="000674DA">
            <w:pPr>
              <w:pStyle w:val="SummaryMeasureTitlewithTheme"/>
            </w:pPr>
            <w:r w:rsidRPr="00222C32">
              <w:t>Health Research, Systems and Data</w:t>
            </w:r>
          </w:p>
        </w:tc>
        <w:tc>
          <w:tcPr>
            <w:tcW w:w="850" w:type="dxa"/>
            <w:tcBorders>
              <w:top w:val="nil"/>
              <w:bottom w:val="single" w:sz="4" w:space="0" w:color="293F5B"/>
            </w:tcBorders>
            <w:vAlign w:val="bottom"/>
          </w:tcPr>
          <w:p w14:paraId="30718E84"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0F753C37" w14:textId="77777777" w:rsidR="00BB2CB4" w:rsidRPr="00222C32" w:rsidRDefault="000674DA">
            <w:pPr>
              <w:pStyle w:val="Summarytabletextrightaligned"/>
            </w:pPr>
            <w:r w:rsidRPr="00222C32">
              <w:t>-1.2</w:t>
            </w:r>
          </w:p>
        </w:tc>
        <w:tc>
          <w:tcPr>
            <w:tcW w:w="850" w:type="dxa"/>
            <w:tcBorders>
              <w:top w:val="nil"/>
              <w:bottom w:val="single" w:sz="4" w:space="0" w:color="293F5B"/>
            </w:tcBorders>
            <w:vAlign w:val="bottom"/>
          </w:tcPr>
          <w:p w14:paraId="1F93D0CA" w14:textId="77777777" w:rsidR="00BB2CB4" w:rsidRPr="00222C32" w:rsidRDefault="000674DA">
            <w:pPr>
              <w:pStyle w:val="Summarytabletextrightaligned"/>
            </w:pPr>
            <w:r w:rsidRPr="00222C32">
              <w:t>5.2</w:t>
            </w:r>
          </w:p>
        </w:tc>
        <w:tc>
          <w:tcPr>
            <w:tcW w:w="850" w:type="dxa"/>
            <w:tcBorders>
              <w:top w:val="nil"/>
              <w:bottom w:val="single" w:sz="4" w:space="0" w:color="293F5B"/>
            </w:tcBorders>
            <w:vAlign w:val="bottom"/>
          </w:tcPr>
          <w:p w14:paraId="04BDA1D0" w14:textId="77777777" w:rsidR="00BB2CB4" w:rsidRPr="00222C32" w:rsidRDefault="000674DA">
            <w:pPr>
              <w:pStyle w:val="Summarytabletextrightaligned"/>
            </w:pPr>
            <w:r w:rsidRPr="00222C32">
              <w:t>4.6</w:t>
            </w:r>
          </w:p>
        </w:tc>
        <w:tc>
          <w:tcPr>
            <w:tcW w:w="850" w:type="dxa"/>
            <w:tcBorders>
              <w:top w:val="nil"/>
              <w:bottom w:val="single" w:sz="4" w:space="0" w:color="293F5B"/>
            </w:tcBorders>
            <w:vAlign w:val="bottom"/>
          </w:tcPr>
          <w:p w14:paraId="79F56686" w14:textId="77777777" w:rsidR="00BB2CB4" w:rsidRPr="00222C32" w:rsidRDefault="000674DA">
            <w:pPr>
              <w:pStyle w:val="Summarytabletextrightaligned"/>
            </w:pPr>
            <w:r w:rsidRPr="00222C32">
              <w:t>4.6</w:t>
            </w:r>
          </w:p>
        </w:tc>
      </w:tr>
    </w:tbl>
    <w:p w14:paraId="68651B91"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09DF73ED" w14:textId="25175871"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35620165" w14:textId="77777777" w:rsidTr="00825163">
        <w:tc>
          <w:tcPr>
            <w:tcW w:w="3471" w:type="dxa"/>
            <w:tcBorders>
              <w:top w:val="single" w:sz="4" w:space="0" w:color="293F5B"/>
              <w:bottom w:val="nil"/>
            </w:tcBorders>
            <w:vAlign w:val="bottom"/>
          </w:tcPr>
          <w:p w14:paraId="5C6F144D" w14:textId="77777777" w:rsidR="000D63FB" w:rsidRPr="00222C32" w:rsidRDefault="000D63FB" w:rsidP="000D63FB"/>
        </w:tc>
        <w:tc>
          <w:tcPr>
            <w:tcW w:w="850" w:type="dxa"/>
            <w:tcBorders>
              <w:top w:val="single" w:sz="4" w:space="0" w:color="293F5B"/>
              <w:bottom w:val="nil"/>
            </w:tcBorders>
            <w:vAlign w:val="bottom"/>
          </w:tcPr>
          <w:p w14:paraId="2C6AB992"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vAlign w:val="bottom"/>
          </w:tcPr>
          <w:p w14:paraId="155DE996"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vAlign w:val="bottom"/>
          </w:tcPr>
          <w:p w14:paraId="4ED6E746"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vAlign w:val="bottom"/>
          </w:tcPr>
          <w:p w14:paraId="257342B8"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vAlign w:val="bottom"/>
          </w:tcPr>
          <w:p w14:paraId="51D361F6" w14:textId="77777777" w:rsidR="000D63FB" w:rsidRPr="00222C32" w:rsidRDefault="000D63FB" w:rsidP="000D63FB">
            <w:pPr>
              <w:pStyle w:val="Summarytabletextrightaligned"/>
            </w:pPr>
            <w:r w:rsidRPr="00222C32">
              <w:t>2028-29</w:t>
            </w:r>
          </w:p>
        </w:tc>
      </w:tr>
      <w:tr w:rsidR="000D63FB" w:rsidRPr="00222C32" w14:paraId="15E2DD43" w14:textId="77777777" w:rsidTr="00825163">
        <w:tc>
          <w:tcPr>
            <w:tcW w:w="3471" w:type="dxa"/>
            <w:tcBorders>
              <w:top w:val="nil"/>
            </w:tcBorders>
            <w:vAlign w:val="bottom"/>
          </w:tcPr>
          <w:p w14:paraId="0BDC502B" w14:textId="77777777" w:rsidR="000D63FB" w:rsidRPr="00222C32" w:rsidRDefault="000D63FB" w:rsidP="000D63FB"/>
        </w:tc>
        <w:tc>
          <w:tcPr>
            <w:tcW w:w="850" w:type="dxa"/>
            <w:tcBorders>
              <w:top w:val="nil"/>
              <w:bottom w:val="single" w:sz="4" w:space="0" w:color="293F5B"/>
            </w:tcBorders>
            <w:vAlign w:val="bottom"/>
          </w:tcPr>
          <w:p w14:paraId="1DFC383F"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vAlign w:val="bottom"/>
          </w:tcPr>
          <w:p w14:paraId="70068C52"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464211E9"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6FB5F5AD"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329EEC7A" w14:textId="77777777" w:rsidR="000D63FB" w:rsidRPr="00222C32" w:rsidRDefault="000D63FB" w:rsidP="000D63FB">
            <w:pPr>
              <w:pStyle w:val="Summarytabletextrightaligned"/>
            </w:pPr>
            <w:r w:rsidRPr="00222C32">
              <w:t>$m</w:t>
            </w:r>
          </w:p>
        </w:tc>
      </w:tr>
      <w:tr w:rsidR="000D63FB" w:rsidRPr="00222C32" w14:paraId="48DEF2B1" w14:textId="77777777" w:rsidTr="00825163">
        <w:tc>
          <w:tcPr>
            <w:tcW w:w="3471" w:type="dxa"/>
            <w:tcBorders>
              <w:bottom w:val="nil"/>
            </w:tcBorders>
            <w:vAlign w:val="bottom"/>
          </w:tcPr>
          <w:p w14:paraId="3B4F1E1E" w14:textId="77777777" w:rsidR="000D63FB" w:rsidRPr="00222C32" w:rsidRDefault="000D63FB" w:rsidP="000D63FB">
            <w:pPr>
              <w:pStyle w:val="SummaryMeasureTitlewithTheme"/>
              <w:rPr>
                <w:b/>
              </w:rPr>
            </w:pPr>
            <w:r w:rsidRPr="00222C32">
              <w:rPr>
                <w:b/>
              </w:rPr>
              <w:t>HEALTH, DISABILITY AND AGEING (continued)</w:t>
            </w:r>
          </w:p>
        </w:tc>
        <w:tc>
          <w:tcPr>
            <w:tcW w:w="850" w:type="dxa"/>
            <w:tcBorders>
              <w:top w:val="single" w:sz="4" w:space="0" w:color="293F5B"/>
              <w:bottom w:val="nil"/>
            </w:tcBorders>
            <w:vAlign w:val="bottom"/>
          </w:tcPr>
          <w:p w14:paraId="65434960" w14:textId="77777777" w:rsidR="000D63FB" w:rsidRPr="00222C32" w:rsidRDefault="000D63FB">
            <w:pPr>
              <w:pStyle w:val="Summarytabletextrightaligned"/>
            </w:pPr>
          </w:p>
        </w:tc>
        <w:tc>
          <w:tcPr>
            <w:tcW w:w="850" w:type="dxa"/>
            <w:tcBorders>
              <w:top w:val="single" w:sz="4" w:space="0" w:color="293F5B"/>
              <w:bottom w:val="nil"/>
            </w:tcBorders>
            <w:shd w:val="clear" w:color="auto" w:fill="E6F2FF"/>
            <w:vAlign w:val="bottom"/>
          </w:tcPr>
          <w:p w14:paraId="6162D7F7" w14:textId="77777777" w:rsidR="000D63FB" w:rsidRPr="00222C32" w:rsidRDefault="000D63FB">
            <w:pPr>
              <w:pStyle w:val="Summarytabletextrightaligned"/>
            </w:pPr>
          </w:p>
        </w:tc>
        <w:tc>
          <w:tcPr>
            <w:tcW w:w="850" w:type="dxa"/>
            <w:tcBorders>
              <w:top w:val="single" w:sz="4" w:space="0" w:color="293F5B"/>
              <w:bottom w:val="nil"/>
            </w:tcBorders>
            <w:vAlign w:val="bottom"/>
          </w:tcPr>
          <w:p w14:paraId="280414BF" w14:textId="77777777" w:rsidR="000D63FB" w:rsidRPr="00222C32" w:rsidRDefault="000D63FB">
            <w:pPr>
              <w:pStyle w:val="Summarytabletextrightaligned"/>
            </w:pPr>
          </w:p>
        </w:tc>
        <w:tc>
          <w:tcPr>
            <w:tcW w:w="850" w:type="dxa"/>
            <w:tcBorders>
              <w:top w:val="single" w:sz="4" w:space="0" w:color="293F5B"/>
              <w:bottom w:val="nil"/>
            </w:tcBorders>
            <w:vAlign w:val="bottom"/>
          </w:tcPr>
          <w:p w14:paraId="3F9C9A16" w14:textId="77777777" w:rsidR="000D63FB" w:rsidRPr="00222C32" w:rsidRDefault="000D63FB">
            <w:pPr>
              <w:pStyle w:val="Summarytabletextrightaligned"/>
            </w:pPr>
          </w:p>
        </w:tc>
        <w:tc>
          <w:tcPr>
            <w:tcW w:w="850" w:type="dxa"/>
            <w:tcBorders>
              <w:top w:val="single" w:sz="4" w:space="0" w:color="293F5B"/>
              <w:bottom w:val="nil"/>
            </w:tcBorders>
            <w:vAlign w:val="bottom"/>
          </w:tcPr>
          <w:p w14:paraId="75D00865" w14:textId="77777777" w:rsidR="000D63FB" w:rsidRPr="00222C32" w:rsidRDefault="000D63FB">
            <w:pPr>
              <w:pStyle w:val="Summarytabletextrightaligned"/>
            </w:pPr>
          </w:p>
        </w:tc>
      </w:tr>
      <w:tr w:rsidR="00BB2CB4" w:rsidRPr="00222C32" w14:paraId="13518F08" w14:textId="77777777" w:rsidTr="00825163">
        <w:tc>
          <w:tcPr>
            <w:tcW w:w="3471" w:type="dxa"/>
            <w:tcBorders>
              <w:top w:val="nil"/>
            </w:tcBorders>
            <w:vAlign w:val="bottom"/>
          </w:tcPr>
          <w:p w14:paraId="2C114EA3" w14:textId="77777777" w:rsidR="00BB2CB4" w:rsidRPr="00222C32" w:rsidRDefault="000674DA">
            <w:pPr>
              <w:pStyle w:val="SummaryMeasureTitlewithTheme"/>
            </w:pPr>
            <w:r w:rsidRPr="00222C32">
              <w:t>Health Workforce</w:t>
            </w:r>
          </w:p>
        </w:tc>
        <w:tc>
          <w:tcPr>
            <w:tcW w:w="850" w:type="dxa"/>
            <w:tcBorders>
              <w:top w:val="nil"/>
            </w:tcBorders>
            <w:vAlign w:val="bottom"/>
          </w:tcPr>
          <w:p w14:paraId="2F0290FE" w14:textId="77777777" w:rsidR="00BB2CB4" w:rsidRPr="00222C32" w:rsidRDefault="000674DA">
            <w:pPr>
              <w:pStyle w:val="Summarytabletextrightaligned"/>
            </w:pPr>
            <w:r w:rsidRPr="00222C32">
              <w:t>-</w:t>
            </w:r>
          </w:p>
        </w:tc>
        <w:tc>
          <w:tcPr>
            <w:tcW w:w="850" w:type="dxa"/>
            <w:tcBorders>
              <w:top w:val="nil"/>
            </w:tcBorders>
            <w:shd w:val="clear" w:color="auto" w:fill="E6F2FF"/>
            <w:vAlign w:val="bottom"/>
          </w:tcPr>
          <w:p w14:paraId="10812895" w14:textId="77777777" w:rsidR="00BB2CB4" w:rsidRPr="00222C32" w:rsidRDefault="000674DA">
            <w:pPr>
              <w:pStyle w:val="Summarytabletextrightaligned"/>
            </w:pPr>
            <w:r w:rsidRPr="00222C32">
              <w:t>6.9</w:t>
            </w:r>
          </w:p>
        </w:tc>
        <w:tc>
          <w:tcPr>
            <w:tcW w:w="850" w:type="dxa"/>
            <w:tcBorders>
              <w:top w:val="nil"/>
            </w:tcBorders>
            <w:vAlign w:val="bottom"/>
          </w:tcPr>
          <w:p w14:paraId="45FE9A78" w14:textId="77777777" w:rsidR="00BB2CB4" w:rsidRPr="00222C32" w:rsidRDefault="000674DA">
            <w:pPr>
              <w:pStyle w:val="Summarytabletextrightaligned"/>
            </w:pPr>
            <w:r w:rsidRPr="00222C32">
              <w:t>69.1</w:t>
            </w:r>
          </w:p>
        </w:tc>
        <w:tc>
          <w:tcPr>
            <w:tcW w:w="850" w:type="dxa"/>
            <w:tcBorders>
              <w:top w:val="nil"/>
            </w:tcBorders>
            <w:vAlign w:val="bottom"/>
          </w:tcPr>
          <w:p w14:paraId="5378CC3A" w14:textId="77777777" w:rsidR="00BB2CB4" w:rsidRPr="00222C32" w:rsidRDefault="000674DA">
            <w:pPr>
              <w:pStyle w:val="Summarytabletextrightaligned"/>
            </w:pPr>
            <w:r w:rsidRPr="00222C32">
              <w:t>5.8</w:t>
            </w:r>
          </w:p>
        </w:tc>
        <w:tc>
          <w:tcPr>
            <w:tcW w:w="850" w:type="dxa"/>
            <w:tcBorders>
              <w:top w:val="nil"/>
            </w:tcBorders>
            <w:vAlign w:val="bottom"/>
          </w:tcPr>
          <w:p w14:paraId="5C3FB6B8" w14:textId="77777777" w:rsidR="00BB2CB4" w:rsidRPr="00222C32" w:rsidRDefault="000674DA">
            <w:pPr>
              <w:pStyle w:val="Summarytabletextrightaligned"/>
            </w:pPr>
            <w:r w:rsidRPr="00222C32">
              <w:t>-26.6</w:t>
            </w:r>
          </w:p>
        </w:tc>
      </w:tr>
      <w:tr w:rsidR="00BB2CB4" w:rsidRPr="00222C32" w14:paraId="7979BC4C" w14:textId="77777777" w:rsidTr="00825163">
        <w:tc>
          <w:tcPr>
            <w:tcW w:w="3471" w:type="dxa"/>
            <w:vAlign w:val="bottom"/>
          </w:tcPr>
          <w:p w14:paraId="3AE8E5BF" w14:textId="77777777" w:rsidR="00BB2CB4" w:rsidRPr="00222C32" w:rsidRDefault="000674DA">
            <w:pPr>
              <w:pStyle w:val="SummaryMeasureTitlewithTheme"/>
            </w:pPr>
            <w:r w:rsidRPr="00222C32">
              <w:t>Improving Access and Uptake of Medicines and Vaccines</w:t>
            </w:r>
          </w:p>
        </w:tc>
        <w:tc>
          <w:tcPr>
            <w:tcW w:w="850" w:type="dxa"/>
            <w:vAlign w:val="bottom"/>
          </w:tcPr>
          <w:p w14:paraId="13C2A0F0" w14:textId="77777777" w:rsidR="00BB2CB4" w:rsidRPr="00222C32" w:rsidRDefault="000674DA">
            <w:pPr>
              <w:pStyle w:val="Summarytabletextrightaligned"/>
            </w:pPr>
            <w:r w:rsidRPr="00222C32">
              <w:t>-</w:t>
            </w:r>
          </w:p>
        </w:tc>
        <w:tc>
          <w:tcPr>
            <w:tcW w:w="850" w:type="dxa"/>
            <w:shd w:val="clear" w:color="auto" w:fill="E6F2FF"/>
            <w:vAlign w:val="bottom"/>
          </w:tcPr>
          <w:p w14:paraId="2CA4D4C8" w14:textId="77777777" w:rsidR="00BB2CB4" w:rsidRPr="00222C32" w:rsidRDefault="000674DA">
            <w:pPr>
              <w:pStyle w:val="Summarytabletextrightaligned"/>
            </w:pPr>
            <w:r w:rsidRPr="00222C32">
              <w:t>6.0</w:t>
            </w:r>
          </w:p>
        </w:tc>
        <w:tc>
          <w:tcPr>
            <w:tcW w:w="850" w:type="dxa"/>
            <w:vAlign w:val="bottom"/>
          </w:tcPr>
          <w:p w14:paraId="4A83BBF8" w14:textId="77777777" w:rsidR="00BB2CB4" w:rsidRPr="00222C32" w:rsidRDefault="000674DA">
            <w:pPr>
              <w:pStyle w:val="Summarytabletextrightaligned"/>
            </w:pPr>
            <w:r w:rsidRPr="00222C32">
              <w:t>21.8</w:t>
            </w:r>
          </w:p>
        </w:tc>
        <w:tc>
          <w:tcPr>
            <w:tcW w:w="850" w:type="dxa"/>
            <w:vAlign w:val="bottom"/>
          </w:tcPr>
          <w:p w14:paraId="3ACF0597" w14:textId="77777777" w:rsidR="00BB2CB4" w:rsidRPr="00222C32" w:rsidRDefault="000674DA">
            <w:pPr>
              <w:pStyle w:val="Summarytabletextrightaligned"/>
            </w:pPr>
            <w:r w:rsidRPr="00222C32">
              <w:t>-</w:t>
            </w:r>
          </w:p>
        </w:tc>
        <w:tc>
          <w:tcPr>
            <w:tcW w:w="850" w:type="dxa"/>
            <w:vAlign w:val="bottom"/>
          </w:tcPr>
          <w:p w14:paraId="33164C4C" w14:textId="77777777" w:rsidR="00BB2CB4" w:rsidRPr="00222C32" w:rsidRDefault="000674DA">
            <w:pPr>
              <w:pStyle w:val="Summarytabletextrightaligned"/>
            </w:pPr>
            <w:r w:rsidRPr="00222C32">
              <w:t>-</w:t>
            </w:r>
          </w:p>
        </w:tc>
      </w:tr>
      <w:tr w:rsidR="00BB2CB4" w:rsidRPr="00222C32" w14:paraId="4C9078F5" w14:textId="77777777" w:rsidTr="00825163">
        <w:tc>
          <w:tcPr>
            <w:tcW w:w="3471" w:type="dxa"/>
            <w:vAlign w:val="bottom"/>
          </w:tcPr>
          <w:p w14:paraId="4E39B4C2" w14:textId="77777777" w:rsidR="00BB2CB4" w:rsidRPr="00222C32" w:rsidRDefault="000674DA">
            <w:pPr>
              <w:pStyle w:val="SummaryMeasureTitlewithTheme"/>
            </w:pPr>
            <w:r w:rsidRPr="00222C32">
              <w:t>Improving In‑Home Aged Care Support</w:t>
            </w:r>
          </w:p>
        </w:tc>
        <w:tc>
          <w:tcPr>
            <w:tcW w:w="850" w:type="dxa"/>
            <w:vAlign w:val="bottom"/>
          </w:tcPr>
          <w:p w14:paraId="16D847C7" w14:textId="77777777" w:rsidR="00BB2CB4" w:rsidRPr="00222C32" w:rsidRDefault="000674DA">
            <w:pPr>
              <w:pStyle w:val="Summarytabletextrightaligned"/>
            </w:pPr>
            <w:r w:rsidRPr="00222C32">
              <w:t>-</w:t>
            </w:r>
          </w:p>
        </w:tc>
        <w:tc>
          <w:tcPr>
            <w:tcW w:w="850" w:type="dxa"/>
            <w:shd w:val="clear" w:color="auto" w:fill="E6F2FF"/>
            <w:vAlign w:val="bottom"/>
          </w:tcPr>
          <w:p w14:paraId="024653D8" w14:textId="77777777" w:rsidR="00BB2CB4" w:rsidRPr="00222C32" w:rsidRDefault="000674DA">
            <w:pPr>
              <w:pStyle w:val="Summarytabletextrightaligned"/>
            </w:pPr>
            <w:r w:rsidRPr="00222C32">
              <w:t>494.0</w:t>
            </w:r>
          </w:p>
        </w:tc>
        <w:tc>
          <w:tcPr>
            <w:tcW w:w="850" w:type="dxa"/>
            <w:vAlign w:val="bottom"/>
          </w:tcPr>
          <w:p w14:paraId="5F0B41EF" w14:textId="77777777" w:rsidR="00BB2CB4" w:rsidRPr="00222C32" w:rsidRDefault="000674DA">
            <w:pPr>
              <w:pStyle w:val="Summarytabletextrightaligned"/>
            </w:pPr>
            <w:r w:rsidRPr="00222C32">
              <w:t>240.5</w:t>
            </w:r>
          </w:p>
        </w:tc>
        <w:tc>
          <w:tcPr>
            <w:tcW w:w="850" w:type="dxa"/>
            <w:vAlign w:val="bottom"/>
          </w:tcPr>
          <w:p w14:paraId="4DED5E12" w14:textId="77777777" w:rsidR="00BB2CB4" w:rsidRPr="00222C32" w:rsidRDefault="000674DA">
            <w:pPr>
              <w:pStyle w:val="Summarytabletextrightaligned"/>
            </w:pPr>
            <w:r w:rsidRPr="00222C32">
              <w:t>-20.9</w:t>
            </w:r>
          </w:p>
        </w:tc>
        <w:tc>
          <w:tcPr>
            <w:tcW w:w="850" w:type="dxa"/>
            <w:vAlign w:val="bottom"/>
          </w:tcPr>
          <w:p w14:paraId="263EA6C4" w14:textId="77777777" w:rsidR="00BB2CB4" w:rsidRPr="00222C32" w:rsidRDefault="000674DA">
            <w:pPr>
              <w:pStyle w:val="Summarytabletextrightaligned"/>
            </w:pPr>
            <w:r w:rsidRPr="00222C32">
              <w:t>-21.4</w:t>
            </w:r>
          </w:p>
        </w:tc>
      </w:tr>
      <w:tr w:rsidR="00BB2CB4" w:rsidRPr="00222C32" w14:paraId="6474A8C3" w14:textId="77777777" w:rsidTr="00825163">
        <w:tc>
          <w:tcPr>
            <w:tcW w:w="3471" w:type="dxa"/>
            <w:vAlign w:val="bottom"/>
          </w:tcPr>
          <w:p w14:paraId="5D7D1AFB" w14:textId="77777777" w:rsidR="00BB2CB4" w:rsidRPr="00222C32" w:rsidRDefault="000674DA">
            <w:pPr>
              <w:pStyle w:val="SummaryMeasureTitlewithTheme"/>
            </w:pPr>
            <w:r w:rsidRPr="00222C32">
              <w:t>Improving Residential Aged Care</w:t>
            </w:r>
          </w:p>
        </w:tc>
        <w:tc>
          <w:tcPr>
            <w:tcW w:w="850" w:type="dxa"/>
            <w:vAlign w:val="bottom"/>
          </w:tcPr>
          <w:p w14:paraId="2380F011" w14:textId="77777777" w:rsidR="00BB2CB4" w:rsidRPr="00222C32" w:rsidRDefault="000674DA">
            <w:pPr>
              <w:pStyle w:val="Summarytabletextrightaligned"/>
            </w:pPr>
            <w:r w:rsidRPr="00222C32">
              <w:t>-</w:t>
            </w:r>
          </w:p>
        </w:tc>
        <w:tc>
          <w:tcPr>
            <w:tcW w:w="850" w:type="dxa"/>
            <w:shd w:val="clear" w:color="auto" w:fill="E6F2FF"/>
            <w:vAlign w:val="bottom"/>
          </w:tcPr>
          <w:p w14:paraId="248690B2" w14:textId="77777777" w:rsidR="00BB2CB4" w:rsidRPr="00222C32" w:rsidRDefault="000674DA">
            <w:pPr>
              <w:pStyle w:val="Summarytabletextrightaligned"/>
            </w:pPr>
            <w:r w:rsidRPr="00222C32">
              <w:t>10.8</w:t>
            </w:r>
          </w:p>
        </w:tc>
        <w:tc>
          <w:tcPr>
            <w:tcW w:w="850" w:type="dxa"/>
            <w:vAlign w:val="bottom"/>
          </w:tcPr>
          <w:p w14:paraId="5969D24E" w14:textId="77777777" w:rsidR="00BB2CB4" w:rsidRPr="00222C32" w:rsidRDefault="000674DA">
            <w:pPr>
              <w:pStyle w:val="Summarytabletextrightaligned"/>
            </w:pPr>
            <w:r w:rsidRPr="00222C32">
              <w:t>16.4</w:t>
            </w:r>
          </w:p>
        </w:tc>
        <w:tc>
          <w:tcPr>
            <w:tcW w:w="850" w:type="dxa"/>
            <w:vAlign w:val="bottom"/>
          </w:tcPr>
          <w:p w14:paraId="4BB5EBC7" w14:textId="77777777" w:rsidR="00BB2CB4" w:rsidRPr="00222C32" w:rsidRDefault="000674DA">
            <w:pPr>
              <w:pStyle w:val="Summarytabletextrightaligned"/>
            </w:pPr>
            <w:r w:rsidRPr="00222C32">
              <w:t>2.7</w:t>
            </w:r>
          </w:p>
        </w:tc>
        <w:tc>
          <w:tcPr>
            <w:tcW w:w="850" w:type="dxa"/>
            <w:vAlign w:val="bottom"/>
          </w:tcPr>
          <w:p w14:paraId="1D230B49" w14:textId="77777777" w:rsidR="00BB2CB4" w:rsidRPr="00222C32" w:rsidRDefault="000674DA">
            <w:pPr>
              <w:pStyle w:val="Summarytabletextrightaligned"/>
            </w:pPr>
            <w:r w:rsidRPr="00222C32">
              <w:t>2.8</w:t>
            </w:r>
          </w:p>
        </w:tc>
      </w:tr>
      <w:tr w:rsidR="00BB2CB4" w:rsidRPr="00222C32" w14:paraId="00054068" w14:textId="77777777" w:rsidTr="00825163">
        <w:tc>
          <w:tcPr>
            <w:tcW w:w="3471" w:type="dxa"/>
            <w:vAlign w:val="bottom"/>
          </w:tcPr>
          <w:p w14:paraId="6A7B3859" w14:textId="77777777" w:rsidR="00BB2CB4" w:rsidRPr="00222C32" w:rsidRDefault="000674DA">
            <w:pPr>
              <w:pStyle w:val="SummaryMeasureTitlewithTheme"/>
            </w:pPr>
            <w:r w:rsidRPr="00222C32">
              <w:t>Mental Health</w:t>
            </w:r>
          </w:p>
        </w:tc>
        <w:tc>
          <w:tcPr>
            <w:tcW w:w="850" w:type="dxa"/>
            <w:vAlign w:val="bottom"/>
          </w:tcPr>
          <w:p w14:paraId="142DA3AC" w14:textId="77777777" w:rsidR="00BB2CB4" w:rsidRPr="00222C32" w:rsidRDefault="000674DA">
            <w:pPr>
              <w:pStyle w:val="Summarytabletextrightaligned"/>
            </w:pPr>
            <w:r w:rsidRPr="00222C32">
              <w:t>-</w:t>
            </w:r>
          </w:p>
        </w:tc>
        <w:tc>
          <w:tcPr>
            <w:tcW w:w="850" w:type="dxa"/>
            <w:shd w:val="clear" w:color="auto" w:fill="E6F2FF"/>
            <w:vAlign w:val="bottom"/>
          </w:tcPr>
          <w:p w14:paraId="35ECC232" w14:textId="77777777" w:rsidR="00BB2CB4" w:rsidRPr="00222C32" w:rsidRDefault="000674DA">
            <w:pPr>
              <w:pStyle w:val="Summarytabletextrightaligned"/>
            </w:pPr>
            <w:r w:rsidRPr="00222C32">
              <w:t>3.4</w:t>
            </w:r>
          </w:p>
        </w:tc>
        <w:tc>
          <w:tcPr>
            <w:tcW w:w="850" w:type="dxa"/>
            <w:vAlign w:val="bottom"/>
          </w:tcPr>
          <w:p w14:paraId="56E2C14B" w14:textId="77777777" w:rsidR="00BB2CB4" w:rsidRPr="00222C32" w:rsidRDefault="000674DA">
            <w:pPr>
              <w:pStyle w:val="Summarytabletextrightaligned"/>
            </w:pPr>
            <w:r w:rsidRPr="00222C32">
              <w:t>72.4</w:t>
            </w:r>
          </w:p>
        </w:tc>
        <w:tc>
          <w:tcPr>
            <w:tcW w:w="850" w:type="dxa"/>
            <w:vAlign w:val="bottom"/>
          </w:tcPr>
          <w:p w14:paraId="541E3EE0" w14:textId="77777777" w:rsidR="00BB2CB4" w:rsidRPr="00222C32" w:rsidRDefault="000674DA">
            <w:pPr>
              <w:pStyle w:val="Summarytabletextrightaligned"/>
            </w:pPr>
            <w:r w:rsidRPr="00222C32">
              <w:t>51.6</w:t>
            </w:r>
          </w:p>
        </w:tc>
        <w:tc>
          <w:tcPr>
            <w:tcW w:w="850" w:type="dxa"/>
            <w:vAlign w:val="bottom"/>
          </w:tcPr>
          <w:p w14:paraId="275EEF0B" w14:textId="77777777" w:rsidR="00BB2CB4" w:rsidRPr="00222C32" w:rsidRDefault="000674DA">
            <w:pPr>
              <w:pStyle w:val="Summarytabletextrightaligned"/>
            </w:pPr>
            <w:r w:rsidRPr="00222C32">
              <w:t>-10.6</w:t>
            </w:r>
          </w:p>
        </w:tc>
      </w:tr>
      <w:tr w:rsidR="00BB2CB4" w:rsidRPr="00222C32" w14:paraId="591B7B24" w14:textId="77777777" w:rsidTr="00825163">
        <w:tc>
          <w:tcPr>
            <w:tcW w:w="3471" w:type="dxa"/>
            <w:vAlign w:val="bottom"/>
          </w:tcPr>
          <w:p w14:paraId="64848D3A" w14:textId="77777777" w:rsidR="00BB2CB4" w:rsidRPr="00222C32" w:rsidRDefault="000674DA">
            <w:pPr>
              <w:pStyle w:val="SummaryMeasureTitlewithTheme"/>
            </w:pPr>
            <w:r w:rsidRPr="00222C32">
              <w:t>More Free Mental Health Services</w:t>
            </w:r>
          </w:p>
        </w:tc>
        <w:tc>
          <w:tcPr>
            <w:tcW w:w="850" w:type="dxa"/>
            <w:vAlign w:val="bottom"/>
          </w:tcPr>
          <w:p w14:paraId="4C2AD3CC" w14:textId="77777777" w:rsidR="00BB2CB4" w:rsidRPr="00222C32" w:rsidRDefault="000674DA">
            <w:pPr>
              <w:pStyle w:val="Summarytabletextrightaligned"/>
            </w:pPr>
            <w:r w:rsidRPr="00222C32">
              <w:t>-</w:t>
            </w:r>
          </w:p>
        </w:tc>
        <w:tc>
          <w:tcPr>
            <w:tcW w:w="850" w:type="dxa"/>
            <w:shd w:val="clear" w:color="auto" w:fill="E6F2FF"/>
            <w:vAlign w:val="bottom"/>
          </w:tcPr>
          <w:p w14:paraId="220C05C3" w14:textId="77777777" w:rsidR="00BB2CB4" w:rsidRPr="00222C32" w:rsidRDefault="000674DA">
            <w:pPr>
              <w:pStyle w:val="Summarytabletextrightaligned"/>
            </w:pPr>
            <w:r w:rsidRPr="00222C32">
              <w:t>25.0</w:t>
            </w:r>
          </w:p>
        </w:tc>
        <w:tc>
          <w:tcPr>
            <w:tcW w:w="850" w:type="dxa"/>
            <w:vAlign w:val="bottom"/>
          </w:tcPr>
          <w:p w14:paraId="4245DCB6" w14:textId="77777777" w:rsidR="00BB2CB4" w:rsidRPr="00222C32" w:rsidRDefault="000674DA">
            <w:pPr>
              <w:pStyle w:val="Summarytabletextrightaligned"/>
            </w:pPr>
            <w:r w:rsidRPr="00222C32">
              <w:t>228.3</w:t>
            </w:r>
          </w:p>
        </w:tc>
        <w:tc>
          <w:tcPr>
            <w:tcW w:w="850" w:type="dxa"/>
            <w:vAlign w:val="bottom"/>
          </w:tcPr>
          <w:p w14:paraId="0D3107EA" w14:textId="77777777" w:rsidR="00BB2CB4" w:rsidRPr="00222C32" w:rsidRDefault="000674DA">
            <w:pPr>
              <w:pStyle w:val="Summarytabletextrightaligned"/>
            </w:pPr>
            <w:r w:rsidRPr="00222C32">
              <w:t>363.0</w:t>
            </w:r>
          </w:p>
        </w:tc>
        <w:tc>
          <w:tcPr>
            <w:tcW w:w="850" w:type="dxa"/>
            <w:vAlign w:val="bottom"/>
          </w:tcPr>
          <w:p w14:paraId="2D094EA9" w14:textId="77777777" w:rsidR="00BB2CB4" w:rsidRPr="00222C32" w:rsidRDefault="000674DA">
            <w:pPr>
              <w:pStyle w:val="Summarytabletextrightaligned"/>
            </w:pPr>
            <w:r w:rsidRPr="00222C32">
              <w:t>507.8</w:t>
            </w:r>
          </w:p>
        </w:tc>
      </w:tr>
      <w:tr w:rsidR="00BB2CB4" w:rsidRPr="00222C32" w14:paraId="361481B5" w14:textId="77777777" w:rsidTr="00825163">
        <w:tc>
          <w:tcPr>
            <w:tcW w:w="3471" w:type="dxa"/>
            <w:vAlign w:val="bottom"/>
          </w:tcPr>
          <w:p w14:paraId="0E4FF470" w14:textId="77777777" w:rsidR="00BB2CB4" w:rsidRPr="00222C32" w:rsidRDefault="000674DA">
            <w:pPr>
              <w:pStyle w:val="SummaryMeasureTitlewithTheme"/>
            </w:pPr>
            <w:r w:rsidRPr="00222C32">
              <w:t>Permanent Migration Program – 2025–26 planning levels(b)</w:t>
            </w:r>
          </w:p>
        </w:tc>
        <w:tc>
          <w:tcPr>
            <w:tcW w:w="850" w:type="dxa"/>
            <w:vAlign w:val="bottom"/>
          </w:tcPr>
          <w:p w14:paraId="2C6136CB" w14:textId="77777777" w:rsidR="00BB2CB4" w:rsidRPr="00222C32" w:rsidRDefault="000674DA">
            <w:pPr>
              <w:pStyle w:val="Summarytabletextrightaligned"/>
            </w:pPr>
            <w:r w:rsidRPr="00222C32">
              <w:t>-</w:t>
            </w:r>
          </w:p>
        </w:tc>
        <w:tc>
          <w:tcPr>
            <w:tcW w:w="850" w:type="dxa"/>
            <w:shd w:val="clear" w:color="auto" w:fill="E6F2FF"/>
            <w:vAlign w:val="bottom"/>
          </w:tcPr>
          <w:p w14:paraId="287FD5E0" w14:textId="77777777" w:rsidR="00BB2CB4" w:rsidRPr="00222C32" w:rsidRDefault="000674DA">
            <w:pPr>
              <w:pStyle w:val="Summarytabletextrightaligned"/>
            </w:pPr>
            <w:r w:rsidRPr="00222C32">
              <w:t>..</w:t>
            </w:r>
          </w:p>
        </w:tc>
        <w:tc>
          <w:tcPr>
            <w:tcW w:w="850" w:type="dxa"/>
            <w:vAlign w:val="bottom"/>
          </w:tcPr>
          <w:p w14:paraId="4B3CBAD5" w14:textId="77777777" w:rsidR="00BB2CB4" w:rsidRPr="00222C32" w:rsidRDefault="000674DA">
            <w:pPr>
              <w:pStyle w:val="Summarytabletextrightaligned"/>
            </w:pPr>
            <w:r w:rsidRPr="00222C32">
              <w:t>..</w:t>
            </w:r>
          </w:p>
        </w:tc>
        <w:tc>
          <w:tcPr>
            <w:tcW w:w="850" w:type="dxa"/>
            <w:vAlign w:val="bottom"/>
          </w:tcPr>
          <w:p w14:paraId="73D849A7" w14:textId="77777777" w:rsidR="00BB2CB4" w:rsidRPr="00222C32" w:rsidRDefault="000674DA">
            <w:pPr>
              <w:pStyle w:val="Summarytabletextrightaligned"/>
            </w:pPr>
            <w:r w:rsidRPr="00222C32">
              <w:t>..</w:t>
            </w:r>
          </w:p>
        </w:tc>
        <w:tc>
          <w:tcPr>
            <w:tcW w:w="850" w:type="dxa"/>
            <w:vAlign w:val="bottom"/>
          </w:tcPr>
          <w:p w14:paraId="4B8E886C" w14:textId="77777777" w:rsidR="00BB2CB4" w:rsidRPr="00222C32" w:rsidRDefault="000674DA">
            <w:pPr>
              <w:pStyle w:val="Summarytabletextrightaligned"/>
            </w:pPr>
            <w:r w:rsidRPr="00222C32">
              <w:t>..</w:t>
            </w:r>
          </w:p>
        </w:tc>
      </w:tr>
      <w:tr w:rsidR="00BB2CB4" w:rsidRPr="00222C32" w14:paraId="449A45E5" w14:textId="77777777" w:rsidTr="00825163">
        <w:tc>
          <w:tcPr>
            <w:tcW w:w="3471" w:type="dxa"/>
            <w:vAlign w:val="bottom"/>
          </w:tcPr>
          <w:p w14:paraId="4BC0DADD" w14:textId="77777777" w:rsidR="00BB2CB4" w:rsidRPr="00222C32" w:rsidRDefault="000674DA">
            <w:pPr>
              <w:pStyle w:val="SummaryMeasureTitlewithTheme"/>
            </w:pPr>
            <w:r w:rsidRPr="00222C32">
              <w:t>Pharmaceutical Benefits Scheme New and Amended Listings(b)</w:t>
            </w:r>
          </w:p>
        </w:tc>
        <w:tc>
          <w:tcPr>
            <w:tcW w:w="850" w:type="dxa"/>
            <w:vAlign w:val="bottom"/>
          </w:tcPr>
          <w:p w14:paraId="40992F85" w14:textId="77777777" w:rsidR="00BB2CB4" w:rsidRPr="00222C32" w:rsidRDefault="000674DA">
            <w:pPr>
              <w:pStyle w:val="Summarytabletextrightaligned"/>
            </w:pPr>
            <w:r w:rsidRPr="00222C32">
              <w:t>-</w:t>
            </w:r>
          </w:p>
        </w:tc>
        <w:tc>
          <w:tcPr>
            <w:tcW w:w="850" w:type="dxa"/>
            <w:shd w:val="clear" w:color="auto" w:fill="E6F2FF"/>
            <w:vAlign w:val="bottom"/>
          </w:tcPr>
          <w:p w14:paraId="4FC0D5FC" w14:textId="77777777" w:rsidR="00BB2CB4" w:rsidRPr="00222C32" w:rsidRDefault="000674DA">
            <w:pPr>
              <w:pStyle w:val="Summarytabletextrightaligned"/>
            </w:pPr>
            <w:r w:rsidRPr="00222C32">
              <w:t>280.9</w:t>
            </w:r>
          </w:p>
        </w:tc>
        <w:tc>
          <w:tcPr>
            <w:tcW w:w="850" w:type="dxa"/>
            <w:vAlign w:val="bottom"/>
          </w:tcPr>
          <w:p w14:paraId="33DE0821" w14:textId="77777777" w:rsidR="00BB2CB4" w:rsidRPr="00222C32" w:rsidRDefault="000674DA">
            <w:pPr>
              <w:pStyle w:val="Summarytabletextrightaligned"/>
            </w:pPr>
            <w:r w:rsidRPr="00222C32">
              <w:t>406.7</w:t>
            </w:r>
          </w:p>
        </w:tc>
        <w:tc>
          <w:tcPr>
            <w:tcW w:w="850" w:type="dxa"/>
            <w:vAlign w:val="bottom"/>
          </w:tcPr>
          <w:p w14:paraId="67EA9CD2" w14:textId="77777777" w:rsidR="00BB2CB4" w:rsidRPr="00222C32" w:rsidRDefault="000674DA">
            <w:pPr>
              <w:pStyle w:val="Summarytabletextrightaligned"/>
            </w:pPr>
            <w:r w:rsidRPr="00222C32">
              <w:t>509.1</w:t>
            </w:r>
          </w:p>
        </w:tc>
        <w:tc>
          <w:tcPr>
            <w:tcW w:w="850" w:type="dxa"/>
            <w:vAlign w:val="bottom"/>
          </w:tcPr>
          <w:p w14:paraId="2E8F2564" w14:textId="77777777" w:rsidR="00BB2CB4" w:rsidRPr="00222C32" w:rsidRDefault="000674DA">
            <w:pPr>
              <w:pStyle w:val="Summarytabletextrightaligned"/>
            </w:pPr>
            <w:r w:rsidRPr="00222C32">
              <w:t>610.3</w:t>
            </w:r>
          </w:p>
        </w:tc>
      </w:tr>
      <w:tr w:rsidR="00BB2CB4" w:rsidRPr="00222C32" w14:paraId="1303CD3E" w14:textId="77777777" w:rsidTr="00825163">
        <w:tc>
          <w:tcPr>
            <w:tcW w:w="3471" w:type="dxa"/>
            <w:vAlign w:val="bottom"/>
          </w:tcPr>
          <w:p w14:paraId="6D78307D" w14:textId="77777777" w:rsidR="00BB2CB4" w:rsidRPr="00222C32" w:rsidRDefault="000674DA">
            <w:pPr>
              <w:pStyle w:val="SummaryMeasureTitlewithTheme"/>
            </w:pPr>
            <w:r w:rsidRPr="00222C32">
              <w:t>Preventive Health</w:t>
            </w:r>
          </w:p>
        </w:tc>
        <w:tc>
          <w:tcPr>
            <w:tcW w:w="850" w:type="dxa"/>
            <w:vAlign w:val="bottom"/>
          </w:tcPr>
          <w:p w14:paraId="36E9247F" w14:textId="77777777" w:rsidR="00BB2CB4" w:rsidRPr="00222C32" w:rsidRDefault="000674DA">
            <w:pPr>
              <w:pStyle w:val="Summarytabletextrightaligned"/>
            </w:pPr>
            <w:r w:rsidRPr="00222C32">
              <w:t>-</w:t>
            </w:r>
          </w:p>
        </w:tc>
        <w:tc>
          <w:tcPr>
            <w:tcW w:w="850" w:type="dxa"/>
            <w:shd w:val="clear" w:color="auto" w:fill="E6F2FF"/>
            <w:vAlign w:val="bottom"/>
          </w:tcPr>
          <w:p w14:paraId="2929E3FF" w14:textId="77777777" w:rsidR="00BB2CB4" w:rsidRPr="00222C32" w:rsidRDefault="000674DA">
            <w:pPr>
              <w:pStyle w:val="Summarytabletextrightaligned"/>
            </w:pPr>
            <w:r w:rsidRPr="00222C32">
              <w:t>7.5</w:t>
            </w:r>
          </w:p>
        </w:tc>
        <w:tc>
          <w:tcPr>
            <w:tcW w:w="850" w:type="dxa"/>
            <w:vAlign w:val="bottom"/>
          </w:tcPr>
          <w:p w14:paraId="471C6888" w14:textId="77777777" w:rsidR="00BB2CB4" w:rsidRPr="00222C32" w:rsidRDefault="000674DA">
            <w:pPr>
              <w:pStyle w:val="Summarytabletextrightaligned"/>
            </w:pPr>
            <w:r w:rsidRPr="00222C32">
              <w:t>26.3</w:t>
            </w:r>
          </w:p>
        </w:tc>
        <w:tc>
          <w:tcPr>
            <w:tcW w:w="850" w:type="dxa"/>
            <w:vAlign w:val="bottom"/>
          </w:tcPr>
          <w:p w14:paraId="27E2FA68" w14:textId="77777777" w:rsidR="00BB2CB4" w:rsidRPr="00222C32" w:rsidRDefault="000674DA">
            <w:pPr>
              <w:pStyle w:val="Summarytabletextrightaligned"/>
            </w:pPr>
            <w:r w:rsidRPr="00222C32">
              <w:t>7.5</w:t>
            </w:r>
          </w:p>
        </w:tc>
        <w:tc>
          <w:tcPr>
            <w:tcW w:w="850" w:type="dxa"/>
            <w:vAlign w:val="bottom"/>
          </w:tcPr>
          <w:p w14:paraId="49AD28D2" w14:textId="77777777" w:rsidR="00BB2CB4" w:rsidRPr="00222C32" w:rsidRDefault="000674DA">
            <w:pPr>
              <w:pStyle w:val="Summarytabletextrightaligned"/>
            </w:pPr>
            <w:r w:rsidRPr="00222C32">
              <w:t>-</w:t>
            </w:r>
          </w:p>
        </w:tc>
      </w:tr>
      <w:tr w:rsidR="00BB2CB4" w:rsidRPr="00222C32" w14:paraId="04891258" w14:textId="77777777" w:rsidTr="00825163">
        <w:tc>
          <w:tcPr>
            <w:tcW w:w="3471" w:type="dxa"/>
            <w:vAlign w:val="bottom"/>
          </w:tcPr>
          <w:p w14:paraId="13E58BE8" w14:textId="77777777" w:rsidR="00BB2CB4" w:rsidRPr="00222C32" w:rsidRDefault="000674DA">
            <w:pPr>
              <w:pStyle w:val="SummaryMeasureTitlewithTheme"/>
            </w:pPr>
            <w:r w:rsidRPr="00222C32">
              <w:t>Resetting Social Security Deeming Rates(b)</w:t>
            </w:r>
          </w:p>
        </w:tc>
        <w:tc>
          <w:tcPr>
            <w:tcW w:w="850" w:type="dxa"/>
            <w:vAlign w:val="bottom"/>
          </w:tcPr>
          <w:p w14:paraId="68350896" w14:textId="77777777" w:rsidR="00BB2CB4" w:rsidRPr="00222C32" w:rsidRDefault="000674DA">
            <w:pPr>
              <w:pStyle w:val="Summarytabletextrightaligned"/>
            </w:pPr>
            <w:r w:rsidRPr="00222C32">
              <w:t>-</w:t>
            </w:r>
          </w:p>
        </w:tc>
        <w:tc>
          <w:tcPr>
            <w:tcW w:w="850" w:type="dxa"/>
            <w:shd w:val="clear" w:color="auto" w:fill="E6F2FF"/>
            <w:vAlign w:val="bottom"/>
          </w:tcPr>
          <w:p w14:paraId="5597635E" w14:textId="77777777" w:rsidR="00BB2CB4" w:rsidRPr="00222C32" w:rsidRDefault="000674DA">
            <w:pPr>
              <w:pStyle w:val="Summarytabletextrightaligned"/>
            </w:pPr>
            <w:r w:rsidRPr="00222C32">
              <w:t>-19.5</w:t>
            </w:r>
          </w:p>
        </w:tc>
        <w:tc>
          <w:tcPr>
            <w:tcW w:w="850" w:type="dxa"/>
            <w:vAlign w:val="bottom"/>
          </w:tcPr>
          <w:p w14:paraId="2BCBF72C" w14:textId="77777777" w:rsidR="00BB2CB4" w:rsidRPr="00222C32" w:rsidRDefault="000674DA">
            <w:pPr>
              <w:pStyle w:val="Summarytabletextrightaligned"/>
            </w:pPr>
            <w:r w:rsidRPr="00222C32">
              <w:t>-41.1</w:t>
            </w:r>
          </w:p>
        </w:tc>
        <w:tc>
          <w:tcPr>
            <w:tcW w:w="850" w:type="dxa"/>
            <w:vAlign w:val="bottom"/>
          </w:tcPr>
          <w:p w14:paraId="4AD62DA6" w14:textId="77777777" w:rsidR="00BB2CB4" w:rsidRPr="00222C32" w:rsidRDefault="000674DA">
            <w:pPr>
              <w:pStyle w:val="Summarytabletextrightaligned"/>
            </w:pPr>
            <w:r w:rsidRPr="00222C32">
              <w:t>-43.0</w:t>
            </w:r>
          </w:p>
        </w:tc>
        <w:tc>
          <w:tcPr>
            <w:tcW w:w="850" w:type="dxa"/>
            <w:vAlign w:val="bottom"/>
          </w:tcPr>
          <w:p w14:paraId="15A20AE8" w14:textId="77777777" w:rsidR="00BB2CB4" w:rsidRPr="00222C32" w:rsidRDefault="000674DA">
            <w:pPr>
              <w:pStyle w:val="Summarytabletextrightaligned"/>
            </w:pPr>
            <w:r w:rsidRPr="00222C32">
              <w:t>-43.6</w:t>
            </w:r>
          </w:p>
        </w:tc>
      </w:tr>
      <w:tr w:rsidR="00BB2CB4" w:rsidRPr="00222C32" w14:paraId="775E9922" w14:textId="77777777" w:rsidTr="00825163">
        <w:tc>
          <w:tcPr>
            <w:tcW w:w="3471" w:type="dxa"/>
            <w:vAlign w:val="bottom"/>
          </w:tcPr>
          <w:p w14:paraId="199165F4" w14:textId="77777777" w:rsidR="00BB2CB4" w:rsidRPr="00222C32" w:rsidRDefault="000674DA">
            <w:pPr>
              <w:pStyle w:val="SummaryMeasureTitlewithTheme"/>
            </w:pPr>
            <w:r w:rsidRPr="00222C32">
              <w:t>Strengthening Medicare – establishing 1800MEDICARE and Medicare Urgent Care Clinics additional support</w:t>
            </w:r>
          </w:p>
        </w:tc>
        <w:tc>
          <w:tcPr>
            <w:tcW w:w="850" w:type="dxa"/>
            <w:vAlign w:val="bottom"/>
          </w:tcPr>
          <w:p w14:paraId="7A010D04" w14:textId="77777777" w:rsidR="00BB2CB4" w:rsidRPr="00222C32" w:rsidRDefault="000674DA">
            <w:pPr>
              <w:pStyle w:val="Summarytabletextrightaligned"/>
            </w:pPr>
            <w:r w:rsidRPr="00222C32">
              <w:t>-</w:t>
            </w:r>
          </w:p>
        </w:tc>
        <w:tc>
          <w:tcPr>
            <w:tcW w:w="850" w:type="dxa"/>
            <w:shd w:val="clear" w:color="auto" w:fill="E6F2FF"/>
            <w:vAlign w:val="bottom"/>
          </w:tcPr>
          <w:p w14:paraId="155D4851" w14:textId="77777777" w:rsidR="00BB2CB4" w:rsidRPr="00222C32" w:rsidRDefault="000674DA">
            <w:pPr>
              <w:pStyle w:val="Summarytabletextrightaligned"/>
            </w:pPr>
            <w:r w:rsidRPr="00222C32">
              <w:t>59.3</w:t>
            </w:r>
          </w:p>
        </w:tc>
        <w:tc>
          <w:tcPr>
            <w:tcW w:w="850" w:type="dxa"/>
            <w:vAlign w:val="bottom"/>
          </w:tcPr>
          <w:p w14:paraId="36AC1AA0" w14:textId="77777777" w:rsidR="00BB2CB4" w:rsidRPr="00222C32" w:rsidRDefault="000674DA">
            <w:pPr>
              <w:pStyle w:val="Summarytabletextrightaligned"/>
            </w:pPr>
            <w:r w:rsidRPr="00222C32">
              <w:t>54.4</w:t>
            </w:r>
          </w:p>
        </w:tc>
        <w:tc>
          <w:tcPr>
            <w:tcW w:w="850" w:type="dxa"/>
            <w:vAlign w:val="bottom"/>
          </w:tcPr>
          <w:p w14:paraId="038645BE" w14:textId="77777777" w:rsidR="00BB2CB4" w:rsidRPr="00222C32" w:rsidRDefault="000674DA">
            <w:pPr>
              <w:pStyle w:val="Summarytabletextrightaligned"/>
            </w:pPr>
            <w:r w:rsidRPr="00222C32">
              <w:t>44.6</w:t>
            </w:r>
          </w:p>
        </w:tc>
        <w:tc>
          <w:tcPr>
            <w:tcW w:w="850" w:type="dxa"/>
            <w:vAlign w:val="bottom"/>
          </w:tcPr>
          <w:p w14:paraId="512E46CA" w14:textId="77777777" w:rsidR="00BB2CB4" w:rsidRPr="00222C32" w:rsidRDefault="000674DA">
            <w:pPr>
              <w:pStyle w:val="Summarytabletextrightaligned"/>
            </w:pPr>
            <w:r w:rsidRPr="00222C32">
              <w:t>46.5</w:t>
            </w:r>
          </w:p>
        </w:tc>
      </w:tr>
      <w:tr w:rsidR="00BB2CB4" w:rsidRPr="00222C32" w14:paraId="6B6D3202" w14:textId="77777777" w:rsidTr="00825163">
        <w:tc>
          <w:tcPr>
            <w:tcW w:w="3471" w:type="dxa"/>
            <w:vAlign w:val="bottom"/>
          </w:tcPr>
          <w:p w14:paraId="0325A0D2" w14:textId="77777777" w:rsidR="00BB2CB4" w:rsidRPr="00222C32" w:rsidRDefault="000674DA">
            <w:pPr>
              <w:pStyle w:val="SummaryMeasureTitlewithTheme"/>
            </w:pPr>
            <w:r w:rsidRPr="00222C32">
              <w:t>Support for People with Disability</w:t>
            </w:r>
          </w:p>
        </w:tc>
        <w:tc>
          <w:tcPr>
            <w:tcW w:w="850" w:type="dxa"/>
            <w:vAlign w:val="bottom"/>
          </w:tcPr>
          <w:p w14:paraId="55974851" w14:textId="77777777" w:rsidR="00BB2CB4" w:rsidRPr="00222C32" w:rsidRDefault="000674DA">
            <w:pPr>
              <w:pStyle w:val="Summarytabletextrightaligned"/>
            </w:pPr>
            <w:r w:rsidRPr="00222C32">
              <w:t>-</w:t>
            </w:r>
          </w:p>
        </w:tc>
        <w:tc>
          <w:tcPr>
            <w:tcW w:w="850" w:type="dxa"/>
            <w:shd w:val="clear" w:color="auto" w:fill="E6F2FF"/>
            <w:vAlign w:val="bottom"/>
          </w:tcPr>
          <w:p w14:paraId="27BE35D4" w14:textId="77777777" w:rsidR="00BB2CB4" w:rsidRPr="00222C32" w:rsidRDefault="000674DA">
            <w:pPr>
              <w:pStyle w:val="Summarytabletextrightaligned"/>
            </w:pPr>
            <w:r w:rsidRPr="00222C32">
              <w:t>-3.3</w:t>
            </w:r>
          </w:p>
        </w:tc>
        <w:tc>
          <w:tcPr>
            <w:tcW w:w="850" w:type="dxa"/>
            <w:vAlign w:val="bottom"/>
          </w:tcPr>
          <w:p w14:paraId="4723CDCC" w14:textId="77777777" w:rsidR="00BB2CB4" w:rsidRPr="00222C32" w:rsidRDefault="000674DA">
            <w:pPr>
              <w:pStyle w:val="Summarytabletextrightaligned"/>
            </w:pPr>
            <w:r w:rsidRPr="00222C32">
              <w:t>2.8</w:t>
            </w:r>
          </w:p>
        </w:tc>
        <w:tc>
          <w:tcPr>
            <w:tcW w:w="850" w:type="dxa"/>
            <w:vAlign w:val="bottom"/>
          </w:tcPr>
          <w:p w14:paraId="439AE566" w14:textId="77777777" w:rsidR="00BB2CB4" w:rsidRPr="00222C32" w:rsidRDefault="000674DA">
            <w:pPr>
              <w:pStyle w:val="Summarytabletextrightaligned"/>
            </w:pPr>
            <w:r w:rsidRPr="00222C32">
              <w:t>2.9</w:t>
            </w:r>
          </w:p>
        </w:tc>
        <w:tc>
          <w:tcPr>
            <w:tcW w:w="850" w:type="dxa"/>
            <w:vAlign w:val="bottom"/>
          </w:tcPr>
          <w:p w14:paraId="285F4F2D" w14:textId="77777777" w:rsidR="00BB2CB4" w:rsidRPr="00222C32" w:rsidRDefault="000674DA">
            <w:pPr>
              <w:pStyle w:val="Summarytabletextrightaligned"/>
            </w:pPr>
            <w:r w:rsidRPr="00222C32">
              <w:t>-</w:t>
            </w:r>
          </w:p>
        </w:tc>
      </w:tr>
      <w:tr w:rsidR="00BB2CB4" w:rsidRPr="00222C32" w14:paraId="3854B7FF" w14:textId="77777777" w:rsidTr="00825163">
        <w:tc>
          <w:tcPr>
            <w:tcW w:w="3471" w:type="dxa"/>
            <w:vAlign w:val="bottom"/>
          </w:tcPr>
          <w:p w14:paraId="57246D90" w14:textId="77777777" w:rsidR="00BB2CB4" w:rsidRPr="00222C32" w:rsidRDefault="000674DA">
            <w:pPr>
              <w:pStyle w:val="SummaryMeasureTitlewithTheme"/>
            </w:pPr>
            <w:r w:rsidRPr="00222C32">
              <w:t>Supporting Medical Research</w:t>
            </w:r>
          </w:p>
        </w:tc>
        <w:tc>
          <w:tcPr>
            <w:tcW w:w="850" w:type="dxa"/>
            <w:vAlign w:val="bottom"/>
          </w:tcPr>
          <w:p w14:paraId="2B8C0A73" w14:textId="77777777" w:rsidR="00BB2CB4" w:rsidRPr="00222C32" w:rsidRDefault="000674DA">
            <w:pPr>
              <w:pStyle w:val="Summarytabletextrightaligned"/>
            </w:pPr>
            <w:r w:rsidRPr="00222C32">
              <w:t>-</w:t>
            </w:r>
          </w:p>
        </w:tc>
        <w:tc>
          <w:tcPr>
            <w:tcW w:w="850" w:type="dxa"/>
            <w:shd w:val="clear" w:color="auto" w:fill="E6F2FF"/>
            <w:vAlign w:val="bottom"/>
          </w:tcPr>
          <w:p w14:paraId="3679AF26" w14:textId="77777777" w:rsidR="00BB2CB4" w:rsidRPr="00222C32" w:rsidRDefault="000674DA">
            <w:pPr>
              <w:pStyle w:val="Summarytabletextrightaligned"/>
            </w:pPr>
            <w:r w:rsidRPr="00222C32">
              <w:t>2.5</w:t>
            </w:r>
          </w:p>
        </w:tc>
        <w:tc>
          <w:tcPr>
            <w:tcW w:w="850" w:type="dxa"/>
            <w:vAlign w:val="bottom"/>
          </w:tcPr>
          <w:p w14:paraId="754128AE" w14:textId="77777777" w:rsidR="00BB2CB4" w:rsidRPr="00222C32" w:rsidRDefault="000674DA">
            <w:pPr>
              <w:pStyle w:val="Summarytabletextrightaligned"/>
            </w:pPr>
            <w:r w:rsidRPr="00222C32">
              <w:t>2.5</w:t>
            </w:r>
          </w:p>
        </w:tc>
        <w:tc>
          <w:tcPr>
            <w:tcW w:w="850" w:type="dxa"/>
            <w:vAlign w:val="bottom"/>
          </w:tcPr>
          <w:p w14:paraId="5FC2A048" w14:textId="77777777" w:rsidR="00BB2CB4" w:rsidRPr="00222C32" w:rsidRDefault="000674DA">
            <w:pPr>
              <w:pStyle w:val="Summarytabletextrightaligned"/>
            </w:pPr>
            <w:r w:rsidRPr="00222C32">
              <w:t>2.5</w:t>
            </w:r>
          </w:p>
        </w:tc>
        <w:tc>
          <w:tcPr>
            <w:tcW w:w="850" w:type="dxa"/>
            <w:vAlign w:val="bottom"/>
          </w:tcPr>
          <w:p w14:paraId="488BDAC6" w14:textId="77777777" w:rsidR="00BB2CB4" w:rsidRPr="00222C32" w:rsidRDefault="000674DA">
            <w:pPr>
              <w:pStyle w:val="Summarytabletextrightaligned"/>
            </w:pPr>
            <w:r w:rsidRPr="00222C32">
              <w:t>-</w:t>
            </w:r>
          </w:p>
        </w:tc>
      </w:tr>
      <w:tr w:rsidR="00BB2CB4" w:rsidRPr="00222C32" w14:paraId="6E481255" w14:textId="77777777" w:rsidTr="00825163">
        <w:tc>
          <w:tcPr>
            <w:tcW w:w="3471" w:type="dxa"/>
            <w:vAlign w:val="bottom"/>
          </w:tcPr>
          <w:p w14:paraId="252371DA" w14:textId="77777777" w:rsidR="00BB2CB4" w:rsidRPr="00222C32" w:rsidRDefault="000674DA">
            <w:pPr>
              <w:pStyle w:val="SummaryMeasureTitlewithTheme"/>
            </w:pPr>
            <w:r w:rsidRPr="00222C32">
              <w:t>Supporting Multicultural Communities</w:t>
            </w:r>
          </w:p>
        </w:tc>
        <w:tc>
          <w:tcPr>
            <w:tcW w:w="850" w:type="dxa"/>
            <w:vAlign w:val="bottom"/>
          </w:tcPr>
          <w:p w14:paraId="5BD38538" w14:textId="77777777" w:rsidR="00BB2CB4" w:rsidRPr="00222C32" w:rsidRDefault="000674DA">
            <w:pPr>
              <w:pStyle w:val="Summarytabletextrightaligned"/>
            </w:pPr>
            <w:r w:rsidRPr="00222C32">
              <w:t>-</w:t>
            </w:r>
          </w:p>
        </w:tc>
        <w:tc>
          <w:tcPr>
            <w:tcW w:w="850" w:type="dxa"/>
            <w:shd w:val="clear" w:color="auto" w:fill="E6F2FF"/>
            <w:vAlign w:val="bottom"/>
          </w:tcPr>
          <w:p w14:paraId="5CAAAB0E" w14:textId="77777777" w:rsidR="00BB2CB4" w:rsidRPr="00222C32" w:rsidRDefault="000674DA">
            <w:pPr>
              <w:pStyle w:val="Summarytabletextrightaligned"/>
            </w:pPr>
            <w:r w:rsidRPr="00222C32">
              <w:t>-</w:t>
            </w:r>
          </w:p>
        </w:tc>
        <w:tc>
          <w:tcPr>
            <w:tcW w:w="850" w:type="dxa"/>
            <w:vAlign w:val="bottom"/>
          </w:tcPr>
          <w:p w14:paraId="1A711FA4" w14:textId="77777777" w:rsidR="00BB2CB4" w:rsidRPr="00222C32" w:rsidRDefault="000674DA">
            <w:pPr>
              <w:pStyle w:val="Summarytabletextrightaligned"/>
            </w:pPr>
            <w:r w:rsidRPr="00222C32">
              <w:t>-</w:t>
            </w:r>
          </w:p>
        </w:tc>
        <w:tc>
          <w:tcPr>
            <w:tcW w:w="850" w:type="dxa"/>
            <w:vAlign w:val="bottom"/>
          </w:tcPr>
          <w:p w14:paraId="00D78B1B" w14:textId="77777777" w:rsidR="00BB2CB4" w:rsidRPr="00222C32" w:rsidRDefault="000674DA">
            <w:pPr>
              <w:pStyle w:val="Summarytabletextrightaligned"/>
            </w:pPr>
            <w:r w:rsidRPr="00222C32">
              <w:t>-</w:t>
            </w:r>
          </w:p>
        </w:tc>
        <w:tc>
          <w:tcPr>
            <w:tcW w:w="850" w:type="dxa"/>
            <w:vAlign w:val="bottom"/>
          </w:tcPr>
          <w:p w14:paraId="68004AF2" w14:textId="77777777" w:rsidR="00BB2CB4" w:rsidRPr="00222C32" w:rsidRDefault="000674DA">
            <w:pPr>
              <w:pStyle w:val="Summarytabletextrightaligned"/>
            </w:pPr>
            <w:r w:rsidRPr="00222C32">
              <w:t>-</w:t>
            </w:r>
          </w:p>
        </w:tc>
      </w:tr>
      <w:tr w:rsidR="00BB2CB4" w:rsidRPr="00222C32" w14:paraId="2B10C1B7" w14:textId="77777777" w:rsidTr="00825163">
        <w:tc>
          <w:tcPr>
            <w:tcW w:w="3471" w:type="dxa"/>
            <w:vAlign w:val="bottom"/>
          </w:tcPr>
          <w:p w14:paraId="5DF44C2D" w14:textId="77777777" w:rsidR="00BB2CB4" w:rsidRPr="00222C32" w:rsidRDefault="000674DA">
            <w:pPr>
              <w:pStyle w:val="SummaryMeasureTitlewithTheme"/>
            </w:pPr>
            <w:r w:rsidRPr="00222C32">
              <w:t>Telethons</w:t>
            </w:r>
          </w:p>
        </w:tc>
        <w:tc>
          <w:tcPr>
            <w:tcW w:w="850" w:type="dxa"/>
            <w:vAlign w:val="bottom"/>
          </w:tcPr>
          <w:p w14:paraId="001B3996" w14:textId="77777777" w:rsidR="00BB2CB4" w:rsidRPr="00222C32" w:rsidRDefault="000674DA">
            <w:pPr>
              <w:pStyle w:val="Summarytabletextrightaligned"/>
            </w:pPr>
            <w:r w:rsidRPr="00222C32">
              <w:t>-</w:t>
            </w:r>
          </w:p>
        </w:tc>
        <w:tc>
          <w:tcPr>
            <w:tcW w:w="850" w:type="dxa"/>
            <w:shd w:val="clear" w:color="auto" w:fill="E6F2FF"/>
            <w:vAlign w:val="bottom"/>
          </w:tcPr>
          <w:p w14:paraId="2F7CDDCD" w14:textId="77777777" w:rsidR="00BB2CB4" w:rsidRPr="00222C32" w:rsidRDefault="000674DA">
            <w:pPr>
              <w:pStyle w:val="Summarytabletextrightaligned"/>
            </w:pPr>
            <w:r w:rsidRPr="00222C32">
              <w:t>4.7</w:t>
            </w:r>
          </w:p>
        </w:tc>
        <w:tc>
          <w:tcPr>
            <w:tcW w:w="850" w:type="dxa"/>
            <w:vAlign w:val="bottom"/>
          </w:tcPr>
          <w:p w14:paraId="6455BEB0" w14:textId="77777777" w:rsidR="00BB2CB4" w:rsidRPr="00222C32" w:rsidRDefault="000674DA">
            <w:pPr>
              <w:pStyle w:val="Summarytabletextrightaligned"/>
            </w:pPr>
            <w:r w:rsidRPr="00222C32">
              <w:t>-</w:t>
            </w:r>
          </w:p>
        </w:tc>
        <w:tc>
          <w:tcPr>
            <w:tcW w:w="850" w:type="dxa"/>
            <w:vAlign w:val="bottom"/>
          </w:tcPr>
          <w:p w14:paraId="48815D86" w14:textId="77777777" w:rsidR="00BB2CB4" w:rsidRPr="00222C32" w:rsidRDefault="000674DA">
            <w:pPr>
              <w:pStyle w:val="Summarytabletextrightaligned"/>
            </w:pPr>
            <w:r w:rsidRPr="00222C32">
              <w:t>-</w:t>
            </w:r>
          </w:p>
        </w:tc>
        <w:tc>
          <w:tcPr>
            <w:tcW w:w="850" w:type="dxa"/>
            <w:vAlign w:val="bottom"/>
          </w:tcPr>
          <w:p w14:paraId="25EDB3A0" w14:textId="77777777" w:rsidR="00BB2CB4" w:rsidRPr="00222C32" w:rsidRDefault="000674DA">
            <w:pPr>
              <w:pStyle w:val="Summarytabletextrightaligned"/>
            </w:pPr>
            <w:r w:rsidRPr="00222C32">
              <w:t>-</w:t>
            </w:r>
          </w:p>
        </w:tc>
      </w:tr>
      <w:tr w:rsidR="00BB2CB4" w:rsidRPr="00222C32" w14:paraId="50C1B995" w14:textId="77777777" w:rsidTr="00825163">
        <w:tc>
          <w:tcPr>
            <w:tcW w:w="3471" w:type="dxa"/>
            <w:vAlign w:val="bottom"/>
          </w:tcPr>
          <w:p w14:paraId="3CE452FC" w14:textId="77777777" w:rsidR="00BB2CB4" w:rsidRPr="00222C32" w:rsidRDefault="000674DA">
            <w:pPr>
              <w:pStyle w:val="SummaryMeasureTitlewithTheme"/>
            </w:pPr>
            <w:r w:rsidRPr="00222C32">
              <w:t>Treasury Portfolio – additional resourcing(b)</w:t>
            </w:r>
          </w:p>
        </w:tc>
        <w:tc>
          <w:tcPr>
            <w:tcW w:w="850" w:type="dxa"/>
            <w:vAlign w:val="bottom"/>
          </w:tcPr>
          <w:p w14:paraId="1E506EA8" w14:textId="77777777" w:rsidR="00BB2CB4" w:rsidRPr="00222C32" w:rsidRDefault="000674DA">
            <w:pPr>
              <w:pStyle w:val="Summarytabletextrightaligned"/>
            </w:pPr>
            <w:r w:rsidRPr="00222C32">
              <w:t>-</w:t>
            </w:r>
          </w:p>
        </w:tc>
        <w:tc>
          <w:tcPr>
            <w:tcW w:w="850" w:type="dxa"/>
            <w:shd w:val="clear" w:color="auto" w:fill="E6F2FF"/>
            <w:vAlign w:val="bottom"/>
          </w:tcPr>
          <w:p w14:paraId="0EB1E618" w14:textId="77777777" w:rsidR="00BB2CB4" w:rsidRPr="00222C32" w:rsidRDefault="000674DA">
            <w:pPr>
              <w:pStyle w:val="Summarytabletextrightaligned"/>
            </w:pPr>
            <w:r w:rsidRPr="00222C32">
              <w:t>-</w:t>
            </w:r>
          </w:p>
        </w:tc>
        <w:tc>
          <w:tcPr>
            <w:tcW w:w="850" w:type="dxa"/>
            <w:vAlign w:val="bottom"/>
          </w:tcPr>
          <w:p w14:paraId="59D4EFFF" w14:textId="77777777" w:rsidR="00BB2CB4" w:rsidRPr="00222C32" w:rsidRDefault="000674DA">
            <w:pPr>
              <w:pStyle w:val="Summarytabletextrightaligned"/>
            </w:pPr>
            <w:r w:rsidRPr="00222C32">
              <w:t>-</w:t>
            </w:r>
          </w:p>
        </w:tc>
        <w:tc>
          <w:tcPr>
            <w:tcW w:w="850" w:type="dxa"/>
            <w:vAlign w:val="bottom"/>
          </w:tcPr>
          <w:p w14:paraId="5907FC33" w14:textId="77777777" w:rsidR="00BB2CB4" w:rsidRPr="00222C32" w:rsidRDefault="000674DA">
            <w:pPr>
              <w:pStyle w:val="Summarytabletextrightaligned"/>
            </w:pPr>
            <w:r w:rsidRPr="00222C32">
              <w:t>-</w:t>
            </w:r>
          </w:p>
        </w:tc>
        <w:tc>
          <w:tcPr>
            <w:tcW w:w="850" w:type="dxa"/>
            <w:vAlign w:val="bottom"/>
          </w:tcPr>
          <w:p w14:paraId="22632651" w14:textId="77777777" w:rsidR="00BB2CB4" w:rsidRPr="00222C32" w:rsidRDefault="000674DA">
            <w:pPr>
              <w:pStyle w:val="Summarytabletextrightaligned"/>
            </w:pPr>
            <w:r w:rsidRPr="00222C32">
              <w:t>-1.9</w:t>
            </w:r>
          </w:p>
        </w:tc>
      </w:tr>
      <w:tr w:rsidR="00BB2CB4" w:rsidRPr="00222C32" w14:paraId="0962D607" w14:textId="77777777" w:rsidTr="00825163">
        <w:tc>
          <w:tcPr>
            <w:tcW w:w="3471" w:type="dxa"/>
            <w:vAlign w:val="bottom"/>
          </w:tcPr>
          <w:p w14:paraId="32F95FE6" w14:textId="77777777" w:rsidR="00BB2CB4" w:rsidRPr="00222C32" w:rsidRDefault="000674DA">
            <w:pPr>
              <w:pStyle w:val="SummaryMeasureTitlewithTheme"/>
            </w:pPr>
            <w:r w:rsidRPr="00222C32">
              <w:t>Upgrading Health Infrastructure</w:t>
            </w:r>
          </w:p>
        </w:tc>
        <w:tc>
          <w:tcPr>
            <w:tcW w:w="850" w:type="dxa"/>
            <w:vAlign w:val="bottom"/>
          </w:tcPr>
          <w:p w14:paraId="23E0BB12" w14:textId="77777777" w:rsidR="00BB2CB4" w:rsidRPr="00222C32" w:rsidRDefault="000674DA">
            <w:pPr>
              <w:pStyle w:val="Summarytabletextrightaligned"/>
            </w:pPr>
            <w:r w:rsidRPr="00222C32">
              <w:t>-</w:t>
            </w:r>
          </w:p>
        </w:tc>
        <w:tc>
          <w:tcPr>
            <w:tcW w:w="850" w:type="dxa"/>
            <w:shd w:val="clear" w:color="auto" w:fill="E6F2FF"/>
            <w:vAlign w:val="bottom"/>
          </w:tcPr>
          <w:p w14:paraId="7F756412" w14:textId="77777777" w:rsidR="00BB2CB4" w:rsidRPr="00222C32" w:rsidRDefault="000674DA">
            <w:pPr>
              <w:pStyle w:val="Summarytabletextrightaligned"/>
            </w:pPr>
            <w:r w:rsidRPr="00222C32">
              <w:t>14.5</w:t>
            </w:r>
          </w:p>
        </w:tc>
        <w:tc>
          <w:tcPr>
            <w:tcW w:w="850" w:type="dxa"/>
            <w:vAlign w:val="bottom"/>
          </w:tcPr>
          <w:p w14:paraId="558D1221" w14:textId="77777777" w:rsidR="00BB2CB4" w:rsidRPr="00222C32" w:rsidRDefault="000674DA">
            <w:pPr>
              <w:pStyle w:val="Summarytabletextrightaligned"/>
            </w:pPr>
            <w:r w:rsidRPr="00222C32">
              <w:t>14.8</w:t>
            </w:r>
          </w:p>
        </w:tc>
        <w:tc>
          <w:tcPr>
            <w:tcW w:w="850" w:type="dxa"/>
            <w:vAlign w:val="bottom"/>
          </w:tcPr>
          <w:p w14:paraId="1FFD651D" w14:textId="77777777" w:rsidR="00BB2CB4" w:rsidRPr="00222C32" w:rsidRDefault="000674DA">
            <w:pPr>
              <w:pStyle w:val="Summarytabletextrightaligned"/>
            </w:pPr>
            <w:r w:rsidRPr="00222C32">
              <w:t>0.7</w:t>
            </w:r>
          </w:p>
        </w:tc>
        <w:tc>
          <w:tcPr>
            <w:tcW w:w="850" w:type="dxa"/>
            <w:vAlign w:val="bottom"/>
          </w:tcPr>
          <w:p w14:paraId="571CDD4E" w14:textId="77777777" w:rsidR="00BB2CB4" w:rsidRPr="00222C32" w:rsidRDefault="000674DA">
            <w:pPr>
              <w:pStyle w:val="Summarytabletextrightaligned"/>
            </w:pPr>
            <w:r w:rsidRPr="00222C32">
              <w:t>0.7</w:t>
            </w:r>
          </w:p>
        </w:tc>
      </w:tr>
      <w:tr w:rsidR="00BB2CB4" w:rsidRPr="00222C32" w14:paraId="14A2AE95" w14:textId="77777777" w:rsidTr="00825163">
        <w:tc>
          <w:tcPr>
            <w:tcW w:w="3471" w:type="dxa"/>
            <w:vAlign w:val="bottom"/>
          </w:tcPr>
          <w:p w14:paraId="2FB9721B" w14:textId="77777777" w:rsidR="00BB2CB4" w:rsidRPr="00222C32" w:rsidRDefault="000674DA">
            <w:pPr>
              <w:pStyle w:val="SummaryAgencyTitle-BP2"/>
            </w:pPr>
            <w:r w:rsidRPr="00222C32">
              <w:t>National Disability Insurance Agency</w:t>
            </w:r>
          </w:p>
        </w:tc>
        <w:tc>
          <w:tcPr>
            <w:tcW w:w="850" w:type="dxa"/>
          </w:tcPr>
          <w:p w14:paraId="785B4C0C" w14:textId="77777777" w:rsidR="00BB2CB4" w:rsidRPr="00222C32" w:rsidRDefault="00BB2CB4">
            <w:pPr>
              <w:pStyle w:val="SummaryAgencyTitle-BP2"/>
            </w:pPr>
          </w:p>
        </w:tc>
        <w:tc>
          <w:tcPr>
            <w:tcW w:w="850" w:type="dxa"/>
            <w:shd w:val="clear" w:color="auto" w:fill="E6F2FF"/>
          </w:tcPr>
          <w:p w14:paraId="61816B2F" w14:textId="77777777" w:rsidR="00BB2CB4" w:rsidRPr="00222C32" w:rsidRDefault="00BB2CB4">
            <w:pPr>
              <w:pStyle w:val="SummaryAgencyTitle-BP2"/>
            </w:pPr>
          </w:p>
        </w:tc>
        <w:tc>
          <w:tcPr>
            <w:tcW w:w="850" w:type="dxa"/>
          </w:tcPr>
          <w:p w14:paraId="3CF9C99C" w14:textId="77777777" w:rsidR="00BB2CB4" w:rsidRPr="00222C32" w:rsidRDefault="00BB2CB4">
            <w:pPr>
              <w:pStyle w:val="SummaryAgencyTitle-BP2"/>
            </w:pPr>
          </w:p>
        </w:tc>
        <w:tc>
          <w:tcPr>
            <w:tcW w:w="850" w:type="dxa"/>
          </w:tcPr>
          <w:p w14:paraId="55B82FDA" w14:textId="77777777" w:rsidR="00BB2CB4" w:rsidRPr="00222C32" w:rsidRDefault="00BB2CB4">
            <w:pPr>
              <w:pStyle w:val="SummaryAgencyTitle-BP2"/>
            </w:pPr>
          </w:p>
        </w:tc>
        <w:tc>
          <w:tcPr>
            <w:tcW w:w="850" w:type="dxa"/>
          </w:tcPr>
          <w:p w14:paraId="1610914B" w14:textId="77777777" w:rsidR="00BB2CB4" w:rsidRPr="00222C32" w:rsidRDefault="00BB2CB4">
            <w:pPr>
              <w:pStyle w:val="SummaryAgencyTitle-BP2"/>
            </w:pPr>
          </w:p>
        </w:tc>
      </w:tr>
      <w:tr w:rsidR="00BB2CB4" w:rsidRPr="00222C32" w14:paraId="303A3048" w14:textId="77777777" w:rsidTr="00825163">
        <w:tc>
          <w:tcPr>
            <w:tcW w:w="3471" w:type="dxa"/>
            <w:vAlign w:val="bottom"/>
          </w:tcPr>
          <w:p w14:paraId="401056C8" w14:textId="77777777" w:rsidR="00BB2CB4" w:rsidRPr="00222C32" w:rsidRDefault="000674DA">
            <w:pPr>
              <w:pStyle w:val="SummaryMeasureTitlewithTheme"/>
            </w:pPr>
            <w:r w:rsidRPr="00222C32">
              <w:t>Permanent Migration Program – 2025–26 planning levels(b)</w:t>
            </w:r>
          </w:p>
        </w:tc>
        <w:tc>
          <w:tcPr>
            <w:tcW w:w="850" w:type="dxa"/>
            <w:vAlign w:val="bottom"/>
          </w:tcPr>
          <w:p w14:paraId="4DDE0987" w14:textId="77777777" w:rsidR="00BB2CB4" w:rsidRPr="00222C32" w:rsidRDefault="000674DA">
            <w:pPr>
              <w:pStyle w:val="Summarytabletextrightaligned"/>
            </w:pPr>
            <w:r w:rsidRPr="00222C32">
              <w:t>-</w:t>
            </w:r>
          </w:p>
        </w:tc>
        <w:tc>
          <w:tcPr>
            <w:tcW w:w="850" w:type="dxa"/>
            <w:shd w:val="clear" w:color="auto" w:fill="E6F2FF"/>
            <w:vAlign w:val="bottom"/>
          </w:tcPr>
          <w:p w14:paraId="5A2055D6" w14:textId="77777777" w:rsidR="00BB2CB4" w:rsidRPr="00222C32" w:rsidRDefault="000674DA">
            <w:pPr>
              <w:pStyle w:val="Summarytabletextrightaligned"/>
            </w:pPr>
            <w:r w:rsidRPr="00222C32">
              <w:t>..</w:t>
            </w:r>
          </w:p>
        </w:tc>
        <w:tc>
          <w:tcPr>
            <w:tcW w:w="850" w:type="dxa"/>
            <w:vAlign w:val="bottom"/>
          </w:tcPr>
          <w:p w14:paraId="2589CBC2" w14:textId="77777777" w:rsidR="00BB2CB4" w:rsidRPr="00222C32" w:rsidRDefault="000674DA">
            <w:pPr>
              <w:pStyle w:val="Summarytabletextrightaligned"/>
            </w:pPr>
            <w:r w:rsidRPr="00222C32">
              <w:t>..</w:t>
            </w:r>
          </w:p>
        </w:tc>
        <w:tc>
          <w:tcPr>
            <w:tcW w:w="850" w:type="dxa"/>
            <w:vAlign w:val="bottom"/>
          </w:tcPr>
          <w:p w14:paraId="325AA339" w14:textId="77777777" w:rsidR="00BB2CB4" w:rsidRPr="00222C32" w:rsidRDefault="000674DA">
            <w:pPr>
              <w:pStyle w:val="Summarytabletextrightaligned"/>
            </w:pPr>
            <w:r w:rsidRPr="00222C32">
              <w:t>-0.1</w:t>
            </w:r>
          </w:p>
        </w:tc>
        <w:tc>
          <w:tcPr>
            <w:tcW w:w="850" w:type="dxa"/>
            <w:vAlign w:val="bottom"/>
          </w:tcPr>
          <w:p w14:paraId="5A34A210" w14:textId="77777777" w:rsidR="00BB2CB4" w:rsidRPr="00222C32" w:rsidRDefault="000674DA">
            <w:pPr>
              <w:pStyle w:val="Summarytabletextrightaligned"/>
            </w:pPr>
            <w:r w:rsidRPr="00222C32">
              <w:t>-0.1</w:t>
            </w:r>
          </w:p>
        </w:tc>
      </w:tr>
      <w:tr w:rsidR="00BB2CB4" w:rsidRPr="00222C32" w14:paraId="5B9CCFF5" w14:textId="77777777" w:rsidTr="00825163">
        <w:tc>
          <w:tcPr>
            <w:tcW w:w="3471" w:type="dxa"/>
            <w:vAlign w:val="bottom"/>
          </w:tcPr>
          <w:p w14:paraId="435B0649" w14:textId="77777777" w:rsidR="00BB2CB4" w:rsidRPr="00222C32" w:rsidRDefault="000674DA">
            <w:pPr>
              <w:pStyle w:val="SummaryAgencyTitle-BP2"/>
            </w:pPr>
            <w:r w:rsidRPr="00222C32">
              <w:t>National Health and Medical Research Council</w:t>
            </w:r>
          </w:p>
        </w:tc>
        <w:tc>
          <w:tcPr>
            <w:tcW w:w="850" w:type="dxa"/>
          </w:tcPr>
          <w:p w14:paraId="160CE6FA" w14:textId="77777777" w:rsidR="00BB2CB4" w:rsidRPr="00222C32" w:rsidRDefault="00BB2CB4">
            <w:pPr>
              <w:pStyle w:val="SummaryAgencyTitle-BP2"/>
            </w:pPr>
          </w:p>
        </w:tc>
        <w:tc>
          <w:tcPr>
            <w:tcW w:w="850" w:type="dxa"/>
            <w:shd w:val="clear" w:color="auto" w:fill="E6F2FF"/>
          </w:tcPr>
          <w:p w14:paraId="0805D11A" w14:textId="77777777" w:rsidR="00BB2CB4" w:rsidRPr="00222C32" w:rsidRDefault="00BB2CB4">
            <w:pPr>
              <w:pStyle w:val="SummaryAgencyTitle-BP2"/>
            </w:pPr>
          </w:p>
        </w:tc>
        <w:tc>
          <w:tcPr>
            <w:tcW w:w="850" w:type="dxa"/>
          </w:tcPr>
          <w:p w14:paraId="62338279" w14:textId="77777777" w:rsidR="00BB2CB4" w:rsidRPr="00222C32" w:rsidRDefault="00BB2CB4">
            <w:pPr>
              <w:pStyle w:val="SummaryAgencyTitle-BP2"/>
            </w:pPr>
          </w:p>
        </w:tc>
        <w:tc>
          <w:tcPr>
            <w:tcW w:w="850" w:type="dxa"/>
          </w:tcPr>
          <w:p w14:paraId="6D21465A" w14:textId="77777777" w:rsidR="00BB2CB4" w:rsidRPr="00222C32" w:rsidRDefault="00BB2CB4">
            <w:pPr>
              <w:pStyle w:val="SummaryAgencyTitle-BP2"/>
            </w:pPr>
          </w:p>
        </w:tc>
        <w:tc>
          <w:tcPr>
            <w:tcW w:w="850" w:type="dxa"/>
          </w:tcPr>
          <w:p w14:paraId="3094E834" w14:textId="77777777" w:rsidR="00BB2CB4" w:rsidRPr="00222C32" w:rsidRDefault="00BB2CB4">
            <w:pPr>
              <w:pStyle w:val="SummaryAgencyTitle-BP2"/>
            </w:pPr>
          </w:p>
        </w:tc>
      </w:tr>
      <w:tr w:rsidR="00BB2CB4" w:rsidRPr="00222C32" w14:paraId="03D9EB47" w14:textId="77777777" w:rsidTr="00825163">
        <w:tc>
          <w:tcPr>
            <w:tcW w:w="3471" w:type="dxa"/>
            <w:vAlign w:val="bottom"/>
          </w:tcPr>
          <w:p w14:paraId="29E2C545" w14:textId="77777777" w:rsidR="00BB2CB4" w:rsidRPr="00222C32" w:rsidRDefault="000674DA">
            <w:pPr>
              <w:pStyle w:val="SummaryMeasureTitlewithTheme"/>
            </w:pPr>
            <w:r w:rsidRPr="00222C32">
              <w:t>Health Research, Systems and Data</w:t>
            </w:r>
          </w:p>
        </w:tc>
        <w:tc>
          <w:tcPr>
            <w:tcW w:w="850" w:type="dxa"/>
            <w:vAlign w:val="bottom"/>
          </w:tcPr>
          <w:p w14:paraId="7BB6A4AE" w14:textId="77777777" w:rsidR="00BB2CB4" w:rsidRPr="00222C32" w:rsidRDefault="000674DA">
            <w:pPr>
              <w:pStyle w:val="Summarytabletextrightaligned"/>
            </w:pPr>
            <w:r w:rsidRPr="00222C32">
              <w:t>-</w:t>
            </w:r>
          </w:p>
        </w:tc>
        <w:tc>
          <w:tcPr>
            <w:tcW w:w="850" w:type="dxa"/>
            <w:shd w:val="clear" w:color="auto" w:fill="E6F2FF"/>
            <w:vAlign w:val="bottom"/>
          </w:tcPr>
          <w:p w14:paraId="28D8A564" w14:textId="77777777" w:rsidR="00BB2CB4" w:rsidRPr="00222C32" w:rsidRDefault="000674DA">
            <w:pPr>
              <w:pStyle w:val="Summarytabletextrightaligned"/>
            </w:pPr>
            <w:r w:rsidRPr="00222C32">
              <w:t>3.0</w:t>
            </w:r>
          </w:p>
        </w:tc>
        <w:tc>
          <w:tcPr>
            <w:tcW w:w="850" w:type="dxa"/>
            <w:vAlign w:val="bottom"/>
          </w:tcPr>
          <w:p w14:paraId="1A4DC2AD" w14:textId="77777777" w:rsidR="00BB2CB4" w:rsidRPr="00222C32" w:rsidRDefault="000674DA">
            <w:pPr>
              <w:pStyle w:val="Summarytabletextrightaligned"/>
            </w:pPr>
            <w:r w:rsidRPr="00222C32">
              <w:t>-</w:t>
            </w:r>
          </w:p>
        </w:tc>
        <w:tc>
          <w:tcPr>
            <w:tcW w:w="850" w:type="dxa"/>
            <w:vAlign w:val="bottom"/>
          </w:tcPr>
          <w:p w14:paraId="3432160E" w14:textId="77777777" w:rsidR="00BB2CB4" w:rsidRPr="00222C32" w:rsidRDefault="000674DA">
            <w:pPr>
              <w:pStyle w:val="Summarytabletextrightaligned"/>
            </w:pPr>
            <w:r w:rsidRPr="00222C32">
              <w:t>-</w:t>
            </w:r>
          </w:p>
        </w:tc>
        <w:tc>
          <w:tcPr>
            <w:tcW w:w="850" w:type="dxa"/>
            <w:vAlign w:val="bottom"/>
          </w:tcPr>
          <w:p w14:paraId="0084DB33" w14:textId="77777777" w:rsidR="00BB2CB4" w:rsidRPr="00222C32" w:rsidRDefault="000674DA">
            <w:pPr>
              <w:pStyle w:val="Summarytabletextrightaligned"/>
            </w:pPr>
            <w:r w:rsidRPr="00222C32">
              <w:t>-</w:t>
            </w:r>
          </w:p>
        </w:tc>
      </w:tr>
      <w:tr w:rsidR="00BB2CB4" w:rsidRPr="00222C32" w14:paraId="4FF6CD3C" w14:textId="77777777" w:rsidTr="00825163">
        <w:tc>
          <w:tcPr>
            <w:tcW w:w="3471" w:type="dxa"/>
            <w:vAlign w:val="bottom"/>
          </w:tcPr>
          <w:p w14:paraId="5A23BBAA" w14:textId="77777777" w:rsidR="00BB2CB4" w:rsidRPr="00222C32" w:rsidRDefault="000674DA">
            <w:pPr>
              <w:pStyle w:val="SummaryAgencyTitle-BP2"/>
            </w:pPr>
            <w:r w:rsidRPr="00222C32">
              <w:t>NDIS Quality and Safeguards Commission</w:t>
            </w:r>
          </w:p>
        </w:tc>
        <w:tc>
          <w:tcPr>
            <w:tcW w:w="850" w:type="dxa"/>
          </w:tcPr>
          <w:p w14:paraId="27E348ED" w14:textId="77777777" w:rsidR="00BB2CB4" w:rsidRPr="00222C32" w:rsidRDefault="00BB2CB4">
            <w:pPr>
              <w:pStyle w:val="SummaryAgencyTitle-BP2"/>
            </w:pPr>
          </w:p>
        </w:tc>
        <w:tc>
          <w:tcPr>
            <w:tcW w:w="850" w:type="dxa"/>
            <w:shd w:val="clear" w:color="auto" w:fill="E6F2FF"/>
          </w:tcPr>
          <w:p w14:paraId="5571705B" w14:textId="77777777" w:rsidR="00BB2CB4" w:rsidRPr="00222C32" w:rsidRDefault="00BB2CB4">
            <w:pPr>
              <w:pStyle w:val="SummaryAgencyTitle-BP2"/>
            </w:pPr>
          </w:p>
        </w:tc>
        <w:tc>
          <w:tcPr>
            <w:tcW w:w="850" w:type="dxa"/>
          </w:tcPr>
          <w:p w14:paraId="7BF03F1A" w14:textId="77777777" w:rsidR="00BB2CB4" w:rsidRPr="00222C32" w:rsidRDefault="00BB2CB4">
            <w:pPr>
              <w:pStyle w:val="SummaryAgencyTitle-BP2"/>
            </w:pPr>
          </w:p>
        </w:tc>
        <w:tc>
          <w:tcPr>
            <w:tcW w:w="850" w:type="dxa"/>
          </w:tcPr>
          <w:p w14:paraId="4AB1C5CD" w14:textId="77777777" w:rsidR="00BB2CB4" w:rsidRPr="00222C32" w:rsidRDefault="00BB2CB4">
            <w:pPr>
              <w:pStyle w:val="SummaryAgencyTitle-BP2"/>
            </w:pPr>
          </w:p>
        </w:tc>
        <w:tc>
          <w:tcPr>
            <w:tcW w:w="850" w:type="dxa"/>
          </w:tcPr>
          <w:p w14:paraId="20FE1EF8" w14:textId="77777777" w:rsidR="00BB2CB4" w:rsidRPr="00222C32" w:rsidRDefault="00BB2CB4">
            <w:pPr>
              <w:pStyle w:val="SummaryAgencyTitle-BP2"/>
            </w:pPr>
          </w:p>
        </w:tc>
      </w:tr>
      <w:tr w:rsidR="00BB2CB4" w:rsidRPr="00222C32" w14:paraId="0D714956" w14:textId="77777777" w:rsidTr="00825163">
        <w:tc>
          <w:tcPr>
            <w:tcW w:w="3471" w:type="dxa"/>
            <w:vAlign w:val="bottom"/>
          </w:tcPr>
          <w:p w14:paraId="4A2C5907" w14:textId="77777777" w:rsidR="00BB2CB4" w:rsidRPr="00222C32" w:rsidRDefault="000674DA">
            <w:pPr>
              <w:pStyle w:val="SummaryMeasureTitlewithTheme"/>
            </w:pPr>
            <w:r w:rsidRPr="00222C32">
              <w:t>Support for People with Disability</w:t>
            </w:r>
          </w:p>
        </w:tc>
        <w:tc>
          <w:tcPr>
            <w:tcW w:w="850" w:type="dxa"/>
            <w:vAlign w:val="bottom"/>
          </w:tcPr>
          <w:p w14:paraId="22604068" w14:textId="77777777" w:rsidR="00BB2CB4" w:rsidRPr="00222C32" w:rsidRDefault="000674DA">
            <w:pPr>
              <w:pStyle w:val="Summarytabletextrightaligned"/>
            </w:pPr>
            <w:r w:rsidRPr="00222C32">
              <w:t>-</w:t>
            </w:r>
          </w:p>
        </w:tc>
        <w:tc>
          <w:tcPr>
            <w:tcW w:w="850" w:type="dxa"/>
            <w:shd w:val="clear" w:color="auto" w:fill="E6F2FF"/>
            <w:vAlign w:val="bottom"/>
          </w:tcPr>
          <w:p w14:paraId="6193879B" w14:textId="77777777" w:rsidR="00BB2CB4" w:rsidRPr="00222C32" w:rsidRDefault="000674DA">
            <w:pPr>
              <w:pStyle w:val="Summarytabletextrightaligned"/>
            </w:pPr>
            <w:r w:rsidRPr="00222C32">
              <w:t>-</w:t>
            </w:r>
          </w:p>
        </w:tc>
        <w:tc>
          <w:tcPr>
            <w:tcW w:w="850" w:type="dxa"/>
            <w:vAlign w:val="bottom"/>
          </w:tcPr>
          <w:p w14:paraId="73C63D7E" w14:textId="77777777" w:rsidR="00BB2CB4" w:rsidRPr="00222C32" w:rsidRDefault="000674DA">
            <w:pPr>
              <w:pStyle w:val="Summarytabletextrightaligned"/>
            </w:pPr>
            <w:r w:rsidRPr="00222C32">
              <w:t>-</w:t>
            </w:r>
          </w:p>
        </w:tc>
        <w:tc>
          <w:tcPr>
            <w:tcW w:w="850" w:type="dxa"/>
            <w:vAlign w:val="bottom"/>
          </w:tcPr>
          <w:p w14:paraId="1731F21A" w14:textId="77777777" w:rsidR="00BB2CB4" w:rsidRPr="00222C32" w:rsidRDefault="000674DA">
            <w:pPr>
              <w:pStyle w:val="Summarytabletextrightaligned"/>
            </w:pPr>
            <w:r w:rsidRPr="00222C32">
              <w:t>-</w:t>
            </w:r>
          </w:p>
        </w:tc>
        <w:tc>
          <w:tcPr>
            <w:tcW w:w="850" w:type="dxa"/>
            <w:vAlign w:val="bottom"/>
          </w:tcPr>
          <w:p w14:paraId="72219580" w14:textId="77777777" w:rsidR="00BB2CB4" w:rsidRPr="00222C32" w:rsidRDefault="000674DA">
            <w:pPr>
              <w:pStyle w:val="Summarytabletextrightaligned"/>
            </w:pPr>
            <w:r w:rsidRPr="00222C32">
              <w:t>-</w:t>
            </w:r>
          </w:p>
        </w:tc>
      </w:tr>
      <w:tr w:rsidR="00BB2CB4" w:rsidRPr="00222C32" w14:paraId="23C95905" w14:textId="77777777" w:rsidTr="00825163">
        <w:tc>
          <w:tcPr>
            <w:tcW w:w="3471" w:type="dxa"/>
            <w:vAlign w:val="bottom"/>
          </w:tcPr>
          <w:p w14:paraId="4E172934" w14:textId="77777777" w:rsidR="00BB2CB4" w:rsidRPr="00222C32" w:rsidRDefault="000674DA">
            <w:pPr>
              <w:pStyle w:val="SummaryAgencyTitle-BP2"/>
            </w:pPr>
            <w:r w:rsidRPr="00222C32">
              <w:t>Professional Services Review</w:t>
            </w:r>
          </w:p>
        </w:tc>
        <w:tc>
          <w:tcPr>
            <w:tcW w:w="850" w:type="dxa"/>
          </w:tcPr>
          <w:p w14:paraId="69949C3C" w14:textId="77777777" w:rsidR="00BB2CB4" w:rsidRPr="00222C32" w:rsidRDefault="00BB2CB4">
            <w:pPr>
              <w:pStyle w:val="SummaryAgencyTitle-BP2"/>
            </w:pPr>
          </w:p>
        </w:tc>
        <w:tc>
          <w:tcPr>
            <w:tcW w:w="850" w:type="dxa"/>
            <w:shd w:val="clear" w:color="auto" w:fill="E6F2FF"/>
          </w:tcPr>
          <w:p w14:paraId="053A9CAA" w14:textId="77777777" w:rsidR="00BB2CB4" w:rsidRPr="00222C32" w:rsidRDefault="00BB2CB4">
            <w:pPr>
              <w:pStyle w:val="SummaryAgencyTitle-BP2"/>
            </w:pPr>
          </w:p>
        </w:tc>
        <w:tc>
          <w:tcPr>
            <w:tcW w:w="850" w:type="dxa"/>
          </w:tcPr>
          <w:p w14:paraId="3498EAB1" w14:textId="77777777" w:rsidR="00BB2CB4" w:rsidRPr="00222C32" w:rsidRDefault="00BB2CB4">
            <w:pPr>
              <w:pStyle w:val="SummaryAgencyTitle-BP2"/>
            </w:pPr>
          </w:p>
        </w:tc>
        <w:tc>
          <w:tcPr>
            <w:tcW w:w="850" w:type="dxa"/>
          </w:tcPr>
          <w:p w14:paraId="69706655" w14:textId="77777777" w:rsidR="00BB2CB4" w:rsidRPr="00222C32" w:rsidRDefault="00BB2CB4">
            <w:pPr>
              <w:pStyle w:val="SummaryAgencyTitle-BP2"/>
            </w:pPr>
          </w:p>
        </w:tc>
        <w:tc>
          <w:tcPr>
            <w:tcW w:w="850" w:type="dxa"/>
          </w:tcPr>
          <w:p w14:paraId="1812C983" w14:textId="77777777" w:rsidR="00BB2CB4" w:rsidRPr="00222C32" w:rsidRDefault="00BB2CB4">
            <w:pPr>
              <w:pStyle w:val="SummaryAgencyTitle-BP2"/>
            </w:pPr>
          </w:p>
        </w:tc>
      </w:tr>
      <w:tr w:rsidR="00BB2CB4" w:rsidRPr="00222C32" w14:paraId="19853240" w14:textId="77777777" w:rsidTr="00825163">
        <w:tc>
          <w:tcPr>
            <w:tcW w:w="3471" w:type="dxa"/>
            <w:vAlign w:val="bottom"/>
          </w:tcPr>
          <w:p w14:paraId="7E68D1A8" w14:textId="24E7ABE9" w:rsidR="00BB2CB4" w:rsidRPr="00222C32" w:rsidRDefault="000674DA">
            <w:pPr>
              <w:pStyle w:val="SummaryMeasureTitlewithTheme"/>
            </w:pPr>
            <w:r w:rsidRPr="00222C32">
              <w:t>Department of Veterans</w:t>
            </w:r>
            <w:r w:rsidR="00A67A30">
              <w:t>’</w:t>
            </w:r>
            <w:r w:rsidRPr="00222C32">
              <w:t xml:space="preserve"> Affairs – strengthening program integrity and veterans</w:t>
            </w:r>
            <w:r w:rsidR="00A67A30">
              <w:t>’</w:t>
            </w:r>
            <w:r w:rsidRPr="00222C32">
              <w:t xml:space="preserve"> advocacy</w:t>
            </w:r>
          </w:p>
        </w:tc>
        <w:tc>
          <w:tcPr>
            <w:tcW w:w="850" w:type="dxa"/>
            <w:tcBorders>
              <w:bottom w:val="single" w:sz="4" w:space="0" w:color="293F5B"/>
            </w:tcBorders>
            <w:vAlign w:val="bottom"/>
          </w:tcPr>
          <w:p w14:paraId="164006C1"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314FE32B" w14:textId="77777777" w:rsidR="00BB2CB4" w:rsidRPr="00222C32" w:rsidRDefault="000674DA">
            <w:pPr>
              <w:pStyle w:val="Summarytabletextrightaligned"/>
            </w:pPr>
            <w:r w:rsidRPr="00222C32">
              <w:t>0.1</w:t>
            </w:r>
          </w:p>
        </w:tc>
        <w:tc>
          <w:tcPr>
            <w:tcW w:w="850" w:type="dxa"/>
            <w:tcBorders>
              <w:bottom w:val="single" w:sz="4" w:space="0" w:color="293F5B"/>
            </w:tcBorders>
            <w:vAlign w:val="bottom"/>
          </w:tcPr>
          <w:p w14:paraId="60CAC648" w14:textId="77777777" w:rsidR="00BB2CB4" w:rsidRPr="00222C32" w:rsidRDefault="000674DA">
            <w:pPr>
              <w:pStyle w:val="Summarytabletextrightaligned"/>
            </w:pPr>
            <w:r w:rsidRPr="00222C32">
              <w:t>0.2</w:t>
            </w:r>
          </w:p>
        </w:tc>
        <w:tc>
          <w:tcPr>
            <w:tcW w:w="850" w:type="dxa"/>
            <w:tcBorders>
              <w:bottom w:val="single" w:sz="4" w:space="0" w:color="293F5B"/>
            </w:tcBorders>
            <w:vAlign w:val="bottom"/>
          </w:tcPr>
          <w:p w14:paraId="5E2593F1" w14:textId="77777777" w:rsidR="00BB2CB4" w:rsidRPr="00222C32" w:rsidRDefault="000674DA">
            <w:pPr>
              <w:pStyle w:val="Summarytabletextrightaligned"/>
            </w:pPr>
            <w:r w:rsidRPr="00222C32">
              <w:t>0.2</w:t>
            </w:r>
          </w:p>
        </w:tc>
        <w:tc>
          <w:tcPr>
            <w:tcW w:w="850" w:type="dxa"/>
            <w:tcBorders>
              <w:bottom w:val="single" w:sz="4" w:space="0" w:color="293F5B"/>
            </w:tcBorders>
            <w:vAlign w:val="bottom"/>
          </w:tcPr>
          <w:p w14:paraId="62A971F2" w14:textId="77777777" w:rsidR="00BB2CB4" w:rsidRPr="00222C32" w:rsidRDefault="000674DA">
            <w:pPr>
              <w:pStyle w:val="Summarytabletextrightaligned"/>
            </w:pPr>
            <w:r w:rsidRPr="00222C32">
              <w:t>-</w:t>
            </w:r>
          </w:p>
        </w:tc>
      </w:tr>
      <w:tr w:rsidR="00BB2CB4" w:rsidRPr="00222C32" w14:paraId="13F71450" w14:textId="77777777" w:rsidTr="00825163">
        <w:tc>
          <w:tcPr>
            <w:tcW w:w="3471" w:type="dxa"/>
            <w:vAlign w:val="bottom"/>
          </w:tcPr>
          <w:p w14:paraId="25E572DB"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E73F879"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72102DA5" w14:textId="77777777" w:rsidR="00BB2CB4" w:rsidRPr="00222C32" w:rsidRDefault="000674DA">
            <w:pPr>
              <w:pStyle w:val="Summarytabletextrightalignedbold"/>
            </w:pPr>
            <w:r w:rsidRPr="00222C32">
              <w:t>922.5</w:t>
            </w:r>
          </w:p>
        </w:tc>
        <w:tc>
          <w:tcPr>
            <w:tcW w:w="850" w:type="dxa"/>
            <w:tcBorders>
              <w:top w:val="single" w:sz="4" w:space="0" w:color="293F5B"/>
              <w:bottom w:val="single" w:sz="4" w:space="0" w:color="293F5B"/>
            </w:tcBorders>
            <w:vAlign w:val="bottom"/>
          </w:tcPr>
          <w:p w14:paraId="71B3FE29" w14:textId="77777777" w:rsidR="00BB2CB4" w:rsidRPr="00222C32" w:rsidRDefault="000674DA">
            <w:pPr>
              <w:pStyle w:val="Summarytabletextrightalignedbold"/>
            </w:pPr>
            <w:r w:rsidRPr="00222C32">
              <w:t>1,316.9</w:t>
            </w:r>
          </w:p>
        </w:tc>
        <w:tc>
          <w:tcPr>
            <w:tcW w:w="850" w:type="dxa"/>
            <w:tcBorders>
              <w:top w:val="single" w:sz="4" w:space="0" w:color="293F5B"/>
              <w:bottom w:val="single" w:sz="4" w:space="0" w:color="293F5B"/>
            </w:tcBorders>
            <w:vAlign w:val="bottom"/>
          </w:tcPr>
          <w:p w14:paraId="212A6867" w14:textId="77777777" w:rsidR="00BB2CB4" w:rsidRPr="00222C32" w:rsidRDefault="000674DA">
            <w:pPr>
              <w:pStyle w:val="Summarytabletextrightalignedbold"/>
            </w:pPr>
            <w:r w:rsidRPr="00222C32">
              <w:t>1,117.1</w:t>
            </w:r>
          </w:p>
        </w:tc>
        <w:tc>
          <w:tcPr>
            <w:tcW w:w="850" w:type="dxa"/>
            <w:tcBorders>
              <w:top w:val="single" w:sz="4" w:space="0" w:color="293F5B"/>
              <w:bottom w:val="single" w:sz="4" w:space="0" w:color="293F5B"/>
            </w:tcBorders>
            <w:vAlign w:val="bottom"/>
          </w:tcPr>
          <w:p w14:paraId="72F3F47B" w14:textId="77777777" w:rsidR="00BB2CB4" w:rsidRPr="00222C32" w:rsidRDefault="000674DA">
            <w:pPr>
              <w:pStyle w:val="Summarytabletextrightalignedbold"/>
            </w:pPr>
            <w:r w:rsidRPr="00222C32">
              <w:t>1,231.8</w:t>
            </w:r>
          </w:p>
        </w:tc>
      </w:tr>
      <w:tr w:rsidR="00BB2CB4" w:rsidRPr="00222C32" w14:paraId="10DEFCC0" w14:textId="77777777" w:rsidTr="00825163">
        <w:tc>
          <w:tcPr>
            <w:tcW w:w="3471" w:type="dxa"/>
            <w:vAlign w:val="bottom"/>
          </w:tcPr>
          <w:p w14:paraId="08D2FDD5" w14:textId="77777777" w:rsidR="00BB2CB4" w:rsidRPr="00222C32" w:rsidRDefault="000674DA">
            <w:pPr>
              <w:pStyle w:val="SummaryPortfolioTitle-BP2"/>
            </w:pPr>
            <w:r w:rsidRPr="00222C32">
              <w:t>HOME AFFAIRS</w:t>
            </w:r>
          </w:p>
        </w:tc>
        <w:tc>
          <w:tcPr>
            <w:tcW w:w="850" w:type="dxa"/>
            <w:tcBorders>
              <w:top w:val="single" w:sz="4" w:space="0" w:color="293F5B"/>
            </w:tcBorders>
          </w:tcPr>
          <w:p w14:paraId="216093C5"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1111B9AC" w14:textId="77777777" w:rsidR="00BB2CB4" w:rsidRPr="00222C32" w:rsidRDefault="00BB2CB4">
            <w:pPr>
              <w:pStyle w:val="MeasureTableTextRightAlignedBefore6ptAfter1pt"/>
            </w:pPr>
          </w:p>
        </w:tc>
        <w:tc>
          <w:tcPr>
            <w:tcW w:w="850" w:type="dxa"/>
            <w:tcBorders>
              <w:top w:val="single" w:sz="4" w:space="0" w:color="293F5B"/>
            </w:tcBorders>
          </w:tcPr>
          <w:p w14:paraId="700CAB70" w14:textId="77777777" w:rsidR="00BB2CB4" w:rsidRPr="00222C32" w:rsidRDefault="00BB2CB4">
            <w:pPr>
              <w:pStyle w:val="MeasureTableTextRightAlignedBefore6ptAfter1pt"/>
            </w:pPr>
          </w:p>
        </w:tc>
        <w:tc>
          <w:tcPr>
            <w:tcW w:w="850" w:type="dxa"/>
            <w:tcBorders>
              <w:top w:val="single" w:sz="4" w:space="0" w:color="293F5B"/>
            </w:tcBorders>
          </w:tcPr>
          <w:p w14:paraId="3119CB1E" w14:textId="77777777" w:rsidR="00BB2CB4" w:rsidRPr="00222C32" w:rsidRDefault="00BB2CB4">
            <w:pPr>
              <w:pStyle w:val="MeasureTableTextRightAlignedBefore6ptAfter1pt"/>
            </w:pPr>
          </w:p>
        </w:tc>
        <w:tc>
          <w:tcPr>
            <w:tcW w:w="850" w:type="dxa"/>
            <w:tcBorders>
              <w:top w:val="single" w:sz="4" w:space="0" w:color="293F5B"/>
            </w:tcBorders>
          </w:tcPr>
          <w:p w14:paraId="4592193C" w14:textId="77777777" w:rsidR="00BB2CB4" w:rsidRPr="00222C32" w:rsidRDefault="00BB2CB4">
            <w:pPr>
              <w:pStyle w:val="MeasureTableTextRightAlignedBefore6ptAfter1pt"/>
            </w:pPr>
          </w:p>
        </w:tc>
      </w:tr>
      <w:tr w:rsidR="00BB2CB4" w:rsidRPr="00222C32" w14:paraId="3C5B1AAE" w14:textId="77777777" w:rsidTr="00825163">
        <w:tc>
          <w:tcPr>
            <w:tcW w:w="3471" w:type="dxa"/>
            <w:vAlign w:val="bottom"/>
          </w:tcPr>
          <w:p w14:paraId="5592FF15" w14:textId="77777777" w:rsidR="00BB2CB4" w:rsidRPr="00222C32" w:rsidRDefault="000674DA">
            <w:pPr>
              <w:pStyle w:val="SummaryAgencyTitle-BP2"/>
            </w:pPr>
            <w:r w:rsidRPr="00222C32">
              <w:t>Australian Criminal Intelligence Commission</w:t>
            </w:r>
          </w:p>
        </w:tc>
        <w:tc>
          <w:tcPr>
            <w:tcW w:w="850" w:type="dxa"/>
          </w:tcPr>
          <w:p w14:paraId="03509E5A" w14:textId="77777777" w:rsidR="00BB2CB4" w:rsidRPr="00222C32" w:rsidRDefault="00BB2CB4">
            <w:pPr>
              <w:pStyle w:val="SummaryAgencyTitle-BP2"/>
            </w:pPr>
          </w:p>
        </w:tc>
        <w:tc>
          <w:tcPr>
            <w:tcW w:w="850" w:type="dxa"/>
            <w:shd w:val="clear" w:color="auto" w:fill="E6F2FF"/>
          </w:tcPr>
          <w:p w14:paraId="46D78E61" w14:textId="77777777" w:rsidR="00BB2CB4" w:rsidRPr="00222C32" w:rsidRDefault="00BB2CB4">
            <w:pPr>
              <w:pStyle w:val="SummaryAgencyTitle-BP2"/>
            </w:pPr>
          </w:p>
        </w:tc>
        <w:tc>
          <w:tcPr>
            <w:tcW w:w="850" w:type="dxa"/>
          </w:tcPr>
          <w:p w14:paraId="567DF51B" w14:textId="77777777" w:rsidR="00BB2CB4" w:rsidRPr="00222C32" w:rsidRDefault="00BB2CB4">
            <w:pPr>
              <w:pStyle w:val="SummaryAgencyTitle-BP2"/>
            </w:pPr>
          </w:p>
        </w:tc>
        <w:tc>
          <w:tcPr>
            <w:tcW w:w="850" w:type="dxa"/>
          </w:tcPr>
          <w:p w14:paraId="393103CC" w14:textId="77777777" w:rsidR="00BB2CB4" w:rsidRPr="00222C32" w:rsidRDefault="00BB2CB4">
            <w:pPr>
              <w:pStyle w:val="SummaryAgencyTitle-BP2"/>
            </w:pPr>
          </w:p>
        </w:tc>
        <w:tc>
          <w:tcPr>
            <w:tcW w:w="850" w:type="dxa"/>
          </w:tcPr>
          <w:p w14:paraId="286B6DAC" w14:textId="77777777" w:rsidR="00BB2CB4" w:rsidRPr="00222C32" w:rsidRDefault="00BB2CB4">
            <w:pPr>
              <w:pStyle w:val="SummaryAgencyTitle-BP2"/>
            </w:pPr>
          </w:p>
        </w:tc>
      </w:tr>
      <w:tr w:rsidR="00BB2CB4" w:rsidRPr="00222C32" w14:paraId="7C9138A9" w14:textId="77777777" w:rsidTr="00825163">
        <w:tc>
          <w:tcPr>
            <w:tcW w:w="3471" w:type="dxa"/>
            <w:vAlign w:val="bottom"/>
          </w:tcPr>
          <w:p w14:paraId="0E1B4BB9" w14:textId="77777777" w:rsidR="00BB2CB4" w:rsidRPr="00222C32" w:rsidRDefault="000674DA">
            <w:pPr>
              <w:pStyle w:val="SummaryMeasureTitlewithTheme"/>
            </w:pPr>
            <w:r w:rsidRPr="00222C32">
              <w:t>Working With Children Checks Reform</w:t>
            </w:r>
          </w:p>
        </w:tc>
        <w:tc>
          <w:tcPr>
            <w:tcW w:w="850" w:type="dxa"/>
            <w:vAlign w:val="bottom"/>
          </w:tcPr>
          <w:p w14:paraId="4834A8C3" w14:textId="77777777" w:rsidR="00BB2CB4" w:rsidRPr="00222C32" w:rsidRDefault="000674DA">
            <w:pPr>
              <w:pStyle w:val="Summarytabletextrightaligned"/>
            </w:pPr>
            <w:r w:rsidRPr="00222C32">
              <w:t>-</w:t>
            </w:r>
          </w:p>
        </w:tc>
        <w:tc>
          <w:tcPr>
            <w:tcW w:w="850" w:type="dxa"/>
            <w:shd w:val="clear" w:color="auto" w:fill="E6F2FF"/>
            <w:vAlign w:val="bottom"/>
          </w:tcPr>
          <w:p w14:paraId="273B0F4B" w14:textId="77777777" w:rsidR="00BB2CB4" w:rsidRPr="00222C32" w:rsidRDefault="000674DA">
            <w:pPr>
              <w:pStyle w:val="Summarytabletextrightaligned"/>
            </w:pPr>
            <w:r w:rsidRPr="00222C32">
              <w:t>1.4</w:t>
            </w:r>
          </w:p>
        </w:tc>
        <w:tc>
          <w:tcPr>
            <w:tcW w:w="850" w:type="dxa"/>
            <w:vAlign w:val="bottom"/>
          </w:tcPr>
          <w:p w14:paraId="1FC66A8B" w14:textId="77777777" w:rsidR="00BB2CB4" w:rsidRPr="00222C32" w:rsidRDefault="000674DA">
            <w:pPr>
              <w:pStyle w:val="Summarytabletextrightaligned"/>
            </w:pPr>
            <w:r w:rsidRPr="00222C32">
              <w:t>11.3</w:t>
            </w:r>
          </w:p>
        </w:tc>
        <w:tc>
          <w:tcPr>
            <w:tcW w:w="850" w:type="dxa"/>
            <w:vAlign w:val="bottom"/>
          </w:tcPr>
          <w:p w14:paraId="19F2161D" w14:textId="77777777" w:rsidR="00BB2CB4" w:rsidRPr="00222C32" w:rsidRDefault="000674DA">
            <w:pPr>
              <w:pStyle w:val="Summarytabletextrightaligned"/>
            </w:pPr>
            <w:r w:rsidRPr="00222C32">
              <w:t>11.2</w:t>
            </w:r>
          </w:p>
        </w:tc>
        <w:tc>
          <w:tcPr>
            <w:tcW w:w="850" w:type="dxa"/>
            <w:vAlign w:val="bottom"/>
          </w:tcPr>
          <w:p w14:paraId="7747122D" w14:textId="77777777" w:rsidR="00BB2CB4" w:rsidRPr="00222C32" w:rsidRDefault="000674DA">
            <w:pPr>
              <w:pStyle w:val="Summarytabletextrightaligned"/>
            </w:pPr>
            <w:r w:rsidRPr="00222C32">
              <w:t>10.8</w:t>
            </w:r>
          </w:p>
        </w:tc>
      </w:tr>
      <w:tr w:rsidR="00BB2CB4" w:rsidRPr="00222C32" w14:paraId="63D713BD" w14:textId="77777777" w:rsidTr="00825163">
        <w:tc>
          <w:tcPr>
            <w:tcW w:w="3471" w:type="dxa"/>
            <w:vAlign w:val="bottom"/>
          </w:tcPr>
          <w:p w14:paraId="6A37B662" w14:textId="77777777" w:rsidR="00BB2CB4" w:rsidRPr="00222C32" w:rsidRDefault="000674DA">
            <w:pPr>
              <w:pStyle w:val="SummaryAgencyTitle-BP2"/>
            </w:pPr>
            <w:r w:rsidRPr="00222C32">
              <w:t>Australian Federal Police</w:t>
            </w:r>
          </w:p>
        </w:tc>
        <w:tc>
          <w:tcPr>
            <w:tcW w:w="850" w:type="dxa"/>
          </w:tcPr>
          <w:p w14:paraId="765CCBB4" w14:textId="77777777" w:rsidR="00BB2CB4" w:rsidRPr="00222C32" w:rsidRDefault="00BB2CB4">
            <w:pPr>
              <w:pStyle w:val="SummaryAgencyTitle-BP2"/>
            </w:pPr>
          </w:p>
        </w:tc>
        <w:tc>
          <w:tcPr>
            <w:tcW w:w="850" w:type="dxa"/>
            <w:shd w:val="clear" w:color="auto" w:fill="E6F2FF"/>
          </w:tcPr>
          <w:p w14:paraId="60FFAD21" w14:textId="77777777" w:rsidR="00BB2CB4" w:rsidRPr="00222C32" w:rsidRDefault="00BB2CB4">
            <w:pPr>
              <w:pStyle w:val="SummaryAgencyTitle-BP2"/>
            </w:pPr>
          </w:p>
        </w:tc>
        <w:tc>
          <w:tcPr>
            <w:tcW w:w="850" w:type="dxa"/>
          </w:tcPr>
          <w:p w14:paraId="4BA1A4D4" w14:textId="77777777" w:rsidR="00BB2CB4" w:rsidRPr="00222C32" w:rsidRDefault="00BB2CB4">
            <w:pPr>
              <w:pStyle w:val="SummaryAgencyTitle-BP2"/>
            </w:pPr>
          </w:p>
        </w:tc>
        <w:tc>
          <w:tcPr>
            <w:tcW w:w="850" w:type="dxa"/>
          </w:tcPr>
          <w:p w14:paraId="133D2AB1" w14:textId="77777777" w:rsidR="00BB2CB4" w:rsidRPr="00222C32" w:rsidRDefault="00BB2CB4">
            <w:pPr>
              <w:pStyle w:val="SummaryAgencyTitle-BP2"/>
            </w:pPr>
          </w:p>
        </w:tc>
        <w:tc>
          <w:tcPr>
            <w:tcW w:w="850" w:type="dxa"/>
          </w:tcPr>
          <w:p w14:paraId="2C9B7B54" w14:textId="77777777" w:rsidR="00BB2CB4" w:rsidRPr="00222C32" w:rsidRDefault="00BB2CB4">
            <w:pPr>
              <w:pStyle w:val="SummaryAgencyTitle-BP2"/>
            </w:pPr>
          </w:p>
        </w:tc>
      </w:tr>
      <w:tr w:rsidR="00BB2CB4" w:rsidRPr="00222C32" w14:paraId="2CD7DBE2" w14:textId="77777777" w:rsidTr="00825163">
        <w:tc>
          <w:tcPr>
            <w:tcW w:w="3471" w:type="dxa"/>
            <w:vAlign w:val="bottom"/>
          </w:tcPr>
          <w:p w14:paraId="4D1D2BC7" w14:textId="77777777" w:rsidR="00BB2CB4" w:rsidRPr="00222C32" w:rsidRDefault="000674DA">
            <w:pPr>
              <w:pStyle w:val="SummaryMeasureTitlewithTheme"/>
            </w:pPr>
            <w:r w:rsidRPr="00222C32">
              <w:t>Home Affairs Portfolio – additional resourcing</w:t>
            </w:r>
          </w:p>
        </w:tc>
        <w:tc>
          <w:tcPr>
            <w:tcW w:w="850" w:type="dxa"/>
            <w:vAlign w:val="bottom"/>
          </w:tcPr>
          <w:p w14:paraId="73253D44" w14:textId="77777777" w:rsidR="00BB2CB4" w:rsidRPr="00222C32" w:rsidRDefault="000674DA">
            <w:pPr>
              <w:pStyle w:val="Summarytabletextrightaligned"/>
            </w:pPr>
            <w:r w:rsidRPr="00222C32">
              <w:t>-</w:t>
            </w:r>
          </w:p>
        </w:tc>
        <w:tc>
          <w:tcPr>
            <w:tcW w:w="850" w:type="dxa"/>
            <w:shd w:val="clear" w:color="auto" w:fill="E6F2FF"/>
            <w:vAlign w:val="bottom"/>
          </w:tcPr>
          <w:p w14:paraId="76AC60F2" w14:textId="77777777" w:rsidR="00BB2CB4" w:rsidRPr="00222C32" w:rsidRDefault="000674DA">
            <w:pPr>
              <w:pStyle w:val="Summarytabletextrightaligned"/>
              <w:rPr>
                <w:lang w:val="en-US"/>
              </w:rPr>
            </w:pPr>
            <w:r w:rsidRPr="00222C32">
              <w:rPr>
                <w:lang w:val="en-US"/>
              </w:rPr>
              <w:t>nfp</w:t>
            </w:r>
          </w:p>
        </w:tc>
        <w:tc>
          <w:tcPr>
            <w:tcW w:w="850" w:type="dxa"/>
            <w:vAlign w:val="bottom"/>
          </w:tcPr>
          <w:p w14:paraId="4E101EDF" w14:textId="77777777" w:rsidR="00BB2CB4" w:rsidRPr="00222C32" w:rsidRDefault="000674DA">
            <w:pPr>
              <w:pStyle w:val="Summarytabletextrightaligned"/>
              <w:rPr>
                <w:lang w:val="en-US"/>
              </w:rPr>
            </w:pPr>
            <w:r w:rsidRPr="00222C32">
              <w:rPr>
                <w:lang w:val="en-US"/>
              </w:rPr>
              <w:t>nfp</w:t>
            </w:r>
          </w:p>
        </w:tc>
        <w:tc>
          <w:tcPr>
            <w:tcW w:w="850" w:type="dxa"/>
            <w:vAlign w:val="bottom"/>
          </w:tcPr>
          <w:p w14:paraId="5B7D2DB2" w14:textId="77777777" w:rsidR="00BB2CB4" w:rsidRPr="00222C32" w:rsidRDefault="000674DA">
            <w:pPr>
              <w:pStyle w:val="Summarytabletextrightaligned"/>
              <w:rPr>
                <w:lang w:val="en-US"/>
              </w:rPr>
            </w:pPr>
            <w:r w:rsidRPr="00222C32">
              <w:rPr>
                <w:lang w:val="en-US"/>
              </w:rPr>
              <w:t>nfp</w:t>
            </w:r>
          </w:p>
        </w:tc>
        <w:tc>
          <w:tcPr>
            <w:tcW w:w="850" w:type="dxa"/>
            <w:vAlign w:val="bottom"/>
          </w:tcPr>
          <w:p w14:paraId="6C4EF9F3" w14:textId="77777777" w:rsidR="00BB2CB4" w:rsidRPr="00222C32" w:rsidRDefault="000674DA">
            <w:pPr>
              <w:pStyle w:val="Summarytabletextrightaligned"/>
              <w:rPr>
                <w:lang w:val="en-US"/>
              </w:rPr>
            </w:pPr>
            <w:r w:rsidRPr="00222C32">
              <w:rPr>
                <w:lang w:val="en-US"/>
              </w:rPr>
              <w:t>nfp</w:t>
            </w:r>
          </w:p>
        </w:tc>
      </w:tr>
      <w:tr w:rsidR="00BB2CB4" w:rsidRPr="00222C32" w14:paraId="0B827A15" w14:textId="77777777" w:rsidTr="00825163">
        <w:tc>
          <w:tcPr>
            <w:tcW w:w="3471" w:type="dxa"/>
            <w:vAlign w:val="bottom"/>
          </w:tcPr>
          <w:p w14:paraId="701B49A3" w14:textId="77777777" w:rsidR="00BB2CB4" w:rsidRPr="00222C32" w:rsidRDefault="000674DA">
            <w:pPr>
              <w:pStyle w:val="SummaryMeasureTitlewithTheme"/>
            </w:pPr>
            <w:r w:rsidRPr="00222C32">
              <w:t>Nuclear‑Powered Submarine Program – further program support</w:t>
            </w:r>
          </w:p>
        </w:tc>
        <w:tc>
          <w:tcPr>
            <w:tcW w:w="850" w:type="dxa"/>
            <w:vAlign w:val="bottom"/>
          </w:tcPr>
          <w:p w14:paraId="61E4D891" w14:textId="77777777" w:rsidR="00BB2CB4" w:rsidRPr="00222C32" w:rsidRDefault="000674DA">
            <w:pPr>
              <w:pStyle w:val="Summarytabletextrightaligned"/>
            </w:pPr>
            <w:r w:rsidRPr="00222C32">
              <w:t>-</w:t>
            </w:r>
          </w:p>
        </w:tc>
        <w:tc>
          <w:tcPr>
            <w:tcW w:w="850" w:type="dxa"/>
            <w:shd w:val="clear" w:color="auto" w:fill="E6F2FF"/>
            <w:vAlign w:val="bottom"/>
          </w:tcPr>
          <w:p w14:paraId="23551150" w14:textId="77777777" w:rsidR="00BB2CB4" w:rsidRPr="00222C32" w:rsidRDefault="000674DA">
            <w:pPr>
              <w:pStyle w:val="Summarytabletextrightaligned"/>
            </w:pPr>
            <w:r w:rsidRPr="00222C32">
              <w:t>73.8</w:t>
            </w:r>
          </w:p>
        </w:tc>
        <w:tc>
          <w:tcPr>
            <w:tcW w:w="850" w:type="dxa"/>
            <w:vAlign w:val="bottom"/>
          </w:tcPr>
          <w:p w14:paraId="1185ED5A" w14:textId="77777777" w:rsidR="00BB2CB4" w:rsidRPr="00222C32" w:rsidRDefault="000674DA">
            <w:pPr>
              <w:pStyle w:val="Summarytabletextrightaligned"/>
            </w:pPr>
            <w:r w:rsidRPr="00222C32">
              <w:t>125.2</w:t>
            </w:r>
          </w:p>
        </w:tc>
        <w:tc>
          <w:tcPr>
            <w:tcW w:w="850" w:type="dxa"/>
            <w:vAlign w:val="bottom"/>
          </w:tcPr>
          <w:p w14:paraId="59EF4D84" w14:textId="77777777" w:rsidR="00BB2CB4" w:rsidRPr="00222C32" w:rsidRDefault="000674DA">
            <w:pPr>
              <w:pStyle w:val="Summarytabletextrightaligned"/>
            </w:pPr>
            <w:r w:rsidRPr="00222C32">
              <w:t>-</w:t>
            </w:r>
          </w:p>
        </w:tc>
        <w:tc>
          <w:tcPr>
            <w:tcW w:w="850" w:type="dxa"/>
            <w:vAlign w:val="bottom"/>
          </w:tcPr>
          <w:p w14:paraId="4C7DA728" w14:textId="77777777" w:rsidR="00BB2CB4" w:rsidRPr="00222C32" w:rsidRDefault="000674DA">
            <w:pPr>
              <w:pStyle w:val="Summarytabletextrightaligned"/>
            </w:pPr>
            <w:r w:rsidRPr="00222C32">
              <w:t>-</w:t>
            </w:r>
          </w:p>
        </w:tc>
      </w:tr>
      <w:tr w:rsidR="00BB2CB4" w:rsidRPr="00222C32" w14:paraId="1D1782BD" w14:textId="77777777" w:rsidTr="00825163">
        <w:tc>
          <w:tcPr>
            <w:tcW w:w="3471" w:type="dxa"/>
            <w:vAlign w:val="bottom"/>
          </w:tcPr>
          <w:p w14:paraId="27923539" w14:textId="77777777" w:rsidR="00BB2CB4" w:rsidRPr="00222C32" w:rsidRDefault="000674DA">
            <w:pPr>
              <w:pStyle w:val="SummaryMeasureTitlewithTheme"/>
            </w:pPr>
            <w:r w:rsidRPr="00222C32">
              <w:t>Supporting Transport Priorities(b)</w:t>
            </w:r>
          </w:p>
        </w:tc>
        <w:tc>
          <w:tcPr>
            <w:tcW w:w="850" w:type="dxa"/>
            <w:vAlign w:val="bottom"/>
          </w:tcPr>
          <w:p w14:paraId="2F108B06" w14:textId="77777777" w:rsidR="00BB2CB4" w:rsidRPr="00222C32" w:rsidRDefault="000674DA">
            <w:pPr>
              <w:pStyle w:val="Summarytabletextrightaligned"/>
            </w:pPr>
            <w:r w:rsidRPr="00222C32">
              <w:t>-</w:t>
            </w:r>
          </w:p>
        </w:tc>
        <w:tc>
          <w:tcPr>
            <w:tcW w:w="850" w:type="dxa"/>
            <w:shd w:val="clear" w:color="auto" w:fill="E6F2FF"/>
            <w:vAlign w:val="bottom"/>
          </w:tcPr>
          <w:p w14:paraId="28B22B50" w14:textId="77777777" w:rsidR="00BB2CB4" w:rsidRPr="00222C32" w:rsidRDefault="000674DA">
            <w:pPr>
              <w:pStyle w:val="Summarytabletextrightaligned"/>
            </w:pPr>
            <w:r w:rsidRPr="00222C32">
              <w:t>3.0</w:t>
            </w:r>
          </w:p>
        </w:tc>
        <w:tc>
          <w:tcPr>
            <w:tcW w:w="850" w:type="dxa"/>
            <w:vAlign w:val="bottom"/>
          </w:tcPr>
          <w:p w14:paraId="56347680" w14:textId="77777777" w:rsidR="00BB2CB4" w:rsidRPr="00222C32" w:rsidRDefault="000674DA">
            <w:pPr>
              <w:pStyle w:val="Summarytabletextrightaligned"/>
            </w:pPr>
            <w:r w:rsidRPr="00222C32">
              <w:t>7.5</w:t>
            </w:r>
          </w:p>
        </w:tc>
        <w:tc>
          <w:tcPr>
            <w:tcW w:w="850" w:type="dxa"/>
            <w:vAlign w:val="bottom"/>
          </w:tcPr>
          <w:p w14:paraId="35B2EF8E" w14:textId="77777777" w:rsidR="00BB2CB4" w:rsidRPr="00222C32" w:rsidRDefault="000674DA">
            <w:pPr>
              <w:pStyle w:val="Summarytabletextrightaligned"/>
            </w:pPr>
            <w:r w:rsidRPr="00222C32">
              <w:t>16.6</w:t>
            </w:r>
          </w:p>
        </w:tc>
        <w:tc>
          <w:tcPr>
            <w:tcW w:w="850" w:type="dxa"/>
            <w:vAlign w:val="bottom"/>
          </w:tcPr>
          <w:p w14:paraId="2C9CF95F" w14:textId="77777777" w:rsidR="00BB2CB4" w:rsidRPr="00222C32" w:rsidRDefault="000674DA">
            <w:pPr>
              <w:pStyle w:val="Summarytabletextrightaligned"/>
            </w:pPr>
            <w:r w:rsidRPr="00222C32">
              <w:t>17.0</w:t>
            </w:r>
          </w:p>
        </w:tc>
      </w:tr>
      <w:tr w:rsidR="00BB2CB4" w:rsidRPr="00222C32" w14:paraId="5FD4B3A1" w14:textId="77777777" w:rsidTr="00825163">
        <w:tc>
          <w:tcPr>
            <w:tcW w:w="3471" w:type="dxa"/>
            <w:tcBorders>
              <w:bottom w:val="nil"/>
            </w:tcBorders>
            <w:vAlign w:val="bottom"/>
          </w:tcPr>
          <w:p w14:paraId="29FF3C3E" w14:textId="77777777" w:rsidR="00BB2CB4" w:rsidRPr="00222C32" w:rsidRDefault="000674DA">
            <w:pPr>
              <w:pStyle w:val="SummaryAgencyTitle-BP2"/>
            </w:pPr>
            <w:r w:rsidRPr="00222C32">
              <w:t>Australian Institute of Criminology</w:t>
            </w:r>
          </w:p>
        </w:tc>
        <w:tc>
          <w:tcPr>
            <w:tcW w:w="850" w:type="dxa"/>
            <w:tcBorders>
              <w:bottom w:val="nil"/>
            </w:tcBorders>
          </w:tcPr>
          <w:p w14:paraId="3FB6D71D" w14:textId="77777777" w:rsidR="00BB2CB4" w:rsidRPr="00222C32" w:rsidRDefault="00BB2CB4">
            <w:pPr>
              <w:pStyle w:val="SummaryAgencyTitle-BP2"/>
            </w:pPr>
          </w:p>
        </w:tc>
        <w:tc>
          <w:tcPr>
            <w:tcW w:w="850" w:type="dxa"/>
            <w:tcBorders>
              <w:bottom w:val="nil"/>
            </w:tcBorders>
            <w:shd w:val="clear" w:color="auto" w:fill="E6F2FF"/>
          </w:tcPr>
          <w:p w14:paraId="64673D0A" w14:textId="77777777" w:rsidR="00BB2CB4" w:rsidRPr="00222C32" w:rsidRDefault="00BB2CB4">
            <w:pPr>
              <w:pStyle w:val="SummaryAgencyTitle-BP2"/>
            </w:pPr>
          </w:p>
        </w:tc>
        <w:tc>
          <w:tcPr>
            <w:tcW w:w="850" w:type="dxa"/>
            <w:tcBorders>
              <w:bottom w:val="nil"/>
            </w:tcBorders>
          </w:tcPr>
          <w:p w14:paraId="679D89BD" w14:textId="77777777" w:rsidR="00BB2CB4" w:rsidRPr="00222C32" w:rsidRDefault="00BB2CB4">
            <w:pPr>
              <w:pStyle w:val="SummaryAgencyTitle-BP2"/>
            </w:pPr>
          </w:p>
        </w:tc>
        <w:tc>
          <w:tcPr>
            <w:tcW w:w="850" w:type="dxa"/>
            <w:tcBorders>
              <w:bottom w:val="nil"/>
            </w:tcBorders>
          </w:tcPr>
          <w:p w14:paraId="21BA0116" w14:textId="77777777" w:rsidR="00BB2CB4" w:rsidRPr="00222C32" w:rsidRDefault="00BB2CB4">
            <w:pPr>
              <w:pStyle w:val="SummaryAgencyTitle-BP2"/>
            </w:pPr>
          </w:p>
        </w:tc>
        <w:tc>
          <w:tcPr>
            <w:tcW w:w="850" w:type="dxa"/>
            <w:tcBorders>
              <w:bottom w:val="nil"/>
            </w:tcBorders>
          </w:tcPr>
          <w:p w14:paraId="77C87245" w14:textId="77777777" w:rsidR="00BB2CB4" w:rsidRPr="00222C32" w:rsidRDefault="00BB2CB4">
            <w:pPr>
              <w:pStyle w:val="SummaryAgencyTitle-BP2"/>
            </w:pPr>
          </w:p>
        </w:tc>
      </w:tr>
      <w:tr w:rsidR="00BB2CB4" w:rsidRPr="00222C32" w14:paraId="2B782338" w14:textId="77777777" w:rsidTr="00825163">
        <w:tc>
          <w:tcPr>
            <w:tcW w:w="3471" w:type="dxa"/>
            <w:tcBorders>
              <w:top w:val="nil"/>
              <w:bottom w:val="single" w:sz="4" w:space="0" w:color="293F5B"/>
            </w:tcBorders>
            <w:vAlign w:val="bottom"/>
          </w:tcPr>
          <w:p w14:paraId="7DFC1D59" w14:textId="77777777" w:rsidR="00BB2CB4" w:rsidRPr="00222C32" w:rsidRDefault="000674DA">
            <w:pPr>
              <w:pStyle w:val="SummaryMeasureTitlewithTheme"/>
            </w:pPr>
            <w:r w:rsidRPr="00222C32">
              <w:t>Working With Children Checks Reform</w:t>
            </w:r>
          </w:p>
        </w:tc>
        <w:tc>
          <w:tcPr>
            <w:tcW w:w="850" w:type="dxa"/>
            <w:tcBorders>
              <w:top w:val="nil"/>
              <w:bottom w:val="single" w:sz="4" w:space="0" w:color="293F5B"/>
            </w:tcBorders>
            <w:vAlign w:val="bottom"/>
          </w:tcPr>
          <w:p w14:paraId="4BFED4D2"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0A374EF0" w14:textId="77777777" w:rsidR="00BB2CB4" w:rsidRPr="00222C32" w:rsidRDefault="000674DA">
            <w:pPr>
              <w:pStyle w:val="Summarytabletextrightaligned"/>
            </w:pPr>
            <w:r w:rsidRPr="00222C32">
              <w:t>0.3</w:t>
            </w:r>
          </w:p>
        </w:tc>
        <w:tc>
          <w:tcPr>
            <w:tcW w:w="850" w:type="dxa"/>
            <w:tcBorders>
              <w:top w:val="nil"/>
              <w:bottom w:val="single" w:sz="4" w:space="0" w:color="293F5B"/>
            </w:tcBorders>
            <w:vAlign w:val="bottom"/>
          </w:tcPr>
          <w:p w14:paraId="06DC0E14" w14:textId="77777777" w:rsidR="00BB2CB4" w:rsidRPr="00222C32" w:rsidRDefault="000674DA">
            <w:pPr>
              <w:pStyle w:val="Summarytabletextrightaligned"/>
            </w:pPr>
            <w:r w:rsidRPr="00222C32">
              <w:t>0.9</w:t>
            </w:r>
          </w:p>
        </w:tc>
        <w:tc>
          <w:tcPr>
            <w:tcW w:w="850" w:type="dxa"/>
            <w:tcBorders>
              <w:top w:val="nil"/>
              <w:bottom w:val="single" w:sz="4" w:space="0" w:color="293F5B"/>
            </w:tcBorders>
            <w:vAlign w:val="bottom"/>
          </w:tcPr>
          <w:p w14:paraId="4314D448" w14:textId="77777777" w:rsidR="00BB2CB4" w:rsidRPr="00222C32" w:rsidRDefault="000674DA">
            <w:pPr>
              <w:pStyle w:val="Summarytabletextrightaligned"/>
            </w:pPr>
            <w:r w:rsidRPr="00222C32">
              <w:t>0.5</w:t>
            </w:r>
          </w:p>
        </w:tc>
        <w:tc>
          <w:tcPr>
            <w:tcW w:w="850" w:type="dxa"/>
            <w:tcBorders>
              <w:top w:val="nil"/>
              <w:bottom w:val="single" w:sz="4" w:space="0" w:color="293F5B"/>
            </w:tcBorders>
            <w:vAlign w:val="bottom"/>
          </w:tcPr>
          <w:p w14:paraId="11209EC8" w14:textId="77777777" w:rsidR="00BB2CB4" w:rsidRPr="00222C32" w:rsidRDefault="000674DA">
            <w:pPr>
              <w:pStyle w:val="Summarytabletextrightaligned"/>
            </w:pPr>
            <w:r w:rsidRPr="00222C32">
              <w:t>-</w:t>
            </w:r>
          </w:p>
        </w:tc>
      </w:tr>
    </w:tbl>
    <w:p w14:paraId="3AEBD68A"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049232A5" w14:textId="04D3EEE7"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1BDC530B" w14:textId="77777777" w:rsidTr="00825163">
        <w:tc>
          <w:tcPr>
            <w:tcW w:w="3471" w:type="dxa"/>
            <w:tcBorders>
              <w:top w:val="single" w:sz="4" w:space="0" w:color="293F5B"/>
              <w:bottom w:val="nil"/>
            </w:tcBorders>
            <w:vAlign w:val="bottom"/>
          </w:tcPr>
          <w:p w14:paraId="77AD947E" w14:textId="77777777" w:rsidR="000D63FB" w:rsidRPr="00222C32" w:rsidRDefault="000D63FB" w:rsidP="000D63FB"/>
        </w:tc>
        <w:tc>
          <w:tcPr>
            <w:tcW w:w="850" w:type="dxa"/>
            <w:tcBorders>
              <w:top w:val="single" w:sz="4" w:space="0" w:color="293F5B"/>
              <w:bottom w:val="nil"/>
            </w:tcBorders>
          </w:tcPr>
          <w:p w14:paraId="59269A96"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39054D3A"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1B7070A8"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439E948E"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35B5D5EA" w14:textId="77777777" w:rsidR="000D63FB" w:rsidRPr="00222C32" w:rsidRDefault="000D63FB" w:rsidP="000D63FB">
            <w:pPr>
              <w:pStyle w:val="Summarytabletextrightaligned"/>
            </w:pPr>
            <w:r w:rsidRPr="00222C32">
              <w:t>2028-29</w:t>
            </w:r>
          </w:p>
        </w:tc>
      </w:tr>
      <w:tr w:rsidR="000D63FB" w:rsidRPr="00222C32" w14:paraId="786C0D31" w14:textId="77777777" w:rsidTr="00825163">
        <w:tc>
          <w:tcPr>
            <w:tcW w:w="3471" w:type="dxa"/>
            <w:tcBorders>
              <w:top w:val="nil"/>
            </w:tcBorders>
            <w:vAlign w:val="bottom"/>
          </w:tcPr>
          <w:p w14:paraId="6E6A8916" w14:textId="77777777" w:rsidR="000D63FB" w:rsidRPr="00222C32" w:rsidRDefault="000D63FB" w:rsidP="000D63FB"/>
        </w:tc>
        <w:tc>
          <w:tcPr>
            <w:tcW w:w="850" w:type="dxa"/>
            <w:tcBorders>
              <w:top w:val="nil"/>
              <w:bottom w:val="single" w:sz="4" w:space="0" w:color="293F5B"/>
            </w:tcBorders>
          </w:tcPr>
          <w:p w14:paraId="081A04C3"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6935526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3DA62D27"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2B1F09CF"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60C81F77" w14:textId="77777777" w:rsidR="000D63FB" w:rsidRPr="00222C32" w:rsidRDefault="000D63FB" w:rsidP="000D63FB">
            <w:pPr>
              <w:pStyle w:val="Summarytabletextrightaligned"/>
            </w:pPr>
            <w:r w:rsidRPr="00222C32">
              <w:t>$m</w:t>
            </w:r>
          </w:p>
        </w:tc>
      </w:tr>
      <w:tr w:rsidR="000D63FB" w:rsidRPr="00222C32" w14:paraId="2041BD74" w14:textId="77777777" w:rsidTr="00825163">
        <w:tc>
          <w:tcPr>
            <w:tcW w:w="3471" w:type="dxa"/>
            <w:tcBorders>
              <w:bottom w:val="nil"/>
            </w:tcBorders>
            <w:vAlign w:val="bottom"/>
          </w:tcPr>
          <w:p w14:paraId="6442FF65" w14:textId="77777777" w:rsidR="000D63FB" w:rsidRPr="00222C32" w:rsidRDefault="000D63FB" w:rsidP="000D63FB">
            <w:pPr>
              <w:pStyle w:val="SummaryMeasureTitlewithTheme"/>
              <w:rPr>
                <w:b/>
              </w:rPr>
            </w:pPr>
            <w:r w:rsidRPr="00222C32">
              <w:rPr>
                <w:b/>
              </w:rPr>
              <w:t>HOME AFFAIRS (continued)</w:t>
            </w:r>
          </w:p>
        </w:tc>
        <w:tc>
          <w:tcPr>
            <w:tcW w:w="850" w:type="dxa"/>
            <w:tcBorders>
              <w:top w:val="single" w:sz="4" w:space="0" w:color="293F5B"/>
              <w:bottom w:val="nil"/>
            </w:tcBorders>
          </w:tcPr>
          <w:p w14:paraId="794CA36C" w14:textId="77777777" w:rsidR="000D63FB" w:rsidRPr="00222C32" w:rsidRDefault="000D63FB">
            <w:pPr>
              <w:pStyle w:val="SummaryAgencyTitle-BP2"/>
            </w:pPr>
          </w:p>
        </w:tc>
        <w:tc>
          <w:tcPr>
            <w:tcW w:w="850" w:type="dxa"/>
            <w:tcBorders>
              <w:top w:val="single" w:sz="4" w:space="0" w:color="293F5B"/>
              <w:bottom w:val="nil"/>
            </w:tcBorders>
            <w:shd w:val="clear" w:color="auto" w:fill="E6F2FF"/>
          </w:tcPr>
          <w:p w14:paraId="0C266F5B" w14:textId="77777777" w:rsidR="000D63FB" w:rsidRPr="00222C32" w:rsidRDefault="000D63FB">
            <w:pPr>
              <w:pStyle w:val="SummaryAgencyTitle-BP2"/>
            </w:pPr>
          </w:p>
        </w:tc>
        <w:tc>
          <w:tcPr>
            <w:tcW w:w="850" w:type="dxa"/>
            <w:tcBorders>
              <w:top w:val="single" w:sz="4" w:space="0" w:color="293F5B"/>
              <w:bottom w:val="nil"/>
            </w:tcBorders>
          </w:tcPr>
          <w:p w14:paraId="398AB91F" w14:textId="77777777" w:rsidR="000D63FB" w:rsidRPr="00222C32" w:rsidRDefault="000D63FB">
            <w:pPr>
              <w:pStyle w:val="SummaryAgencyTitle-BP2"/>
            </w:pPr>
          </w:p>
        </w:tc>
        <w:tc>
          <w:tcPr>
            <w:tcW w:w="850" w:type="dxa"/>
            <w:tcBorders>
              <w:top w:val="single" w:sz="4" w:space="0" w:color="293F5B"/>
              <w:bottom w:val="nil"/>
            </w:tcBorders>
          </w:tcPr>
          <w:p w14:paraId="19ECA38B" w14:textId="77777777" w:rsidR="000D63FB" w:rsidRPr="00222C32" w:rsidRDefault="000D63FB">
            <w:pPr>
              <w:pStyle w:val="SummaryAgencyTitle-BP2"/>
            </w:pPr>
          </w:p>
        </w:tc>
        <w:tc>
          <w:tcPr>
            <w:tcW w:w="850" w:type="dxa"/>
            <w:tcBorders>
              <w:top w:val="single" w:sz="4" w:space="0" w:color="293F5B"/>
              <w:bottom w:val="nil"/>
            </w:tcBorders>
          </w:tcPr>
          <w:p w14:paraId="264AD7B3" w14:textId="77777777" w:rsidR="000D63FB" w:rsidRPr="00222C32" w:rsidRDefault="000D63FB">
            <w:pPr>
              <w:pStyle w:val="SummaryAgencyTitle-BP2"/>
            </w:pPr>
          </w:p>
        </w:tc>
      </w:tr>
      <w:tr w:rsidR="00BB2CB4" w:rsidRPr="00222C32" w14:paraId="07803076" w14:textId="77777777" w:rsidTr="00825163">
        <w:tc>
          <w:tcPr>
            <w:tcW w:w="3471" w:type="dxa"/>
            <w:tcBorders>
              <w:top w:val="nil"/>
            </w:tcBorders>
            <w:vAlign w:val="bottom"/>
          </w:tcPr>
          <w:p w14:paraId="150DD34D" w14:textId="77777777" w:rsidR="00BB2CB4" w:rsidRPr="00222C32" w:rsidRDefault="000674DA">
            <w:pPr>
              <w:pStyle w:val="SummaryAgencyTitle-BP2"/>
            </w:pPr>
            <w:r w:rsidRPr="00222C32">
              <w:t>Department of Home Affairs</w:t>
            </w:r>
          </w:p>
        </w:tc>
        <w:tc>
          <w:tcPr>
            <w:tcW w:w="850" w:type="dxa"/>
            <w:tcBorders>
              <w:top w:val="nil"/>
            </w:tcBorders>
          </w:tcPr>
          <w:p w14:paraId="4E6FE160" w14:textId="77777777" w:rsidR="00BB2CB4" w:rsidRPr="00222C32" w:rsidRDefault="00BB2CB4">
            <w:pPr>
              <w:pStyle w:val="SummaryAgencyTitle-BP2"/>
            </w:pPr>
          </w:p>
        </w:tc>
        <w:tc>
          <w:tcPr>
            <w:tcW w:w="850" w:type="dxa"/>
            <w:tcBorders>
              <w:top w:val="nil"/>
            </w:tcBorders>
            <w:shd w:val="clear" w:color="auto" w:fill="E6F2FF"/>
          </w:tcPr>
          <w:p w14:paraId="352606C1" w14:textId="77777777" w:rsidR="00BB2CB4" w:rsidRPr="00222C32" w:rsidRDefault="00BB2CB4">
            <w:pPr>
              <w:pStyle w:val="SummaryAgencyTitle-BP2"/>
            </w:pPr>
          </w:p>
        </w:tc>
        <w:tc>
          <w:tcPr>
            <w:tcW w:w="850" w:type="dxa"/>
            <w:tcBorders>
              <w:top w:val="nil"/>
            </w:tcBorders>
          </w:tcPr>
          <w:p w14:paraId="0EDDDCA7" w14:textId="77777777" w:rsidR="00BB2CB4" w:rsidRPr="00222C32" w:rsidRDefault="00BB2CB4">
            <w:pPr>
              <w:pStyle w:val="SummaryAgencyTitle-BP2"/>
            </w:pPr>
          </w:p>
        </w:tc>
        <w:tc>
          <w:tcPr>
            <w:tcW w:w="850" w:type="dxa"/>
            <w:tcBorders>
              <w:top w:val="nil"/>
            </w:tcBorders>
          </w:tcPr>
          <w:p w14:paraId="7066B188" w14:textId="77777777" w:rsidR="00BB2CB4" w:rsidRPr="00222C32" w:rsidRDefault="00BB2CB4">
            <w:pPr>
              <w:pStyle w:val="SummaryAgencyTitle-BP2"/>
            </w:pPr>
          </w:p>
        </w:tc>
        <w:tc>
          <w:tcPr>
            <w:tcW w:w="850" w:type="dxa"/>
            <w:tcBorders>
              <w:top w:val="nil"/>
            </w:tcBorders>
          </w:tcPr>
          <w:p w14:paraId="2EB59775" w14:textId="77777777" w:rsidR="00BB2CB4" w:rsidRPr="00222C32" w:rsidRDefault="00BB2CB4">
            <w:pPr>
              <w:pStyle w:val="SummaryAgencyTitle-BP2"/>
            </w:pPr>
          </w:p>
        </w:tc>
      </w:tr>
      <w:tr w:rsidR="00BB2CB4" w:rsidRPr="00222C32" w14:paraId="5FE0EE97" w14:textId="77777777" w:rsidTr="00825163">
        <w:tc>
          <w:tcPr>
            <w:tcW w:w="3471" w:type="dxa"/>
            <w:vAlign w:val="bottom"/>
          </w:tcPr>
          <w:p w14:paraId="5BCFC0E2" w14:textId="77777777" w:rsidR="00BB2CB4" w:rsidRPr="00222C32" w:rsidRDefault="000674DA">
            <w:pPr>
              <w:pStyle w:val="SummaryMeasureTitlewithTheme"/>
            </w:pPr>
            <w:r w:rsidRPr="00222C32">
              <w:t>Civil Maritime Security Capabilities</w:t>
            </w:r>
          </w:p>
        </w:tc>
        <w:tc>
          <w:tcPr>
            <w:tcW w:w="850" w:type="dxa"/>
            <w:vAlign w:val="bottom"/>
          </w:tcPr>
          <w:p w14:paraId="4C2789C6" w14:textId="77777777" w:rsidR="00BB2CB4" w:rsidRPr="00222C32" w:rsidRDefault="000674DA">
            <w:pPr>
              <w:pStyle w:val="Summarytabletextrightaligned"/>
            </w:pPr>
            <w:r w:rsidRPr="00222C32">
              <w:t>-</w:t>
            </w:r>
          </w:p>
        </w:tc>
        <w:tc>
          <w:tcPr>
            <w:tcW w:w="850" w:type="dxa"/>
            <w:shd w:val="clear" w:color="auto" w:fill="E6F2FF"/>
            <w:vAlign w:val="bottom"/>
          </w:tcPr>
          <w:p w14:paraId="23DD4B72"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BA41812" w14:textId="77777777" w:rsidR="00BB2CB4" w:rsidRPr="00222C32" w:rsidRDefault="000674DA">
            <w:pPr>
              <w:pStyle w:val="Summarytabletextrightaligned"/>
              <w:rPr>
                <w:lang w:val="en-US"/>
              </w:rPr>
            </w:pPr>
            <w:r w:rsidRPr="00222C32">
              <w:rPr>
                <w:lang w:val="en-US"/>
              </w:rPr>
              <w:t>nfp</w:t>
            </w:r>
          </w:p>
        </w:tc>
        <w:tc>
          <w:tcPr>
            <w:tcW w:w="850" w:type="dxa"/>
            <w:vAlign w:val="bottom"/>
          </w:tcPr>
          <w:p w14:paraId="613C6B90" w14:textId="77777777" w:rsidR="00BB2CB4" w:rsidRPr="00222C32" w:rsidRDefault="000674DA">
            <w:pPr>
              <w:pStyle w:val="Summarytabletextrightaligned"/>
              <w:rPr>
                <w:lang w:val="en-US"/>
              </w:rPr>
            </w:pPr>
            <w:r w:rsidRPr="00222C32">
              <w:rPr>
                <w:lang w:val="en-US"/>
              </w:rPr>
              <w:t>nfp</w:t>
            </w:r>
          </w:p>
        </w:tc>
        <w:tc>
          <w:tcPr>
            <w:tcW w:w="850" w:type="dxa"/>
            <w:vAlign w:val="bottom"/>
          </w:tcPr>
          <w:p w14:paraId="65F76B6C" w14:textId="77777777" w:rsidR="00BB2CB4" w:rsidRPr="00222C32" w:rsidRDefault="000674DA">
            <w:pPr>
              <w:pStyle w:val="Summarytabletextrightaligned"/>
              <w:rPr>
                <w:lang w:val="en-US"/>
              </w:rPr>
            </w:pPr>
            <w:r w:rsidRPr="00222C32">
              <w:rPr>
                <w:lang w:val="en-US"/>
              </w:rPr>
              <w:t>nfp</w:t>
            </w:r>
          </w:p>
        </w:tc>
      </w:tr>
      <w:tr w:rsidR="00BB2CB4" w:rsidRPr="00222C32" w14:paraId="35D7B839" w14:textId="77777777" w:rsidTr="00825163">
        <w:tc>
          <w:tcPr>
            <w:tcW w:w="3471" w:type="dxa"/>
            <w:vAlign w:val="bottom"/>
          </w:tcPr>
          <w:p w14:paraId="532E0752" w14:textId="66BAD89E" w:rsidR="00BB2CB4" w:rsidRPr="00222C32" w:rsidRDefault="000674DA">
            <w:pPr>
              <w:pStyle w:val="SummaryMeasureTitlewithTheme"/>
            </w:pPr>
            <w:r w:rsidRPr="00222C32">
              <w:t>Community Safety Measures in Response to the High Court</w:t>
            </w:r>
            <w:r w:rsidR="00A67A30">
              <w:t>’</w:t>
            </w:r>
            <w:r w:rsidRPr="00222C32">
              <w:t>s decision in NZYQ v Minister for Immigration, Citizenship and Multicultural Affairs &amp; Anor</w:t>
            </w:r>
          </w:p>
        </w:tc>
        <w:tc>
          <w:tcPr>
            <w:tcW w:w="850" w:type="dxa"/>
            <w:vAlign w:val="bottom"/>
          </w:tcPr>
          <w:p w14:paraId="27DBC748" w14:textId="77777777" w:rsidR="00BB2CB4" w:rsidRPr="00222C32" w:rsidRDefault="000674DA">
            <w:pPr>
              <w:pStyle w:val="Summarytabletextrightaligned"/>
            </w:pPr>
            <w:r w:rsidRPr="00222C32">
              <w:t>-</w:t>
            </w:r>
          </w:p>
        </w:tc>
        <w:tc>
          <w:tcPr>
            <w:tcW w:w="850" w:type="dxa"/>
            <w:shd w:val="clear" w:color="auto" w:fill="E6F2FF"/>
            <w:vAlign w:val="bottom"/>
          </w:tcPr>
          <w:p w14:paraId="3578DD9D" w14:textId="77777777" w:rsidR="00BB2CB4" w:rsidRPr="00222C32" w:rsidRDefault="000674DA">
            <w:pPr>
              <w:pStyle w:val="Summarytabletextrightaligned"/>
            </w:pPr>
            <w:r w:rsidRPr="00222C32">
              <w:t>312.5</w:t>
            </w:r>
          </w:p>
        </w:tc>
        <w:tc>
          <w:tcPr>
            <w:tcW w:w="850" w:type="dxa"/>
            <w:vAlign w:val="bottom"/>
          </w:tcPr>
          <w:p w14:paraId="78DA9C4F" w14:textId="77777777" w:rsidR="00BB2CB4" w:rsidRPr="00222C32" w:rsidRDefault="000674DA">
            <w:pPr>
              <w:pStyle w:val="Summarytabletextrightaligned"/>
            </w:pPr>
            <w:r w:rsidRPr="00222C32">
              <w:t>-53.4</w:t>
            </w:r>
          </w:p>
        </w:tc>
        <w:tc>
          <w:tcPr>
            <w:tcW w:w="850" w:type="dxa"/>
            <w:vAlign w:val="bottom"/>
          </w:tcPr>
          <w:p w14:paraId="75AB7F74" w14:textId="77777777" w:rsidR="00BB2CB4" w:rsidRPr="00222C32" w:rsidRDefault="000674DA">
            <w:pPr>
              <w:pStyle w:val="Summarytabletextrightaligned"/>
            </w:pPr>
            <w:r w:rsidRPr="00222C32">
              <w:t>-32.0</w:t>
            </w:r>
          </w:p>
        </w:tc>
        <w:tc>
          <w:tcPr>
            <w:tcW w:w="850" w:type="dxa"/>
            <w:vAlign w:val="bottom"/>
          </w:tcPr>
          <w:p w14:paraId="4F456F9D" w14:textId="77777777" w:rsidR="00BB2CB4" w:rsidRPr="00222C32" w:rsidRDefault="000674DA">
            <w:pPr>
              <w:pStyle w:val="Summarytabletextrightaligned"/>
            </w:pPr>
            <w:r w:rsidRPr="00222C32">
              <w:t>-32.0</w:t>
            </w:r>
          </w:p>
        </w:tc>
      </w:tr>
      <w:tr w:rsidR="00BB2CB4" w:rsidRPr="00222C32" w14:paraId="2D49DCBA" w14:textId="77777777" w:rsidTr="00825163">
        <w:tc>
          <w:tcPr>
            <w:tcW w:w="3471" w:type="dxa"/>
            <w:vAlign w:val="bottom"/>
          </w:tcPr>
          <w:p w14:paraId="2FC3228C" w14:textId="77777777" w:rsidR="00BB2CB4" w:rsidRPr="00222C32" w:rsidRDefault="000674DA">
            <w:pPr>
              <w:pStyle w:val="SummaryMeasureTitlewithTheme"/>
            </w:pPr>
            <w:r w:rsidRPr="00222C32">
              <w:t>Home Affairs Portfolio – additional resourcing</w:t>
            </w:r>
          </w:p>
        </w:tc>
        <w:tc>
          <w:tcPr>
            <w:tcW w:w="850" w:type="dxa"/>
            <w:vAlign w:val="bottom"/>
          </w:tcPr>
          <w:p w14:paraId="6C112568" w14:textId="77777777" w:rsidR="00BB2CB4" w:rsidRPr="00222C32" w:rsidRDefault="000674DA">
            <w:pPr>
              <w:pStyle w:val="Summarytabletextrightaligned"/>
            </w:pPr>
            <w:r w:rsidRPr="00222C32">
              <w:t>-</w:t>
            </w:r>
          </w:p>
        </w:tc>
        <w:tc>
          <w:tcPr>
            <w:tcW w:w="850" w:type="dxa"/>
            <w:shd w:val="clear" w:color="auto" w:fill="E6F2FF"/>
            <w:vAlign w:val="bottom"/>
          </w:tcPr>
          <w:p w14:paraId="68D4EABC" w14:textId="77777777" w:rsidR="00BB2CB4" w:rsidRPr="00222C32" w:rsidRDefault="000674DA">
            <w:pPr>
              <w:pStyle w:val="Summarytabletextrightaligned"/>
            </w:pPr>
            <w:r w:rsidRPr="00222C32">
              <w:t>28.2</w:t>
            </w:r>
          </w:p>
        </w:tc>
        <w:tc>
          <w:tcPr>
            <w:tcW w:w="850" w:type="dxa"/>
            <w:vAlign w:val="bottom"/>
          </w:tcPr>
          <w:p w14:paraId="4B3E1420" w14:textId="77777777" w:rsidR="00BB2CB4" w:rsidRPr="00222C32" w:rsidRDefault="000674DA">
            <w:pPr>
              <w:pStyle w:val="Summarytabletextrightaligned"/>
            </w:pPr>
            <w:r w:rsidRPr="00222C32">
              <w:t>-</w:t>
            </w:r>
          </w:p>
        </w:tc>
        <w:tc>
          <w:tcPr>
            <w:tcW w:w="850" w:type="dxa"/>
            <w:vAlign w:val="bottom"/>
          </w:tcPr>
          <w:p w14:paraId="2796E3B2" w14:textId="77777777" w:rsidR="00BB2CB4" w:rsidRPr="00222C32" w:rsidRDefault="000674DA">
            <w:pPr>
              <w:pStyle w:val="Summarytabletextrightaligned"/>
            </w:pPr>
            <w:r w:rsidRPr="00222C32">
              <w:t>-</w:t>
            </w:r>
          </w:p>
        </w:tc>
        <w:tc>
          <w:tcPr>
            <w:tcW w:w="850" w:type="dxa"/>
            <w:vAlign w:val="bottom"/>
          </w:tcPr>
          <w:p w14:paraId="62A9F5DC" w14:textId="77777777" w:rsidR="00BB2CB4" w:rsidRPr="00222C32" w:rsidRDefault="000674DA">
            <w:pPr>
              <w:pStyle w:val="Summarytabletextrightaligned"/>
            </w:pPr>
            <w:r w:rsidRPr="00222C32">
              <w:t>-</w:t>
            </w:r>
          </w:p>
        </w:tc>
      </w:tr>
      <w:tr w:rsidR="00BB2CB4" w:rsidRPr="00222C32" w14:paraId="74AD7B2C" w14:textId="77777777" w:rsidTr="00825163">
        <w:tc>
          <w:tcPr>
            <w:tcW w:w="3471" w:type="dxa"/>
            <w:vAlign w:val="bottom"/>
          </w:tcPr>
          <w:p w14:paraId="05A5A351" w14:textId="77777777" w:rsidR="00BB2CB4" w:rsidRPr="00222C32" w:rsidRDefault="000674DA">
            <w:pPr>
              <w:pStyle w:val="SummaryMeasureTitlewithTheme"/>
            </w:pPr>
            <w:r w:rsidRPr="00222C32">
              <w:t>Permanent Migration Program – 2025–26 planning levels(b)</w:t>
            </w:r>
          </w:p>
        </w:tc>
        <w:tc>
          <w:tcPr>
            <w:tcW w:w="850" w:type="dxa"/>
            <w:vAlign w:val="bottom"/>
          </w:tcPr>
          <w:p w14:paraId="3E770270" w14:textId="77777777" w:rsidR="00BB2CB4" w:rsidRPr="00222C32" w:rsidRDefault="000674DA">
            <w:pPr>
              <w:pStyle w:val="Summarytabletextrightaligned"/>
            </w:pPr>
            <w:r w:rsidRPr="00222C32">
              <w:t>-</w:t>
            </w:r>
          </w:p>
        </w:tc>
        <w:tc>
          <w:tcPr>
            <w:tcW w:w="850" w:type="dxa"/>
            <w:shd w:val="clear" w:color="auto" w:fill="E6F2FF"/>
            <w:vAlign w:val="bottom"/>
          </w:tcPr>
          <w:p w14:paraId="76A55C60" w14:textId="77777777" w:rsidR="00BB2CB4" w:rsidRPr="00222C32" w:rsidRDefault="000674DA">
            <w:pPr>
              <w:pStyle w:val="Summarytabletextrightaligned"/>
            </w:pPr>
            <w:r w:rsidRPr="00222C32">
              <w:t>1.5</w:t>
            </w:r>
          </w:p>
        </w:tc>
        <w:tc>
          <w:tcPr>
            <w:tcW w:w="850" w:type="dxa"/>
            <w:vAlign w:val="bottom"/>
          </w:tcPr>
          <w:p w14:paraId="40D5B8F9" w14:textId="77777777" w:rsidR="00BB2CB4" w:rsidRPr="00222C32" w:rsidRDefault="000674DA">
            <w:pPr>
              <w:pStyle w:val="Summarytabletextrightaligned"/>
            </w:pPr>
            <w:r w:rsidRPr="00222C32">
              <w:t>0.5</w:t>
            </w:r>
          </w:p>
        </w:tc>
        <w:tc>
          <w:tcPr>
            <w:tcW w:w="850" w:type="dxa"/>
            <w:vAlign w:val="bottom"/>
          </w:tcPr>
          <w:p w14:paraId="62260A16" w14:textId="77777777" w:rsidR="00BB2CB4" w:rsidRPr="00222C32" w:rsidRDefault="000674DA">
            <w:pPr>
              <w:pStyle w:val="Summarytabletextrightaligned"/>
            </w:pPr>
            <w:r w:rsidRPr="00222C32">
              <w:t>0.6</w:t>
            </w:r>
          </w:p>
        </w:tc>
        <w:tc>
          <w:tcPr>
            <w:tcW w:w="850" w:type="dxa"/>
            <w:vAlign w:val="bottom"/>
          </w:tcPr>
          <w:p w14:paraId="685DE1D4" w14:textId="77777777" w:rsidR="00BB2CB4" w:rsidRPr="00222C32" w:rsidRDefault="000674DA">
            <w:pPr>
              <w:pStyle w:val="Summarytabletextrightaligned"/>
            </w:pPr>
            <w:r w:rsidRPr="00222C32">
              <w:t>0.6</w:t>
            </w:r>
          </w:p>
        </w:tc>
      </w:tr>
      <w:tr w:rsidR="00BB2CB4" w:rsidRPr="00222C32" w14:paraId="7B99A54D" w14:textId="77777777" w:rsidTr="00825163">
        <w:tc>
          <w:tcPr>
            <w:tcW w:w="3471" w:type="dxa"/>
            <w:vAlign w:val="bottom"/>
          </w:tcPr>
          <w:p w14:paraId="3E5B3C2C" w14:textId="77777777" w:rsidR="00BB2CB4" w:rsidRPr="00222C32" w:rsidRDefault="000674DA">
            <w:pPr>
              <w:pStyle w:val="SummaryMeasureTitlewithTheme"/>
            </w:pPr>
            <w:r w:rsidRPr="00222C32">
              <w:t>Strengthening Community Safety</w:t>
            </w:r>
          </w:p>
        </w:tc>
        <w:tc>
          <w:tcPr>
            <w:tcW w:w="850" w:type="dxa"/>
            <w:vAlign w:val="bottom"/>
          </w:tcPr>
          <w:p w14:paraId="4D20411F" w14:textId="77777777" w:rsidR="00BB2CB4" w:rsidRPr="00222C32" w:rsidRDefault="000674DA">
            <w:pPr>
              <w:pStyle w:val="Summarytabletextrightaligned"/>
            </w:pPr>
            <w:r w:rsidRPr="00222C32">
              <w:t>-</w:t>
            </w:r>
          </w:p>
        </w:tc>
        <w:tc>
          <w:tcPr>
            <w:tcW w:w="850" w:type="dxa"/>
            <w:shd w:val="clear" w:color="auto" w:fill="E6F2FF"/>
            <w:vAlign w:val="bottom"/>
          </w:tcPr>
          <w:p w14:paraId="696F13A2" w14:textId="77777777" w:rsidR="00BB2CB4" w:rsidRPr="00222C32" w:rsidRDefault="000674DA">
            <w:pPr>
              <w:pStyle w:val="Summarytabletextrightaligned"/>
            </w:pPr>
            <w:r w:rsidRPr="00222C32">
              <w:t>8.3</w:t>
            </w:r>
          </w:p>
        </w:tc>
        <w:tc>
          <w:tcPr>
            <w:tcW w:w="850" w:type="dxa"/>
            <w:vAlign w:val="bottom"/>
          </w:tcPr>
          <w:p w14:paraId="655111BB" w14:textId="77777777" w:rsidR="00BB2CB4" w:rsidRPr="00222C32" w:rsidRDefault="000674DA">
            <w:pPr>
              <w:pStyle w:val="Summarytabletextrightaligned"/>
            </w:pPr>
            <w:r w:rsidRPr="00222C32">
              <w:t>11.2</w:t>
            </w:r>
          </w:p>
        </w:tc>
        <w:tc>
          <w:tcPr>
            <w:tcW w:w="850" w:type="dxa"/>
            <w:vAlign w:val="bottom"/>
          </w:tcPr>
          <w:p w14:paraId="722211A4" w14:textId="77777777" w:rsidR="00BB2CB4" w:rsidRPr="00222C32" w:rsidRDefault="000674DA">
            <w:pPr>
              <w:pStyle w:val="Summarytabletextrightaligned"/>
            </w:pPr>
            <w:r w:rsidRPr="00222C32">
              <w:t>2.9</w:t>
            </w:r>
          </w:p>
        </w:tc>
        <w:tc>
          <w:tcPr>
            <w:tcW w:w="850" w:type="dxa"/>
            <w:vAlign w:val="bottom"/>
          </w:tcPr>
          <w:p w14:paraId="200BB133" w14:textId="77777777" w:rsidR="00BB2CB4" w:rsidRPr="00222C32" w:rsidRDefault="000674DA">
            <w:pPr>
              <w:pStyle w:val="Summarytabletextrightaligned"/>
            </w:pPr>
            <w:r w:rsidRPr="00222C32">
              <w:t>-</w:t>
            </w:r>
          </w:p>
        </w:tc>
      </w:tr>
      <w:tr w:rsidR="00BB2CB4" w:rsidRPr="00222C32" w14:paraId="4E013EFE" w14:textId="77777777" w:rsidTr="00825163">
        <w:tc>
          <w:tcPr>
            <w:tcW w:w="3471" w:type="dxa"/>
            <w:vAlign w:val="bottom"/>
          </w:tcPr>
          <w:p w14:paraId="50676884" w14:textId="77777777" w:rsidR="00BB2CB4" w:rsidRPr="00222C32" w:rsidRDefault="000674DA">
            <w:pPr>
              <w:pStyle w:val="SummaryMeasureTitlewithTheme"/>
            </w:pPr>
            <w:r w:rsidRPr="00222C32">
              <w:t>Support for Migrant and Refugee Settlement Services</w:t>
            </w:r>
          </w:p>
        </w:tc>
        <w:tc>
          <w:tcPr>
            <w:tcW w:w="850" w:type="dxa"/>
            <w:vAlign w:val="bottom"/>
          </w:tcPr>
          <w:p w14:paraId="2A217F60" w14:textId="77777777" w:rsidR="00BB2CB4" w:rsidRPr="00222C32" w:rsidRDefault="000674DA">
            <w:pPr>
              <w:pStyle w:val="Summarytabletextrightaligned"/>
            </w:pPr>
            <w:r w:rsidRPr="00222C32">
              <w:t>-</w:t>
            </w:r>
          </w:p>
        </w:tc>
        <w:tc>
          <w:tcPr>
            <w:tcW w:w="850" w:type="dxa"/>
            <w:shd w:val="clear" w:color="auto" w:fill="E6F2FF"/>
            <w:vAlign w:val="bottom"/>
          </w:tcPr>
          <w:p w14:paraId="62203D2C" w14:textId="77777777" w:rsidR="00BB2CB4" w:rsidRPr="00222C32" w:rsidRDefault="000674DA">
            <w:pPr>
              <w:pStyle w:val="Summarytabletextrightaligned"/>
            </w:pPr>
            <w:r w:rsidRPr="00222C32">
              <w:t>-</w:t>
            </w:r>
          </w:p>
        </w:tc>
        <w:tc>
          <w:tcPr>
            <w:tcW w:w="850" w:type="dxa"/>
            <w:vAlign w:val="bottom"/>
          </w:tcPr>
          <w:p w14:paraId="09D79CC6" w14:textId="77777777" w:rsidR="00BB2CB4" w:rsidRPr="00222C32" w:rsidRDefault="000674DA">
            <w:pPr>
              <w:pStyle w:val="Summarytabletextrightaligned"/>
            </w:pPr>
            <w:r w:rsidRPr="00222C32">
              <w:t>13.9</w:t>
            </w:r>
          </w:p>
        </w:tc>
        <w:tc>
          <w:tcPr>
            <w:tcW w:w="850" w:type="dxa"/>
            <w:vAlign w:val="bottom"/>
          </w:tcPr>
          <w:p w14:paraId="2FA61EF7" w14:textId="77777777" w:rsidR="00BB2CB4" w:rsidRPr="00222C32" w:rsidRDefault="000674DA">
            <w:pPr>
              <w:pStyle w:val="Summarytabletextrightaligned"/>
            </w:pPr>
            <w:r w:rsidRPr="00222C32">
              <w:t>-</w:t>
            </w:r>
          </w:p>
        </w:tc>
        <w:tc>
          <w:tcPr>
            <w:tcW w:w="850" w:type="dxa"/>
            <w:vAlign w:val="bottom"/>
          </w:tcPr>
          <w:p w14:paraId="12FEA4B4" w14:textId="77777777" w:rsidR="00BB2CB4" w:rsidRPr="00222C32" w:rsidRDefault="000674DA">
            <w:pPr>
              <w:pStyle w:val="Summarytabletextrightaligned"/>
            </w:pPr>
            <w:r w:rsidRPr="00222C32">
              <w:t>-</w:t>
            </w:r>
          </w:p>
        </w:tc>
      </w:tr>
      <w:tr w:rsidR="00BB2CB4" w:rsidRPr="00222C32" w14:paraId="4ED36EBE" w14:textId="77777777" w:rsidTr="00825163">
        <w:tc>
          <w:tcPr>
            <w:tcW w:w="3471" w:type="dxa"/>
            <w:vAlign w:val="bottom"/>
          </w:tcPr>
          <w:p w14:paraId="20DA798E" w14:textId="77777777" w:rsidR="00BB2CB4" w:rsidRPr="00222C32" w:rsidRDefault="000674DA">
            <w:pPr>
              <w:pStyle w:val="SummaryMeasureTitlewithTheme"/>
            </w:pPr>
            <w:r w:rsidRPr="00222C32">
              <w:t>Supporting International Sporting Events(b)</w:t>
            </w:r>
          </w:p>
        </w:tc>
        <w:tc>
          <w:tcPr>
            <w:tcW w:w="850" w:type="dxa"/>
            <w:vAlign w:val="bottom"/>
          </w:tcPr>
          <w:p w14:paraId="787609E9" w14:textId="77777777" w:rsidR="00BB2CB4" w:rsidRPr="00222C32" w:rsidRDefault="000674DA">
            <w:pPr>
              <w:pStyle w:val="Summarytabletextrightaligned"/>
            </w:pPr>
            <w:r w:rsidRPr="00222C32">
              <w:t>-</w:t>
            </w:r>
          </w:p>
        </w:tc>
        <w:tc>
          <w:tcPr>
            <w:tcW w:w="850" w:type="dxa"/>
            <w:shd w:val="clear" w:color="auto" w:fill="E6F2FF"/>
            <w:vAlign w:val="bottom"/>
          </w:tcPr>
          <w:p w14:paraId="63671ADD" w14:textId="77777777" w:rsidR="00BB2CB4" w:rsidRPr="00222C32" w:rsidRDefault="000674DA">
            <w:pPr>
              <w:pStyle w:val="Summarytabletextrightaligned"/>
            </w:pPr>
            <w:r w:rsidRPr="00222C32">
              <w:t>1.8</w:t>
            </w:r>
          </w:p>
        </w:tc>
        <w:tc>
          <w:tcPr>
            <w:tcW w:w="850" w:type="dxa"/>
            <w:vAlign w:val="bottom"/>
          </w:tcPr>
          <w:p w14:paraId="057E8DCB" w14:textId="77777777" w:rsidR="00BB2CB4" w:rsidRPr="00222C32" w:rsidRDefault="000674DA">
            <w:pPr>
              <w:pStyle w:val="Summarytabletextrightaligned"/>
            </w:pPr>
            <w:r w:rsidRPr="00222C32">
              <w:t>-</w:t>
            </w:r>
          </w:p>
        </w:tc>
        <w:tc>
          <w:tcPr>
            <w:tcW w:w="850" w:type="dxa"/>
            <w:vAlign w:val="bottom"/>
          </w:tcPr>
          <w:p w14:paraId="631261BC" w14:textId="77777777" w:rsidR="00BB2CB4" w:rsidRPr="00222C32" w:rsidRDefault="000674DA">
            <w:pPr>
              <w:pStyle w:val="Summarytabletextrightaligned"/>
            </w:pPr>
            <w:r w:rsidRPr="00222C32">
              <w:t>-</w:t>
            </w:r>
          </w:p>
        </w:tc>
        <w:tc>
          <w:tcPr>
            <w:tcW w:w="850" w:type="dxa"/>
            <w:vAlign w:val="bottom"/>
          </w:tcPr>
          <w:p w14:paraId="533C63F4" w14:textId="77777777" w:rsidR="00BB2CB4" w:rsidRPr="00222C32" w:rsidRDefault="000674DA">
            <w:pPr>
              <w:pStyle w:val="Summarytabletextrightaligned"/>
            </w:pPr>
            <w:r w:rsidRPr="00222C32">
              <w:t>-</w:t>
            </w:r>
          </w:p>
        </w:tc>
      </w:tr>
      <w:tr w:rsidR="00BB2CB4" w:rsidRPr="00222C32" w14:paraId="62B2B0E2" w14:textId="77777777" w:rsidTr="00825163">
        <w:tc>
          <w:tcPr>
            <w:tcW w:w="3471" w:type="dxa"/>
            <w:vAlign w:val="bottom"/>
          </w:tcPr>
          <w:p w14:paraId="204C4678" w14:textId="77777777" w:rsidR="00BB2CB4" w:rsidRPr="00222C32" w:rsidRDefault="000674DA">
            <w:pPr>
              <w:pStyle w:val="SummaryMeasureTitlewithTheme"/>
            </w:pPr>
            <w:r w:rsidRPr="00222C32">
              <w:t>Supporting Multicultural Communities</w:t>
            </w:r>
          </w:p>
        </w:tc>
        <w:tc>
          <w:tcPr>
            <w:tcW w:w="850" w:type="dxa"/>
            <w:vAlign w:val="bottom"/>
          </w:tcPr>
          <w:p w14:paraId="29381C19" w14:textId="77777777" w:rsidR="00BB2CB4" w:rsidRPr="00222C32" w:rsidRDefault="000674DA">
            <w:pPr>
              <w:pStyle w:val="Summarytabletextrightaligned"/>
            </w:pPr>
            <w:r w:rsidRPr="00222C32">
              <w:t>-</w:t>
            </w:r>
          </w:p>
        </w:tc>
        <w:tc>
          <w:tcPr>
            <w:tcW w:w="850" w:type="dxa"/>
            <w:shd w:val="clear" w:color="auto" w:fill="E6F2FF"/>
            <w:vAlign w:val="bottom"/>
          </w:tcPr>
          <w:p w14:paraId="689AAEE4" w14:textId="77777777" w:rsidR="00BB2CB4" w:rsidRPr="00222C32" w:rsidRDefault="000674DA">
            <w:pPr>
              <w:pStyle w:val="Summarytabletextrightaligned"/>
            </w:pPr>
            <w:r w:rsidRPr="00222C32">
              <w:t>89.9</w:t>
            </w:r>
          </w:p>
        </w:tc>
        <w:tc>
          <w:tcPr>
            <w:tcW w:w="850" w:type="dxa"/>
            <w:vAlign w:val="bottom"/>
          </w:tcPr>
          <w:p w14:paraId="1134496E" w14:textId="77777777" w:rsidR="00BB2CB4" w:rsidRPr="00222C32" w:rsidRDefault="000674DA">
            <w:pPr>
              <w:pStyle w:val="Summarytabletextrightaligned"/>
            </w:pPr>
            <w:r w:rsidRPr="00222C32">
              <w:t>81.9</w:t>
            </w:r>
          </w:p>
        </w:tc>
        <w:tc>
          <w:tcPr>
            <w:tcW w:w="850" w:type="dxa"/>
            <w:vAlign w:val="bottom"/>
          </w:tcPr>
          <w:p w14:paraId="1DF1CA51" w14:textId="77777777" w:rsidR="00BB2CB4" w:rsidRPr="00222C32" w:rsidRDefault="000674DA">
            <w:pPr>
              <w:pStyle w:val="Summarytabletextrightaligned"/>
            </w:pPr>
            <w:r w:rsidRPr="00222C32">
              <w:t>20.4</w:t>
            </w:r>
          </w:p>
        </w:tc>
        <w:tc>
          <w:tcPr>
            <w:tcW w:w="850" w:type="dxa"/>
            <w:vAlign w:val="bottom"/>
          </w:tcPr>
          <w:p w14:paraId="5FEB5898" w14:textId="77777777" w:rsidR="00BB2CB4" w:rsidRPr="00222C32" w:rsidRDefault="000674DA">
            <w:pPr>
              <w:pStyle w:val="Summarytabletextrightaligned"/>
            </w:pPr>
            <w:r w:rsidRPr="00222C32">
              <w:t>5.0</w:t>
            </w:r>
          </w:p>
        </w:tc>
      </w:tr>
      <w:tr w:rsidR="00BB2CB4" w:rsidRPr="00222C32" w14:paraId="426C018D" w14:textId="77777777" w:rsidTr="00825163">
        <w:tc>
          <w:tcPr>
            <w:tcW w:w="3471" w:type="dxa"/>
            <w:vAlign w:val="bottom"/>
          </w:tcPr>
          <w:p w14:paraId="7C38BCFE" w14:textId="77777777" w:rsidR="00BB2CB4" w:rsidRPr="00222C32" w:rsidRDefault="000674DA">
            <w:pPr>
              <w:pStyle w:val="SummaryMeasureTitlewithTheme"/>
            </w:pPr>
            <w:r w:rsidRPr="00222C32">
              <w:t>Supporting Transport Priorities(b)</w:t>
            </w:r>
          </w:p>
        </w:tc>
        <w:tc>
          <w:tcPr>
            <w:tcW w:w="850" w:type="dxa"/>
            <w:vAlign w:val="bottom"/>
          </w:tcPr>
          <w:p w14:paraId="27B755E2" w14:textId="77777777" w:rsidR="00BB2CB4" w:rsidRPr="00222C32" w:rsidRDefault="000674DA">
            <w:pPr>
              <w:pStyle w:val="Summarytabletextrightaligned"/>
            </w:pPr>
            <w:r w:rsidRPr="00222C32">
              <w:t>-</w:t>
            </w:r>
          </w:p>
        </w:tc>
        <w:tc>
          <w:tcPr>
            <w:tcW w:w="850" w:type="dxa"/>
            <w:shd w:val="clear" w:color="auto" w:fill="E6F2FF"/>
            <w:vAlign w:val="bottom"/>
          </w:tcPr>
          <w:p w14:paraId="3F669173" w14:textId="77777777" w:rsidR="00BB2CB4" w:rsidRPr="00222C32" w:rsidRDefault="000674DA">
            <w:pPr>
              <w:pStyle w:val="Summarytabletextrightaligned"/>
            </w:pPr>
            <w:r w:rsidRPr="00222C32">
              <w:t>3.9</w:t>
            </w:r>
          </w:p>
        </w:tc>
        <w:tc>
          <w:tcPr>
            <w:tcW w:w="850" w:type="dxa"/>
            <w:vAlign w:val="bottom"/>
          </w:tcPr>
          <w:p w14:paraId="5CE6B427" w14:textId="77777777" w:rsidR="00BB2CB4" w:rsidRPr="00222C32" w:rsidRDefault="000674DA">
            <w:pPr>
              <w:pStyle w:val="Summarytabletextrightaligned"/>
            </w:pPr>
            <w:r w:rsidRPr="00222C32">
              <w:t>24.8</w:t>
            </w:r>
          </w:p>
        </w:tc>
        <w:tc>
          <w:tcPr>
            <w:tcW w:w="850" w:type="dxa"/>
            <w:vAlign w:val="bottom"/>
          </w:tcPr>
          <w:p w14:paraId="199A3208" w14:textId="77777777" w:rsidR="00BB2CB4" w:rsidRPr="00222C32" w:rsidRDefault="000674DA">
            <w:pPr>
              <w:pStyle w:val="Summarytabletextrightaligned"/>
            </w:pPr>
            <w:r w:rsidRPr="00222C32">
              <w:t>20.8</w:t>
            </w:r>
          </w:p>
        </w:tc>
        <w:tc>
          <w:tcPr>
            <w:tcW w:w="850" w:type="dxa"/>
            <w:vAlign w:val="bottom"/>
          </w:tcPr>
          <w:p w14:paraId="4B7E2C08" w14:textId="77777777" w:rsidR="00BB2CB4" w:rsidRPr="00222C32" w:rsidRDefault="000674DA">
            <w:pPr>
              <w:pStyle w:val="Summarytabletextrightaligned"/>
            </w:pPr>
            <w:r w:rsidRPr="00222C32">
              <w:t>21.2</w:t>
            </w:r>
          </w:p>
        </w:tc>
      </w:tr>
      <w:tr w:rsidR="00BB2CB4" w:rsidRPr="00222C32" w14:paraId="6265677F" w14:textId="77777777" w:rsidTr="00825163">
        <w:tc>
          <w:tcPr>
            <w:tcW w:w="3471" w:type="dxa"/>
            <w:vAlign w:val="bottom"/>
          </w:tcPr>
          <w:p w14:paraId="44846579" w14:textId="77777777" w:rsidR="00BB2CB4" w:rsidRPr="00222C32" w:rsidRDefault="000674DA">
            <w:pPr>
              <w:pStyle w:val="SummaryMeasureTitlewithTheme"/>
            </w:pPr>
            <w:r w:rsidRPr="00222C32">
              <w:t>United States Global Entry Program (Phase Two)(b)</w:t>
            </w:r>
          </w:p>
        </w:tc>
        <w:tc>
          <w:tcPr>
            <w:tcW w:w="850" w:type="dxa"/>
            <w:vAlign w:val="bottom"/>
          </w:tcPr>
          <w:p w14:paraId="2635B856" w14:textId="77777777" w:rsidR="00BB2CB4" w:rsidRPr="00222C32" w:rsidRDefault="000674DA">
            <w:pPr>
              <w:pStyle w:val="Summarytabletextrightaligned"/>
            </w:pPr>
            <w:r w:rsidRPr="00222C32">
              <w:t>-</w:t>
            </w:r>
          </w:p>
        </w:tc>
        <w:tc>
          <w:tcPr>
            <w:tcW w:w="850" w:type="dxa"/>
            <w:shd w:val="clear" w:color="auto" w:fill="E6F2FF"/>
            <w:vAlign w:val="bottom"/>
          </w:tcPr>
          <w:p w14:paraId="75ED8BDD" w14:textId="77777777" w:rsidR="00BB2CB4" w:rsidRPr="00222C32" w:rsidRDefault="000674DA">
            <w:pPr>
              <w:pStyle w:val="Summarytabletextrightaligned"/>
            </w:pPr>
            <w:r w:rsidRPr="00222C32">
              <w:t>1.6</w:t>
            </w:r>
          </w:p>
        </w:tc>
        <w:tc>
          <w:tcPr>
            <w:tcW w:w="850" w:type="dxa"/>
            <w:vAlign w:val="bottom"/>
          </w:tcPr>
          <w:p w14:paraId="351B8835" w14:textId="77777777" w:rsidR="00BB2CB4" w:rsidRPr="00222C32" w:rsidRDefault="000674DA">
            <w:pPr>
              <w:pStyle w:val="Summarytabletextrightaligned"/>
            </w:pPr>
            <w:r w:rsidRPr="00222C32">
              <w:t>2.7</w:t>
            </w:r>
          </w:p>
        </w:tc>
        <w:tc>
          <w:tcPr>
            <w:tcW w:w="850" w:type="dxa"/>
            <w:vAlign w:val="bottom"/>
          </w:tcPr>
          <w:p w14:paraId="7C453AE2" w14:textId="77777777" w:rsidR="00BB2CB4" w:rsidRPr="00222C32" w:rsidRDefault="000674DA">
            <w:pPr>
              <w:pStyle w:val="Summarytabletextrightaligned"/>
            </w:pPr>
            <w:r w:rsidRPr="00222C32">
              <w:t>3.4</w:t>
            </w:r>
          </w:p>
        </w:tc>
        <w:tc>
          <w:tcPr>
            <w:tcW w:w="850" w:type="dxa"/>
            <w:vAlign w:val="bottom"/>
          </w:tcPr>
          <w:p w14:paraId="06F0E3F2" w14:textId="77777777" w:rsidR="00BB2CB4" w:rsidRPr="00222C32" w:rsidRDefault="000674DA">
            <w:pPr>
              <w:pStyle w:val="Summarytabletextrightaligned"/>
            </w:pPr>
            <w:r w:rsidRPr="00222C32">
              <w:t>4.1</w:t>
            </w:r>
          </w:p>
        </w:tc>
      </w:tr>
      <w:tr w:rsidR="00BB2CB4" w:rsidRPr="00222C32" w14:paraId="63F75C92" w14:textId="77777777" w:rsidTr="00825163">
        <w:tc>
          <w:tcPr>
            <w:tcW w:w="3471" w:type="dxa"/>
            <w:vAlign w:val="bottom"/>
          </w:tcPr>
          <w:p w14:paraId="67404FE5" w14:textId="77777777" w:rsidR="00BB2CB4" w:rsidRPr="00222C32" w:rsidRDefault="000674DA">
            <w:pPr>
              <w:pStyle w:val="SummaryMeasureTitlewithTheme"/>
            </w:pPr>
            <w:r w:rsidRPr="00222C32">
              <w:t>Workplace Relations – additional supports</w:t>
            </w:r>
          </w:p>
        </w:tc>
        <w:tc>
          <w:tcPr>
            <w:tcW w:w="850" w:type="dxa"/>
            <w:vAlign w:val="bottom"/>
          </w:tcPr>
          <w:p w14:paraId="2945FF73" w14:textId="77777777" w:rsidR="00BB2CB4" w:rsidRPr="00222C32" w:rsidRDefault="000674DA">
            <w:pPr>
              <w:pStyle w:val="Summarytabletextrightaligned"/>
            </w:pPr>
            <w:r w:rsidRPr="00222C32">
              <w:t>-</w:t>
            </w:r>
          </w:p>
        </w:tc>
        <w:tc>
          <w:tcPr>
            <w:tcW w:w="850" w:type="dxa"/>
            <w:shd w:val="clear" w:color="auto" w:fill="E6F2FF"/>
            <w:vAlign w:val="bottom"/>
          </w:tcPr>
          <w:p w14:paraId="7D65B0E5" w14:textId="77777777" w:rsidR="00BB2CB4" w:rsidRPr="00222C32" w:rsidRDefault="000674DA">
            <w:pPr>
              <w:pStyle w:val="Summarytabletextrightaligned"/>
            </w:pPr>
            <w:r w:rsidRPr="00222C32">
              <w:t>-</w:t>
            </w:r>
          </w:p>
        </w:tc>
        <w:tc>
          <w:tcPr>
            <w:tcW w:w="850" w:type="dxa"/>
            <w:vAlign w:val="bottom"/>
          </w:tcPr>
          <w:p w14:paraId="41404464" w14:textId="77777777" w:rsidR="00BB2CB4" w:rsidRPr="00222C32" w:rsidRDefault="000674DA">
            <w:pPr>
              <w:pStyle w:val="Summarytabletextrightaligned"/>
            </w:pPr>
            <w:r w:rsidRPr="00222C32">
              <w:t>-</w:t>
            </w:r>
          </w:p>
        </w:tc>
        <w:tc>
          <w:tcPr>
            <w:tcW w:w="850" w:type="dxa"/>
            <w:vAlign w:val="bottom"/>
          </w:tcPr>
          <w:p w14:paraId="598C8C44" w14:textId="77777777" w:rsidR="00BB2CB4" w:rsidRPr="00222C32" w:rsidRDefault="000674DA">
            <w:pPr>
              <w:pStyle w:val="Summarytabletextrightaligned"/>
            </w:pPr>
            <w:r w:rsidRPr="00222C32">
              <w:t>-</w:t>
            </w:r>
          </w:p>
        </w:tc>
        <w:tc>
          <w:tcPr>
            <w:tcW w:w="850" w:type="dxa"/>
            <w:vAlign w:val="bottom"/>
          </w:tcPr>
          <w:p w14:paraId="7FEDE1AB" w14:textId="77777777" w:rsidR="00BB2CB4" w:rsidRPr="00222C32" w:rsidRDefault="000674DA">
            <w:pPr>
              <w:pStyle w:val="Summarytabletextrightaligned"/>
            </w:pPr>
            <w:r w:rsidRPr="00222C32">
              <w:t>-</w:t>
            </w:r>
          </w:p>
        </w:tc>
      </w:tr>
      <w:tr w:rsidR="00BB2CB4" w:rsidRPr="00222C32" w14:paraId="63FF7123" w14:textId="77777777" w:rsidTr="00825163">
        <w:tc>
          <w:tcPr>
            <w:tcW w:w="3471" w:type="dxa"/>
            <w:vAlign w:val="bottom"/>
          </w:tcPr>
          <w:p w14:paraId="23A74C32" w14:textId="77777777" w:rsidR="00BB2CB4" w:rsidRPr="00222C32" w:rsidRDefault="000674DA">
            <w:pPr>
              <w:pStyle w:val="SummaryAgencyTitle-BP2"/>
            </w:pPr>
            <w:r w:rsidRPr="00222C32">
              <w:t>National Emergency Management Agency</w:t>
            </w:r>
          </w:p>
        </w:tc>
        <w:tc>
          <w:tcPr>
            <w:tcW w:w="850" w:type="dxa"/>
          </w:tcPr>
          <w:p w14:paraId="6422D701" w14:textId="77777777" w:rsidR="00BB2CB4" w:rsidRPr="00222C32" w:rsidRDefault="00BB2CB4">
            <w:pPr>
              <w:pStyle w:val="SummaryAgencyTitle-BP2"/>
            </w:pPr>
          </w:p>
        </w:tc>
        <w:tc>
          <w:tcPr>
            <w:tcW w:w="850" w:type="dxa"/>
            <w:shd w:val="clear" w:color="auto" w:fill="E6F2FF"/>
          </w:tcPr>
          <w:p w14:paraId="279F2E16" w14:textId="77777777" w:rsidR="00BB2CB4" w:rsidRPr="00222C32" w:rsidRDefault="00BB2CB4">
            <w:pPr>
              <w:pStyle w:val="SummaryAgencyTitle-BP2"/>
            </w:pPr>
          </w:p>
        </w:tc>
        <w:tc>
          <w:tcPr>
            <w:tcW w:w="850" w:type="dxa"/>
          </w:tcPr>
          <w:p w14:paraId="20B7CAF9" w14:textId="77777777" w:rsidR="00BB2CB4" w:rsidRPr="00222C32" w:rsidRDefault="00BB2CB4">
            <w:pPr>
              <w:pStyle w:val="SummaryAgencyTitle-BP2"/>
            </w:pPr>
          </w:p>
        </w:tc>
        <w:tc>
          <w:tcPr>
            <w:tcW w:w="850" w:type="dxa"/>
          </w:tcPr>
          <w:p w14:paraId="45F28926" w14:textId="77777777" w:rsidR="00BB2CB4" w:rsidRPr="00222C32" w:rsidRDefault="00BB2CB4">
            <w:pPr>
              <w:pStyle w:val="SummaryAgencyTitle-BP2"/>
            </w:pPr>
          </w:p>
        </w:tc>
        <w:tc>
          <w:tcPr>
            <w:tcW w:w="850" w:type="dxa"/>
          </w:tcPr>
          <w:p w14:paraId="048456B8" w14:textId="77777777" w:rsidR="00BB2CB4" w:rsidRPr="00222C32" w:rsidRDefault="00BB2CB4">
            <w:pPr>
              <w:pStyle w:val="SummaryAgencyTitle-BP2"/>
            </w:pPr>
          </w:p>
        </w:tc>
      </w:tr>
      <w:tr w:rsidR="00BB2CB4" w:rsidRPr="00222C32" w14:paraId="230E69E5" w14:textId="77777777" w:rsidTr="00825163">
        <w:tc>
          <w:tcPr>
            <w:tcW w:w="3471" w:type="dxa"/>
            <w:vAlign w:val="bottom"/>
          </w:tcPr>
          <w:p w14:paraId="59A43091" w14:textId="77777777" w:rsidR="00BB2CB4" w:rsidRPr="00222C32" w:rsidRDefault="000674DA">
            <w:pPr>
              <w:pStyle w:val="SummaryMeasureTitlewithTheme"/>
            </w:pPr>
            <w:r w:rsidRPr="00222C32">
              <w:t>Disaster Support</w:t>
            </w:r>
          </w:p>
        </w:tc>
        <w:tc>
          <w:tcPr>
            <w:tcW w:w="850" w:type="dxa"/>
            <w:tcBorders>
              <w:bottom w:val="single" w:sz="4" w:space="0" w:color="293F5B"/>
            </w:tcBorders>
            <w:vAlign w:val="bottom"/>
          </w:tcPr>
          <w:p w14:paraId="0AE81740"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04D0AD4C" w14:textId="77777777" w:rsidR="00BB2CB4" w:rsidRPr="00222C32" w:rsidRDefault="000674DA">
            <w:pPr>
              <w:pStyle w:val="Summarytabletextrightaligned"/>
            </w:pPr>
            <w:r w:rsidRPr="00222C32">
              <w:t>23.2</w:t>
            </w:r>
          </w:p>
        </w:tc>
        <w:tc>
          <w:tcPr>
            <w:tcW w:w="850" w:type="dxa"/>
            <w:tcBorders>
              <w:bottom w:val="single" w:sz="4" w:space="0" w:color="293F5B"/>
            </w:tcBorders>
            <w:vAlign w:val="bottom"/>
          </w:tcPr>
          <w:p w14:paraId="5494F52E" w14:textId="77777777" w:rsidR="00BB2CB4" w:rsidRPr="00222C32" w:rsidRDefault="000674DA">
            <w:pPr>
              <w:pStyle w:val="Summarytabletextrightaligned"/>
            </w:pPr>
            <w:r w:rsidRPr="00222C32">
              <w:t>-9.0</w:t>
            </w:r>
          </w:p>
        </w:tc>
        <w:tc>
          <w:tcPr>
            <w:tcW w:w="850" w:type="dxa"/>
            <w:tcBorders>
              <w:bottom w:val="single" w:sz="4" w:space="0" w:color="293F5B"/>
            </w:tcBorders>
            <w:vAlign w:val="bottom"/>
          </w:tcPr>
          <w:p w14:paraId="718EC4DE" w14:textId="77777777" w:rsidR="00BB2CB4" w:rsidRPr="00222C32" w:rsidRDefault="000674DA">
            <w:pPr>
              <w:pStyle w:val="Summarytabletextrightaligned"/>
            </w:pPr>
            <w:r w:rsidRPr="00222C32">
              <w:t>-10.0</w:t>
            </w:r>
          </w:p>
        </w:tc>
        <w:tc>
          <w:tcPr>
            <w:tcW w:w="850" w:type="dxa"/>
            <w:tcBorders>
              <w:bottom w:val="single" w:sz="4" w:space="0" w:color="293F5B"/>
            </w:tcBorders>
            <w:vAlign w:val="bottom"/>
          </w:tcPr>
          <w:p w14:paraId="0D236CB7" w14:textId="77777777" w:rsidR="00BB2CB4" w:rsidRPr="00222C32" w:rsidRDefault="000674DA">
            <w:pPr>
              <w:pStyle w:val="Summarytabletextrightaligned"/>
            </w:pPr>
            <w:r w:rsidRPr="00222C32">
              <w:t>-</w:t>
            </w:r>
          </w:p>
        </w:tc>
      </w:tr>
      <w:tr w:rsidR="00BB2CB4" w:rsidRPr="00222C32" w14:paraId="734F1EC5" w14:textId="77777777" w:rsidTr="00825163">
        <w:tc>
          <w:tcPr>
            <w:tcW w:w="3471" w:type="dxa"/>
            <w:vAlign w:val="bottom"/>
          </w:tcPr>
          <w:p w14:paraId="7B013F9E"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9F290E6"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69ADB52C" w14:textId="77777777" w:rsidR="00BB2CB4" w:rsidRPr="00222C32" w:rsidRDefault="000674DA">
            <w:pPr>
              <w:pStyle w:val="Summarytabletextrightalignedbold"/>
            </w:pPr>
            <w:r w:rsidRPr="00222C32">
              <w:t>549.4</w:t>
            </w:r>
          </w:p>
        </w:tc>
        <w:tc>
          <w:tcPr>
            <w:tcW w:w="850" w:type="dxa"/>
            <w:tcBorders>
              <w:top w:val="single" w:sz="4" w:space="0" w:color="293F5B"/>
              <w:bottom w:val="single" w:sz="4" w:space="0" w:color="293F5B"/>
            </w:tcBorders>
            <w:vAlign w:val="bottom"/>
          </w:tcPr>
          <w:p w14:paraId="480C4F4C" w14:textId="77777777" w:rsidR="00BB2CB4" w:rsidRPr="00222C32" w:rsidRDefault="000674DA">
            <w:pPr>
              <w:pStyle w:val="Summarytabletextrightalignedbold"/>
            </w:pPr>
            <w:r w:rsidRPr="00222C32">
              <w:t>217.6</w:t>
            </w:r>
          </w:p>
        </w:tc>
        <w:tc>
          <w:tcPr>
            <w:tcW w:w="850" w:type="dxa"/>
            <w:tcBorders>
              <w:top w:val="single" w:sz="4" w:space="0" w:color="293F5B"/>
              <w:bottom w:val="single" w:sz="4" w:space="0" w:color="293F5B"/>
            </w:tcBorders>
            <w:vAlign w:val="bottom"/>
          </w:tcPr>
          <w:p w14:paraId="1B4AE92F" w14:textId="77777777" w:rsidR="00BB2CB4" w:rsidRPr="00222C32" w:rsidRDefault="000674DA">
            <w:pPr>
              <w:pStyle w:val="Summarytabletextrightalignedbold"/>
            </w:pPr>
            <w:r w:rsidRPr="00222C32">
              <w:t>34.3</w:t>
            </w:r>
          </w:p>
        </w:tc>
        <w:tc>
          <w:tcPr>
            <w:tcW w:w="850" w:type="dxa"/>
            <w:tcBorders>
              <w:top w:val="single" w:sz="4" w:space="0" w:color="293F5B"/>
              <w:bottom w:val="single" w:sz="4" w:space="0" w:color="293F5B"/>
            </w:tcBorders>
            <w:vAlign w:val="bottom"/>
          </w:tcPr>
          <w:p w14:paraId="23E069FF" w14:textId="77777777" w:rsidR="00BB2CB4" w:rsidRPr="00222C32" w:rsidRDefault="000674DA">
            <w:pPr>
              <w:pStyle w:val="Summarytabletextrightalignedbold"/>
            </w:pPr>
            <w:r w:rsidRPr="00222C32">
              <w:t>26.7</w:t>
            </w:r>
          </w:p>
        </w:tc>
      </w:tr>
      <w:tr w:rsidR="00BB2CB4" w:rsidRPr="00222C32" w14:paraId="78C8CDB1" w14:textId="77777777" w:rsidTr="00825163">
        <w:tc>
          <w:tcPr>
            <w:tcW w:w="3471" w:type="dxa"/>
            <w:vAlign w:val="bottom"/>
          </w:tcPr>
          <w:p w14:paraId="3D5C622E" w14:textId="77777777" w:rsidR="00BB2CB4" w:rsidRPr="00222C32" w:rsidRDefault="000674DA">
            <w:pPr>
              <w:pStyle w:val="SummaryPortfolioTitle-BP2"/>
            </w:pPr>
            <w:r w:rsidRPr="00222C32">
              <w:t>INDUSTRY, SCIENCE AND RESOURCES</w:t>
            </w:r>
          </w:p>
        </w:tc>
        <w:tc>
          <w:tcPr>
            <w:tcW w:w="850" w:type="dxa"/>
            <w:tcBorders>
              <w:top w:val="single" w:sz="4" w:space="0" w:color="293F5B"/>
            </w:tcBorders>
          </w:tcPr>
          <w:p w14:paraId="1C2F46DF"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5CBE896A" w14:textId="77777777" w:rsidR="00BB2CB4" w:rsidRPr="00222C32" w:rsidRDefault="00BB2CB4">
            <w:pPr>
              <w:pStyle w:val="MeasureTableTextRightAlignedBefore6ptAfter1pt"/>
            </w:pPr>
          </w:p>
        </w:tc>
        <w:tc>
          <w:tcPr>
            <w:tcW w:w="850" w:type="dxa"/>
            <w:tcBorders>
              <w:top w:val="single" w:sz="4" w:space="0" w:color="293F5B"/>
            </w:tcBorders>
          </w:tcPr>
          <w:p w14:paraId="14AA8E63" w14:textId="77777777" w:rsidR="00BB2CB4" w:rsidRPr="00222C32" w:rsidRDefault="00BB2CB4">
            <w:pPr>
              <w:pStyle w:val="MeasureTableTextRightAlignedBefore6ptAfter1pt"/>
            </w:pPr>
          </w:p>
        </w:tc>
        <w:tc>
          <w:tcPr>
            <w:tcW w:w="850" w:type="dxa"/>
            <w:tcBorders>
              <w:top w:val="single" w:sz="4" w:space="0" w:color="293F5B"/>
            </w:tcBorders>
          </w:tcPr>
          <w:p w14:paraId="6E252E80" w14:textId="77777777" w:rsidR="00BB2CB4" w:rsidRPr="00222C32" w:rsidRDefault="00BB2CB4">
            <w:pPr>
              <w:pStyle w:val="MeasureTableTextRightAlignedBefore6ptAfter1pt"/>
            </w:pPr>
          </w:p>
        </w:tc>
        <w:tc>
          <w:tcPr>
            <w:tcW w:w="850" w:type="dxa"/>
            <w:tcBorders>
              <w:top w:val="single" w:sz="4" w:space="0" w:color="293F5B"/>
            </w:tcBorders>
          </w:tcPr>
          <w:p w14:paraId="2375C9BB" w14:textId="77777777" w:rsidR="00BB2CB4" w:rsidRPr="00222C32" w:rsidRDefault="00BB2CB4">
            <w:pPr>
              <w:pStyle w:val="MeasureTableTextRightAlignedBefore6ptAfter1pt"/>
            </w:pPr>
          </w:p>
        </w:tc>
      </w:tr>
      <w:tr w:rsidR="00BB2CB4" w:rsidRPr="00222C32" w14:paraId="1BF48526" w14:textId="77777777" w:rsidTr="00825163">
        <w:tc>
          <w:tcPr>
            <w:tcW w:w="3471" w:type="dxa"/>
            <w:vAlign w:val="bottom"/>
          </w:tcPr>
          <w:p w14:paraId="4A87F96F" w14:textId="77777777" w:rsidR="00BB2CB4" w:rsidRPr="00222C32" w:rsidRDefault="000674DA">
            <w:pPr>
              <w:pStyle w:val="SummaryAgencyTitle-BP2"/>
            </w:pPr>
            <w:r w:rsidRPr="00222C32">
              <w:t>Australian Nuclear Science and Technology Organisation</w:t>
            </w:r>
          </w:p>
        </w:tc>
        <w:tc>
          <w:tcPr>
            <w:tcW w:w="850" w:type="dxa"/>
          </w:tcPr>
          <w:p w14:paraId="5D78F429" w14:textId="77777777" w:rsidR="00BB2CB4" w:rsidRPr="00222C32" w:rsidRDefault="00BB2CB4">
            <w:pPr>
              <w:pStyle w:val="SummaryAgencyTitle-BP2"/>
            </w:pPr>
          </w:p>
        </w:tc>
        <w:tc>
          <w:tcPr>
            <w:tcW w:w="850" w:type="dxa"/>
            <w:shd w:val="clear" w:color="auto" w:fill="E6F2FF"/>
          </w:tcPr>
          <w:p w14:paraId="043BA4C3" w14:textId="77777777" w:rsidR="00BB2CB4" w:rsidRPr="00222C32" w:rsidRDefault="00BB2CB4">
            <w:pPr>
              <w:pStyle w:val="SummaryAgencyTitle-BP2"/>
            </w:pPr>
          </w:p>
        </w:tc>
        <w:tc>
          <w:tcPr>
            <w:tcW w:w="850" w:type="dxa"/>
          </w:tcPr>
          <w:p w14:paraId="7F2C7479" w14:textId="77777777" w:rsidR="00BB2CB4" w:rsidRPr="00222C32" w:rsidRDefault="00BB2CB4">
            <w:pPr>
              <w:pStyle w:val="SummaryAgencyTitle-BP2"/>
            </w:pPr>
          </w:p>
        </w:tc>
        <w:tc>
          <w:tcPr>
            <w:tcW w:w="850" w:type="dxa"/>
          </w:tcPr>
          <w:p w14:paraId="677D4987" w14:textId="77777777" w:rsidR="00BB2CB4" w:rsidRPr="00222C32" w:rsidRDefault="00BB2CB4">
            <w:pPr>
              <w:pStyle w:val="SummaryAgencyTitle-BP2"/>
            </w:pPr>
          </w:p>
        </w:tc>
        <w:tc>
          <w:tcPr>
            <w:tcW w:w="850" w:type="dxa"/>
          </w:tcPr>
          <w:p w14:paraId="4C7ABEBF" w14:textId="77777777" w:rsidR="00BB2CB4" w:rsidRPr="00222C32" w:rsidRDefault="00BB2CB4">
            <w:pPr>
              <w:pStyle w:val="SummaryAgencyTitle-BP2"/>
            </w:pPr>
          </w:p>
        </w:tc>
      </w:tr>
      <w:tr w:rsidR="00BB2CB4" w:rsidRPr="00222C32" w14:paraId="05A4B3E0" w14:textId="77777777" w:rsidTr="00825163">
        <w:tc>
          <w:tcPr>
            <w:tcW w:w="3471" w:type="dxa"/>
            <w:vAlign w:val="bottom"/>
          </w:tcPr>
          <w:p w14:paraId="0EA4BB87" w14:textId="77777777" w:rsidR="00BB2CB4" w:rsidRPr="00222C32" w:rsidRDefault="000674DA">
            <w:pPr>
              <w:pStyle w:val="SummaryMeasureTitlewithTheme"/>
            </w:pPr>
            <w:r w:rsidRPr="00222C32">
              <w:t>Investing in Science Agencies</w:t>
            </w:r>
          </w:p>
        </w:tc>
        <w:tc>
          <w:tcPr>
            <w:tcW w:w="850" w:type="dxa"/>
            <w:vAlign w:val="bottom"/>
          </w:tcPr>
          <w:p w14:paraId="60BAF0C6" w14:textId="77777777" w:rsidR="00BB2CB4" w:rsidRPr="00222C32" w:rsidRDefault="000674DA">
            <w:pPr>
              <w:pStyle w:val="Summarytabletextrightaligned"/>
            </w:pPr>
            <w:r w:rsidRPr="00222C32">
              <w:t>-</w:t>
            </w:r>
          </w:p>
        </w:tc>
        <w:tc>
          <w:tcPr>
            <w:tcW w:w="850" w:type="dxa"/>
            <w:shd w:val="clear" w:color="auto" w:fill="E6F2FF"/>
            <w:vAlign w:val="bottom"/>
          </w:tcPr>
          <w:p w14:paraId="7EB3C7BF" w14:textId="77777777" w:rsidR="00BB2CB4" w:rsidRPr="00222C32" w:rsidRDefault="000674DA">
            <w:pPr>
              <w:pStyle w:val="Summarytabletextrightaligned"/>
            </w:pPr>
            <w:r w:rsidRPr="00222C32">
              <w:t>-</w:t>
            </w:r>
          </w:p>
        </w:tc>
        <w:tc>
          <w:tcPr>
            <w:tcW w:w="850" w:type="dxa"/>
            <w:vAlign w:val="bottom"/>
          </w:tcPr>
          <w:p w14:paraId="5202F933" w14:textId="77777777" w:rsidR="00BB2CB4" w:rsidRPr="00222C32" w:rsidRDefault="000674DA">
            <w:pPr>
              <w:pStyle w:val="Summarytabletextrightaligned"/>
            </w:pPr>
            <w:r w:rsidRPr="00222C32">
              <w:t>40.8</w:t>
            </w:r>
          </w:p>
        </w:tc>
        <w:tc>
          <w:tcPr>
            <w:tcW w:w="850" w:type="dxa"/>
            <w:vAlign w:val="bottom"/>
          </w:tcPr>
          <w:p w14:paraId="571EFB75" w14:textId="77777777" w:rsidR="00BB2CB4" w:rsidRPr="00222C32" w:rsidRDefault="000674DA">
            <w:pPr>
              <w:pStyle w:val="Summarytabletextrightaligned"/>
            </w:pPr>
            <w:r w:rsidRPr="00222C32">
              <w:t>-</w:t>
            </w:r>
          </w:p>
        </w:tc>
        <w:tc>
          <w:tcPr>
            <w:tcW w:w="850" w:type="dxa"/>
            <w:vAlign w:val="bottom"/>
          </w:tcPr>
          <w:p w14:paraId="5AA1A0DA" w14:textId="77777777" w:rsidR="00BB2CB4" w:rsidRPr="00222C32" w:rsidRDefault="000674DA">
            <w:pPr>
              <w:pStyle w:val="Summarytabletextrightaligned"/>
            </w:pPr>
            <w:r w:rsidRPr="00222C32">
              <w:t>-</w:t>
            </w:r>
          </w:p>
        </w:tc>
      </w:tr>
      <w:tr w:rsidR="00BB2CB4" w:rsidRPr="00222C32" w14:paraId="2997DD67" w14:textId="77777777" w:rsidTr="00825163">
        <w:tc>
          <w:tcPr>
            <w:tcW w:w="3471" w:type="dxa"/>
            <w:vAlign w:val="bottom"/>
          </w:tcPr>
          <w:p w14:paraId="1A954256" w14:textId="77777777" w:rsidR="00BB2CB4" w:rsidRPr="00222C32" w:rsidRDefault="000674DA">
            <w:pPr>
              <w:pStyle w:val="SummaryAgencyTitle-BP2"/>
            </w:pPr>
            <w:r w:rsidRPr="00222C32">
              <w:t>Commonwealth Scientific and Industrial Research Organisation</w:t>
            </w:r>
          </w:p>
        </w:tc>
        <w:tc>
          <w:tcPr>
            <w:tcW w:w="850" w:type="dxa"/>
          </w:tcPr>
          <w:p w14:paraId="6B1EAC4A" w14:textId="77777777" w:rsidR="00BB2CB4" w:rsidRPr="00222C32" w:rsidRDefault="00BB2CB4">
            <w:pPr>
              <w:pStyle w:val="SummaryAgencyTitle-BP2"/>
            </w:pPr>
          </w:p>
        </w:tc>
        <w:tc>
          <w:tcPr>
            <w:tcW w:w="850" w:type="dxa"/>
            <w:shd w:val="clear" w:color="auto" w:fill="E6F2FF"/>
          </w:tcPr>
          <w:p w14:paraId="12C484ED" w14:textId="77777777" w:rsidR="00BB2CB4" w:rsidRPr="00222C32" w:rsidRDefault="00BB2CB4">
            <w:pPr>
              <w:pStyle w:val="SummaryAgencyTitle-BP2"/>
            </w:pPr>
          </w:p>
        </w:tc>
        <w:tc>
          <w:tcPr>
            <w:tcW w:w="850" w:type="dxa"/>
          </w:tcPr>
          <w:p w14:paraId="182C3D42" w14:textId="77777777" w:rsidR="00BB2CB4" w:rsidRPr="00222C32" w:rsidRDefault="00BB2CB4">
            <w:pPr>
              <w:pStyle w:val="SummaryAgencyTitle-BP2"/>
            </w:pPr>
          </w:p>
        </w:tc>
        <w:tc>
          <w:tcPr>
            <w:tcW w:w="850" w:type="dxa"/>
          </w:tcPr>
          <w:p w14:paraId="7436D98D" w14:textId="77777777" w:rsidR="00BB2CB4" w:rsidRPr="00222C32" w:rsidRDefault="00BB2CB4">
            <w:pPr>
              <w:pStyle w:val="SummaryAgencyTitle-BP2"/>
            </w:pPr>
          </w:p>
        </w:tc>
        <w:tc>
          <w:tcPr>
            <w:tcW w:w="850" w:type="dxa"/>
          </w:tcPr>
          <w:p w14:paraId="7744E87C" w14:textId="77777777" w:rsidR="00BB2CB4" w:rsidRPr="00222C32" w:rsidRDefault="00BB2CB4">
            <w:pPr>
              <w:pStyle w:val="SummaryAgencyTitle-BP2"/>
            </w:pPr>
          </w:p>
        </w:tc>
      </w:tr>
      <w:tr w:rsidR="00BB2CB4" w:rsidRPr="00222C32" w14:paraId="11E02DA9" w14:textId="77777777" w:rsidTr="00825163">
        <w:tc>
          <w:tcPr>
            <w:tcW w:w="3471" w:type="dxa"/>
            <w:vAlign w:val="bottom"/>
          </w:tcPr>
          <w:p w14:paraId="421571BD" w14:textId="77777777" w:rsidR="00BB2CB4" w:rsidRPr="00222C32" w:rsidRDefault="000674DA">
            <w:pPr>
              <w:pStyle w:val="SummaryMeasureTitlewithTheme"/>
            </w:pPr>
            <w:r w:rsidRPr="00222C32">
              <w:t>Investing in Science Agencies</w:t>
            </w:r>
          </w:p>
        </w:tc>
        <w:tc>
          <w:tcPr>
            <w:tcW w:w="850" w:type="dxa"/>
            <w:vAlign w:val="bottom"/>
          </w:tcPr>
          <w:p w14:paraId="4BB937C7" w14:textId="77777777" w:rsidR="00BB2CB4" w:rsidRPr="00222C32" w:rsidRDefault="000674DA">
            <w:pPr>
              <w:pStyle w:val="Summarytabletextrightaligned"/>
            </w:pPr>
            <w:r w:rsidRPr="00222C32">
              <w:t>-</w:t>
            </w:r>
          </w:p>
        </w:tc>
        <w:tc>
          <w:tcPr>
            <w:tcW w:w="850" w:type="dxa"/>
            <w:shd w:val="clear" w:color="auto" w:fill="E6F2FF"/>
            <w:vAlign w:val="bottom"/>
          </w:tcPr>
          <w:p w14:paraId="1B9D9826" w14:textId="77777777" w:rsidR="00BB2CB4" w:rsidRPr="00222C32" w:rsidRDefault="000674DA">
            <w:pPr>
              <w:pStyle w:val="Summarytabletextrightaligned"/>
            </w:pPr>
            <w:r w:rsidRPr="00222C32">
              <w:t>121.0</w:t>
            </w:r>
          </w:p>
        </w:tc>
        <w:tc>
          <w:tcPr>
            <w:tcW w:w="850" w:type="dxa"/>
            <w:vAlign w:val="bottom"/>
          </w:tcPr>
          <w:p w14:paraId="07E2AEE4" w14:textId="77777777" w:rsidR="00BB2CB4" w:rsidRPr="00222C32" w:rsidRDefault="000674DA">
            <w:pPr>
              <w:pStyle w:val="Summarytabletextrightaligned"/>
            </w:pPr>
            <w:r w:rsidRPr="00222C32">
              <w:t>112.0</w:t>
            </w:r>
          </w:p>
        </w:tc>
        <w:tc>
          <w:tcPr>
            <w:tcW w:w="850" w:type="dxa"/>
            <w:vAlign w:val="bottom"/>
          </w:tcPr>
          <w:p w14:paraId="1E5C2670" w14:textId="77777777" w:rsidR="00BB2CB4" w:rsidRPr="00222C32" w:rsidRDefault="000674DA">
            <w:pPr>
              <w:pStyle w:val="Summarytabletextrightaligned"/>
            </w:pPr>
            <w:r w:rsidRPr="00222C32">
              <w:t>-</w:t>
            </w:r>
          </w:p>
        </w:tc>
        <w:tc>
          <w:tcPr>
            <w:tcW w:w="850" w:type="dxa"/>
            <w:vAlign w:val="bottom"/>
          </w:tcPr>
          <w:p w14:paraId="503B66B6" w14:textId="77777777" w:rsidR="00BB2CB4" w:rsidRPr="00222C32" w:rsidRDefault="000674DA">
            <w:pPr>
              <w:pStyle w:val="Summarytabletextrightaligned"/>
            </w:pPr>
            <w:r w:rsidRPr="00222C32">
              <w:t>-</w:t>
            </w:r>
          </w:p>
        </w:tc>
      </w:tr>
      <w:tr w:rsidR="00BB2CB4" w:rsidRPr="00222C32" w14:paraId="0AC3E547" w14:textId="77777777" w:rsidTr="00825163">
        <w:tc>
          <w:tcPr>
            <w:tcW w:w="3471" w:type="dxa"/>
            <w:vAlign w:val="bottom"/>
          </w:tcPr>
          <w:p w14:paraId="60446231" w14:textId="77777777" w:rsidR="00BB2CB4" w:rsidRPr="00222C32" w:rsidRDefault="000674DA">
            <w:pPr>
              <w:pStyle w:val="SummaryMeasureTitlewithTheme"/>
            </w:pPr>
            <w:r w:rsidRPr="00222C32">
              <w:t>South Australian Marine Algal Bloom Response</w:t>
            </w:r>
          </w:p>
        </w:tc>
        <w:tc>
          <w:tcPr>
            <w:tcW w:w="850" w:type="dxa"/>
            <w:vAlign w:val="bottom"/>
          </w:tcPr>
          <w:p w14:paraId="3A77DBAD" w14:textId="77777777" w:rsidR="00BB2CB4" w:rsidRPr="00222C32" w:rsidRDefault="000674DA">
            <w:pPr>
              <w:pStyle w:val="Summarytabletextrightaligned"/>
            </w:pPr>
            <w:r w:rsidRPr="00222C32">
              <w:t>-</w:t>
            </w:r>
          </w:p>
        </w:tc>
        <w:tc>
          <w:tcPr>
            <w:tcW w:w="850" w:type="dxa"/>
            <w:shd w:val="clear" w:color="auto" w:fill="E6F2FF"/>
            <w:vAlign w:val="bottom"/>
          </w:tcPr>
          <w:p w14:paraId="23334894" w14:textId="77777777" w:rsidR="00BB2CB4" w:rsidRPr="00222C32" w:rsidRDefault="000674DA">
            <w:pPr>
              <w:pStyle w:val="Summarytabletextrightaligned"/>
            </w:pPr>
            <w:r w:rsidRPr="00222C32">
              <w:t>2.0</w:t>
            </w:r>
          </w:p>
        </w:tc>
        <w:tc>
          <w:tcPr>
            <w:tcW w:w="850" w:type="dxa"/>
            <w:vAlign w:val="bottom"/>
          </w:tcPr>
          <w:p w14:paraId="0174093F" w14:textId="77777777" w:rsidR="00BB2CB4" w:rsidRPr="00222C32" w:rsidRDefault="000674DA">
            <w:pPr>
              <w:pStyle w:val="Summarytabletextrightaligned"/>
            </w:pPr>
            <w:r w:rsidRPr="00222C32">
              <w:t>-</w:t>
            </w:r>
          </w:p>
        </w:tc>
        <w:tc>
          <w:tcPr>
            <w:tcW w:w="850" w:type="dxa"/>
            <w:vAlign w:val="bottom"/>
          </w:tcPr>
          <w:p w14:paraId="5B936132" w14:textId="77777777" w:rsidR="00BB2CB4" w:rsidRPr="00222C32" w:rsidRDefault="000674DA">
            <w:pPr>
              <w:pStyle w:val="Summarytabletextrightaligned"/>
            </w:pPr>
            <w:r w:rsidRPr="00222C32">
              <w:t>-</w:t>
            </w:r>
          </w:p>
        </w:tc>
        <w:tc>
          <w:tcPr>
            <w:tcW w:w="850" w:type="dxa"/>
            <w:vAlign w:val="bottom"/>
          </w:tcPr>
          <w:p w14:paraId="4004948E" w14:textId="77777777" w:rsidR="00BB2CB4" w:rsidRPr="00222C32" w:rsidRDefault="000674DA">
            <w:pPr>
              <w:pStyle w:val="Summarytabletextrightaligned"/>
            </w:pPr>
            <w:r w:rsidRPr="00222C32">
              <w:t>-</w:t>
            </w:r>
          </w:p>
        </w:tc>
      </w:tr>
      <w:tr w:rsidR="00BB2CB4" w:rsidRPr="00222C32" w14:paraId="452F4880" w14:textId="77777777" w:rsidTr="00825163">
        <w:tc>
          <w:tcPr>
            <w:tcW w:w="3471" w:type="dxa"/>
            <w:vAlign w:val="bottom"/>
          </w:tcPr>
          <w:p w14:paraId="183F9888" w14:textId="77777777" w:rsidR="00BB2CB4" w:rsidRPr="00222C32" w:rsidRDefault="000674DA">
            <w:pPr>
              <w:pStyle w:val="SummaryAgencyTitle-BP2"/>
            </w:pPr>
            <w:r w:rsidRPr="00222C32">
              <w:t>Department of Industry, Science and Resources</w:t>
            </w:r>
          </w:p>
        </w:tc>
        <w:tc>
          <w:tcPr>
            <w:tcW w:w="850" w:type="dxa"/>
          </w:tcPr>
          <w:p w14:paraId="5ACB54AC" w14:textId="77777777" w:rsidR="00BB2CB4" w:rsidRPr="00222C32" w:rsidRDefault="00BB2CB4">
            <w:pPr>
              <w:pStyle w:val="SummaryAgencyTitle-BP2"/>
            </w:pPr>
          </w:p>
        </w:tc>
        <w:tc>
          <w:tcPr>
            <w:tcW w:w="850" w:type="dxa"/>
            <w:shd w:val="clear" w:color="auto" w:fill="E6F2FF"/>
          </w:tcPr>
          <w:p w14:paraId="457C3E53" w14:textId="77777777" w:rsidR="00BB2CB4" w:rsidRPr="00222C32" w:rsidRDefault="00BB2CB4">
            <w:pPr>
              <w:pStyle w:val="SummaryAgencyTitle-BP2"/>
            </w:pPr>
          </w:p>
        </w:tc>
        <w:tc>
          <w:tcPr>
            <w:tcW w:w="850" w:type="dxa"/>
          </w:tcPr>
          <w:p w14:paraId="4A6FC8F3" w14:textId="77777777" w:rsidR="00BB2CB4" w:rsidRPr="00222C32" w:rsidRDefault="00BB2CB4">
            <w:pPr>
              <w:pStyle w:val="SummaryAgencyTitle-BP2"/>
            </w:pPr>
          </w:p>
        </w:tc>
        <w:tc>
          <w:tcPr>
            <w:tcW w:w="850" w:type="dxa"/>
          </w:tcPr>
          <w:p w14:paraId="3D7CE11A" w14:textId="77777777" w:rsidR="00BB2CB4" w:rsidRPr="00222C32" w:rsidRDefault="00BB2CB4">
            <w:pPr>
              <w:pStyle w:val="SummaryAgencyTitle-BP2"/>
            </w:pPr>
          </w:p>
        </w:tc>
        <w:tc>
          <w:tcPr>
            <w:tcW w:w="850" w:type="dxa"/>
          </w:tcPr>
          <w:p w14:paraId="7AD47F94" w14:textId="77777777" w:rsidR="00BB2CB4" w:rsidRPr="00222C32" w:rsidRDefault="00BB2CB4">
            <w:pPr>
              <w:pStyle w:val="SummaryAgencyTitle-BP2"/>
            </w:pPr>
          </w:p>
        </w:tc>
      </w:tr>
      <w:tr w:rsidR="00BB2CB4" w:rsidRPr="00222C32" w14:paraId="290C85C0" w14:textId="77777777" w:rsidTr="00825163">
        <w:tc>
          <w:tcPr>
            <w:tcW w:w="3471" w:type="dxa"/>
            <w:vAlign w:val="bottom"/>
          </w:tcPr>
          <w:p w14:paraId="41FD3A88" w14:textId="77777777" w:rsidR="00BB2CB4" w:rsidRPr="00222C32" w:rsidRDefault="000674DA">
            <w:pPr>
              <w:pStyle w:val="SummaryMeasureTitlewithTheme"/>
            </w:pPr>
            <w:r w:rsidRPr="00222C32">
              <w:t>A Rapidly Transforming Energy System(b)</w:t>
            </w:r>
          </w:p>
        </w:tc>
        <w:tc>
          <w:tcPr>
            <w:tcW w:w="850" w:type="dxa"/>
            <w:vAlign w:val="bottom"/>
          </w:tcPr>
          <w:p w14:paraId="2ABB39B1" w14:textId="77777777" w:rsidR="00BB2CB4" w:rsidRPr="00222C32" w:rsidRDefault="000674DA">
            <w:pPr>
              <w:pStyle w:val="Summarytabletextrightaligned"/>
            </w:pPr>
            <w:r w:rsidRPr="00222C32">
              <w:t>-</w:t>
            </w:r>
          </w:p>
        </w:tc>
        <w:tc>
          <w:tcPr>
            <w:tcW w:w="850" w:type="dxa"/>
            <w:shd w:val="clear" w:color="auto" w:fill="E6F2FF"/>
            <w:vAlign w:val="bottom"/>
          </w:tcPr>
          <w:p w14:paraId="6BA0FD4F" w14:textId="77777777" w:rsidR="00BB2CB4" w:rsidRPr="00222C32" w:rsidRDefault="000674DA">
            <w:pPr>
              <w:pStyle w:val="Summarytabletextrightaligned"/>
            </w:pPr>
            <w:r w:rsidRPr="00222C32">
              <w:t>-</w:t>
            </w:r>
          </w:p>
        </w:tc>
        <w:tc>
          <w:tcPr>
            <w:tcW w:w="850" w:type="dxa"/>
            <w:vAlign w:val="bottom"/>
          </w:tcPr>
          <w:p w14:paraId="1A22C0E1" w14:textId="77777777" w:rsidR="00BB2CB4" w:rsidRPr="00222C32" w:rsidRDefault="000674DA">
            <w:pPr>
              <w:pStyle w:val="Summarytabletextrightaligned"/>
            </w:pPr>
            <w:r w:rsidRPr="00222C32">
              <w:t>-</w:t>
            </w:r>
          </w:p>
        </w:tc>
        <w:tc>
          <w:tcPr>
            <w:tcW w:w="850" w:type="dxa"/>
            <w:vAlign w:val="bottom"/>
          </w:tcPr>
          <w:p w14:paraId="424E30E9" w14:textId="77777777" w:rsidR="00BB2CB4" w:rsidRPr="00222C32" w:rsidRDefault="000674DA">
            <w:pPr>
              <w:pStyle w:val="Summarytabletextrightaligned"/>
            </w:pPr>
            <w:r w:rsidRPr="00222C32">
              <w:t>-</w:t>
            </w:r>
          </w:p>
        </w:tc>
        <w:tc>
          <w:tcPr>
            <w:tcW w:w="850" w:type="dxa"/>
            <w:vAlign w:val="bottom"/>
          </w:tcPr>
          <w:p w14:paraId="4CB724D3" w14:textId="77777777" w:rsidR="00BB2CB4" w:rsidRPr="00222C32" w:rsidRDefault="000674DA">
            <w:pPr>
              <w:pStyle w:val="Summarytabletextrightaligned"/>
            </w:pPr>
            <w:r w:rsidRPr="00222C32">
              <w:t>-</w:t>
            </w:r>
          </w:p>
        </w:tc>
      </w:tr>
      <w:tr w:rsidR="00BB2CB4" w:rsidRPr="00222C32" w14:paraId="0F19146D" w14:textId="77777777" w:rsidTr="00825163">
        <w:tc>
          <w:tcPr>
            <w:tcW w:w="3471" w:type="dxa"/>
            <w:vAlign w:val="bottom"/>
          </w:tcPr>
          <w:p w14:paraId="6073DB15" w14:textId="77777777" w:rsidR="00BB2CB4" w:rsidRPr="00222C32" w:rsidRDefault="000674DA">
            <w:pPr>
              <w:pStyle w:val="SummaryMeasureTitlewithTheme"/>
            </w:pPr>
            <w:r w:rsidRPr="00222C32">
              <w:t>Building a Future Made in Australia(b)</w:t>
            </w:r>
          </w:p>
        </w:tc>
        <w:tc>
          <w:tcPr>
            <w:tcW w:w="850" w:type="dxa"/>
            <w:vAlign w:val="bottom"/>
          </w:tcPr>
          <w:p w14:paraId="57A8A7A5" w14:textId="77777777" w:rsidR="00BB2CB4" w:rsidRPr="00222C32" w:rsidRDefault="000674DA">
            <w:pPr>
              <w:pStyle w:val="Summarytabletextrightaligned"/>
            </w:pPr>
            <w:r w:rsidRPr="00222C32">
              <w:t>-</w:t>
            </w:r>
          </w:p>
        </w:tc>
        <w:tc>
          <w:tcPr>
            <w:tcW w:w="850" w:type="dxa"/>
            <w:shd w:val="clear" w:color="auto" w:fill="E6F2FF"/>
            <w:vAlign w:val="bottom"/>
          </w:tcPr>
          <w:p w14:paraId="7C3437CF" w14:textId="77777777" w:rsidR="00BB2CB4" w:rsidRPr="00222C32" w:rsidRDefault="000674DA">
            <w:pPr>
              <w:pStyle w:val="Summarytabletextrightaligned"/>
            </w:pPr>
            <w:r w:rsidRPr="00222C32">
              <w:t>25.1</w:t>
            </w:r>
          </w:p>
        </w:tc>
        <w:tc>
          <w:tcPr>
            <w:tcW w:w="850" w:type="dxa"/>
            <w:vAlign w:val="bottom"/>
          </w:tcPr>
          <w:p w14:paraId="7A4DFC5A" w14:textId="77777777" w:rsidR="00BB2CB4" w:rsidRPr="00222C32" w:rsidRDefault="000674DA">
            <w:pPr>
              <w:pStyle w:val="Summarytabletextrightaligned"/>
            </w:pPr>
            <w:r w:rsidRPr="00222C32">
              <w:t>1.0</w:t>
            </w:r>
          </w:p>
        </w:tc>
        <w:tc>
          <w:tcPr>
            <w:tcW w:w="850" w:type="dxa"/>
            <w:vAlign w:val="bottom"/>
          </w:tcPr>
          <w:p w14:paraId="1CD70827" w14:textId="77777777" w:rsidR="00BB2CB4" w:rsidRPr="00222C32" w:rsidRDefault="000674DA">
            <w:pPr>
              <w:pStyle w:val="Summarytabletextrightaligned"/>
            </w:pPr>
            <w:r w:rsidRPr="00222C32">
              <w:t>5.0</w:t>
            </w:r>
          </w:p>
        </w:tc>
        <w:tc>
          <w:tcPr>
            <w:tcW w:w="850" w:type="dxa"/>
            <w:vAlign w:val="bottom"/>
          </w:tcPr>
          <w:p w14:paraId="00607299" w14:textId="77777777" w:rsidR="00BB2CB4" w:rsidRPr="00222C32" w:rsidRDefault="000674DA">
            <w:pPr>
              <w:pStyle w:val="Summarytabletextrightaligned"/>
            </w:pPr>
            <w:r w:rsidRPr="00222C32">
              <w:t>-</w:t>
            </w:r>
          </w:p>
        </w:tc>
      </w:tr>
      <w:tr w:rsidR="00BB2CB4" w:rsidRPr="00222C32" w14:paraId="22CFF92E" w14:textId="77777777" w:rsidTr="00825163">
        <w:tc>
          <w:tcPr>
            <w:tcW w:w="3471" w:type="dxa"/>
            <w:vAlign w:val="bottom"/>
          </w:tcPr>
          <w:p w14:paraId="50315FF5" w14:textId="77777777" w:rsidR="00BB2CB4" w:rsidRPr="00222C32" w:rsidRDefault="000674DA">
            <w:pPr>
              <w:pStyle w:val="SummaryMeasureTitlewithTheme"/>
            </w:pPr>
            <w:r w:rsidRPr="00222C32">
              <w:t>Establishing an Artificial Intelligence Safety Institute</w:t>
            </w:r>
          </w:p>
        </w:tc>
        <w:tc>
          <w:tcPr>
            <w:tcW w:w="850" w:type="dxa"/>
            <w:vAlign w:val="bottom"/>
          </w:tcPr>
          <w:p w14:paraId="113B115B" w14:textId="77777777" w:rsidR="00BB2CB4" w:rsidRPr="00222C32" w:rsidRDefault="000674DA">
            <w:pPr>
              <w:pStyle w:val="Summarytabletextrightaligned"/>
            </w:pPr>
            <w:r w:rsidRPr="00222C32">
              <w:t>-</w:t>
            </w:r>
          </w:p>
        </w:tc>
        <w:tc>
          <w:tcPr>
            <w:tcW w:w="850" w:type="dxa"/>
            <w:shd w:val="clear" w:color="auto" w:fill="E6F2FF"/>
            <w:vAlign w:val="bottom"/>
          </w:tcPr>
          <w:p w14:paraId="22158376" w14:textId="77777777" w:rsidR="00BB2CB4" w:rsidRPr="00222C32" w:rsidRDefault="000674DA">
            <w:pPr>
              <w:pStyle w:val="Summarytabletextrightaligned"/>
            </w:pPr>
            <w:r w:rsidRPr="00222C32">
              <w:t>3.6</w:t>
            </w:r>
          </w:p>
        </w:tc>
        <w:tc>
          <w:tcPr>
            <w:tcW w:w="850" w:type="dxa"/>
            <w:vAlign w:val="bottom"/>
          </w:tcPr>
          <w:p w14:paraId="2E611092" w14:textId="77777777" w:rsidR="00BB2CB4" w:rsidRPr="00222C32" w:rsidRDefault="000674DA">
            <w:pPr>
              <w:pStyle w:val="Summarytabletextrightaligned"/>
            </w:pPr>
            <w:r w:rsidRPr="00222C32">
              <w:t>10.5</w:t>
            </w:r>
          </w:p>
        </w:tc>
        <w:tc>
          <w:tcPr>
            <w:tcW w:w="850" w:type="dxa"/>
            <w:vAlign w:val="bottom"/>
          </w:tcPr>
          <w:p w14:paraId="5CC58E8C" w14:textId="77777777" w:rsidR="00BB2CB4" w:rsidRPr="00222C32" w:rsidRDefault="000674DA">
            <w:pPr>
              <w:pStyle w:val="Summarytabletextrightaligned"/>
            </w:pPr>
            <w:r w:rsidRPr="00222C32">
              <w:t>7.8</w:t>
            </w:r>
          </w:p>
        </w:tc>
        <w:tc>
          <w:tcPr>
            <w:tcW w:w="850" w:type="dxa"/>
            <w:vAlign w:val="bottom"/>
          </w:tcPr>
          <w:p w14:paraId="21FA8513" w14:textId="77777777" w:rsidR="00BB2CB4" w:rsidRPr="00222C32" w:rsidRDefault="000674DA">
            <w:pPr>
              <w:pStyle w:val="Summarytabletextrightaligned"/>
            </w:pPr>
            <w:r w:rsidRPr="00222C32">
              <w:t>8.0</w:t>
            </w:r>
          </w:p>
        </w:tc>
      </w:tr>
      <w:tr w:rsidR="00BB2CB4" w:rsidRPr="00222C32" w14:paraId="19F6DC45" w14:textId="77777777" w:rsidTr="00825163">
        <w:tc>
          <w:tcPr>
            <w:tcW w:w="3471" w:type="dxa"/>
            <w:vAlign w:val="bottom"/>
          </w:tcPr>
          <w:p w14:paraId="1F9713EF" w14:textId="77777777" w:rsidR="00BB2CB4" w:rsidRPr="00222C32" w:rsidRDefault="000674DA">
            <w:pPr>
              <w:pStyle w:val="SummaryMeasureTitlewithTheme"/>
            </w:pPr>
            <w:r w:rsidRPr="00222C32">
              <w:t>Industry, Science and Resources – reprioritisation</w:t>
            </w:r>
          </w:p>
        </w:tc>
        <w:tc>
          <w:tcPr>
            <w:tcW w:w="850" w:type="dxa"/>
            <w:vAlign w:val="bottom"/>
          </w:tcPr>
          <w:p w14:paraId="01E47079" w14:textId="77777777" w:rsidR="00BB2CB4" w:rsidRPr="00222C32" w:rsidRDefault="000674DA">
            <w:pPr>
              <w:pStyle w:val="Summarytabletextrightaligned"/>
            </w:pPr>
            <w:r w:rsidRPr="00222C32">
              <w:t>-</w:t>
            </w:r>
          </w:p>
        </w:tc>
        <w:tc>
          <w:tcPr>
            <w:tcW w:w="850" w:type="dxa"/>
            <w:shd w:val="clear" w:color="auto" w:fill="E6F2FF"/>
            <w:vAlign w:val="bottom"/>
          </w:tcPr>
          <w:p w14:paraId="33BB91B9" w14:textId="77777777" w:rsidR="00BB2CB4" w:rsidRPr="00222C32" w:rsidRDefault="000674DA">
            <w:pPr>
              <w:pStyle w:val="Summarytabletextrightaligned"/>
            </w:pPr>
            <w:r w:rsidRPr="00222C32">
              <w:t>-30.9</w:t>
            </w:r>
          </w:p>
        </w:tc>
        <w:tc>
          <w:tcPr>
            <w:tcW w:w="850" w:type="dxa"/>
            <w:vAlign w:val="bottom"/>
          </w:tcPr>
          <w:p w14:paraId="3DD22FCA" w14:textId="77777777" w:rsidR="00BB2CB4" w:rsidRPr="00222C32" w:rsidRDefault="000674DA">
            <w:pPr>
              <w:pStyle w:val="Summarytabletextrightaligned"/>
            </w:pPr>
            <w:r w:rsidRPr="00222C32">
              <w:t>-41.7</w:t>
            </w:r>
          </w:p>
        </w:tc>
        <w:tc>
          <w:tcPr>
            <w:tcW w:w="850" w:type="dxa"/>
            <w:vAlign w:val="bottom"/>
          </w:tcPr>
          <w:p w14:paraId="43803119" w14:textId="77777777" w:rsidR="00BB2CB4" w:rsidRPr="00222C32" w:rsidRDefault="000674DA">
            <w:pPr>
              <w:pStyle w:val="Summarytabletextrightaligned"/>
            </w:pPr>
            <w:r w:rsidRPr="00222C32">
              <w:t>-55.8</w:t>
            </w:r>
          </w:p>
        </w:tc>
        <w:tc>
          <w:tcPr>
            <w:tcW w:w="850" w:type="dxa"/>
            <w:vAlign w:val="bottom"/>
          </w:tcPr>
          <w:p w14:paraId="27E86852" w14:textId="77777777" w:rsidR="00BB2CB4" w:rsidRPr="00222C32" w:rsidRDefault="000674DA">
            <w:pPr>
              <w:pStyle w:val="Summarytabletextrightaligned"/>
            </w:pPr>
            <w:r w:rsidRPr="00222C32">
              <w:t>-24.0</w:t>
            </w:r>
          </w:p>
        </w:tc>
      </w:tr>
      <w:tr w:rsidR="00BB2CB4" w:rsidRPr="00222C32" w14:paraId="2BDAB761" w14:textId="77777777" w:rsidTr="00825163">
        <w:tc>
          <w:tcPr>
            <w:tcW w:w="3471" w:type="dxa"/>
            <w:vAlign w:val="bottom"/>
          </w:tcPr>
          <w:p w14:paraId="2E6D0BAC" w14:textId="29151079" w:rsidR="00BB2CB4" w:rsidRPr="00222C32" w:rsidRDefault="000674DA">
            <w:pPr>
              <w:pStyle w:val="SummaryMeasureTitlewithTheme"/>
            </w:pPr>
            <w:r w:rsidRPr="00222C32">
              <w:t>Supporting Australia</w:t>
            </w:r>
            <w:r w:rsidR="00A67A30">
              <w:t>’</w:t>
            </w:r>
            <w:r w:rsidRPr="00222C32">
              <w:t>s Heavy Industry Transformation(b)</w:t>
            </w:r>
          </w:p>
        </w:tc>
        <w:tc>
          <w:tcPr>
            <w:tcW w:w="850" w:type="dxa"/>
            <w:vAlign w:val="bottom"/>
          </w:tcPr>
          <w:p w14:paraId="28659FB3" w14:textId="77777777" w:rsidR="00BB2CB4" w:rsidRPr="00222C32" w:rsidRDefault="000674DA">
            <w:pPr>
              <w:pStyle w:val="Summarytabletextrightaligned"/>
            </w:pPr>
            <w:r w:rsidRPr="00222C32">
              <w:t>-</w:t>
            </w:r>
          </w:p>
        </w:tc>
        <w:tc>
          <w:tcPr>
            <w:tcW w:w="850" w:type="dxa"/>
            <w:shd w:val="clear" w:color="auto" w:fill="E6F2FF"/>
            <w:vAlign w:val="bottom"/>
          </w:tcPr>
          <w:p w14:paraId="5DAC642D" w14:textId="77777777" w:rsidR="00BB2CB4" w:rsidRPr="00222C32" w:rsidRDefault="000674DA">
            <w:pPr>
              <w:pStyle w:val="Summarytabletextrightaligned"/>
            </w:pPr>
            <w:r w:rsidRPr="00222C32">
              <w:t>7.1</w:t>
            </w:r>
          </w:p>
        </w:tc>
        <w:tc>
          <w:tcPr>
            <w:tcW w:w="850" w:type="dxa"/>
            <w:vAlign w:val="bottom"/>
          </w:tcPr>
          <w:p w14:paraId="398BFD7F" w14:textId="77777777" w:rsidR="00BB2CB4" w:rsidRPr="00222C32" w:rsidRDefault="000674DA">
            <w:pPr>
              <w:pStyle w:val="Summarytabletextrightaligned"/>
            </w:pPr>
            <w:r w:rsidRPr="00222C32">
              <w:t>-9.7</w:t>
            </w:r>
          </w:p>
        </w:tc>
        <w:tc>
          <w:tcPr>
            <w:tcW w:w="850" w:type="dxa"/>
            <w:vAlign w:val="bottom"/>
          </w:tcPr>
          <w:p w14:paraId="4A88C13C" w14:textId="77777777" w:rsidR="00BB2CB4" w:rsidRPr="00222C32" w:rsidRDefault="000674DA">
            <w:pPr>
              <w:pStyle w:val="Summarytabletextrightaligned"/>
            </w:pPr>
            <w:r w:rsidRPr="00222C32">
              <w:t>-10.5</w:t>
            </w:r>
          </w:p>
        </w:tc>
        <w:tc>
          <w:tcPr>
            <w:tcW w:w="850" w:type="dxa"/>
            <w:vAlign w:val="bottom"/>
          </w:tcPr>
          <w:p w14:paraId="7B69FB4D" w14:textId="77777777" w:rsidR="00BB2CB4" w:rsidRPr="00222C32" w:rsidRDefault="000674DA">
            <w:pPr>
              <w:pStyle w:val="Summarytabletextrightaligned"/>
            </w:pPr>
            <w:r w:rsidRPr="00222C32">
              <w:t>0.2</w:t>
            </w:r>
          </w:p>
        </w:tc>
      </w:tr>
      <w:tr w:rsidR="00BB2CB4" w:rsidRPr="00222C32" w14:paraId="1C9DC46B" w14:textId="77777777" w:rsidTr="00825163">
        <w:tc>
          <w:tcPr>
            <w:tcW w:w="3471" w:type="dxa"/>
            <w:vAlign w:val="bottom"/>
          </w:tcPr>
          <w:p w14:paraId="00B9C834" w14:textId="77777777" w:rsidR="00BB2CB4" w:rsidRPr="00222C32" w:rsidRDefault="000674DA">
            <w:pPr>
              <w:pStyle w:val="SummaryAgencyTitle-BP2"/>
            </w:pPr>
            <w:r w:rsidRPr="00222C32">
              <w:t>National Offshore Petroleum Safety and Environmental Management Authority</w:t>
            </w:r>
          </w:p>
        </w:tc>
        <w:tc>
          <w:tcPr>
            <w:tcW w:w="850" w:type="dxa"/>
          </w:tcPr>
          <w:p w14:paraId="72421CB3" w14:textId="77777777" w:rsidR="00BB2CB4" w:rsidRPr="00222C32" w:rsidRDefault="00BB2CB4">
            <w:pPr>
              <w:pStyle w:val="SummaryAgencyTitle-BP2"/>
            </w:pPr>
          </w:p>
        </w:tc>
        <w:tc>
          <w:tcPr>
            <w:tcW w:w="850" w:type="dxa"/>
            <w:shd w:val="clear" w:color="auto" w:fill="E6F2FF"/>
          </w:tcPr>
          <w:p w14:paraId="6D53E681" w14:textId="77777777" w:rsidR="00BB2CB4" w:rsidRPr="00222C32" w:rsidRDefault="00BB2CB4">
            <w:pPr>
              <w:pStyle w:val="SummaryAgencyTitle-BP2"/>
            </w:pPr>
          </w:p>
        </w:tc>
        <w:tc>
          <w:tcPr>
            <w:tcW w:w="850" w:type="dxa"/>
          </w:tcPr>
          <w:p w14:paraId="46BEC266" w14:textId="77777777" w:rsidR="00BB2CB4" w:rsidRPr="00222C32" w:rsidRDefault="00BB2CB4">
            <w:pPr>
              <w:pStyle w:val="SummaryAgencyTitle-BP2"/>
            </w:pPr>
          </w:p>
        </w:tc>
        <w:tc>
          <w:tcPr>
            <w:tcW w:w="850" w:type="dxa"/>
          </w:tcPr>
          <w:p w14:paraId="1F348D50" w14:textId="77777777" w:rsidR="00BB2CB4" w:rsidRPr="00222C32" w:rsidRDefault="00BB2CB4">
            <w:pPr>
              <w:pStyle w:val="SummaryAgencyTitle-BP2"/>
            </w:pPr>
          </w:p>
        </w:tc>
        <w:tc>
          <w:tcPr>
            <w:tcW w:w="850" w:type="dxa"/>
          </w:tcPr>
          <w:p w14:paraId="3E1DE9C3" w14:textId="77777777" w:rsidR="00BB2CB4" w:rsidRPr="00222C32" w:rsidRDefault="00BB2CB4">
            <w:pPr>
              <w:pStyle w:val="SummaryAgencyTitle-BP2"/>
            </w:pPr>
          </w:p>
        </w:tc>
      </w:tr>
      <w:tr w:rsidR="00BB2CB4" w:rsidRPr="00222C32" w14:paraId="729B7CD8" w14:textId="77777777" w:rsidTr="00825163">
        <w:tc>
          <w:tcPr>
            <w:tcW w:w="3471" w:type="dxa"/>
            <w:vAlign w:val="bottom"/>
          </w:tcPr>
          <w:p w14:paraId="6B8509E5" w14:textId="77777777" w:rsidR="00BB2CB4" w:rsidRPr="00222C32" w:rsidRDefault="000674DA">
            <w:pPr>
              <w:pStyle w:val="SummaryMeasureTitlewithTheme"/>
            </w:pPr>
            <w:r w:rsidRPr="00222C32">
              <w:t>A Rapidly Transforming Energy System(b)</w:t>
            </w:r>
          </w:p>
        </w:tc>
        <w:tc>
          <w:tcPr>
            <w:tcW w:w="850" w:type="dxa"/>
            <w:vAlign w:val="bottom"/>
          </w:tcPr>
          <w:p w14:paraId="69D98BE7" w14:textId="77777777" w:rsidR="00BB2CB4" w:rsidRPr="00222C32" w:rsidRDefault="000674DA">
            <w:pPr>
              <w:pStyle w:val="Summarytabletextrightaligned"/>
            </w:pPr>
            <w:r w:rsidRPr="00222C32">
              <w:t>-</w:t>
            </w:r>
          </w:p>
        </w:tc>
        <w:tc>
          <w:tcPr>
            <w:tcW w:w="850" w:type="dxa"/>
            <w:shd w:val="clear" w:color="auto" w:fill="E6F2FF"/>
            <w:vAlign w:val="bottom"/>
          </w:tcPr>
          <w:p w14:paraId="59D9048B" w14:textId="77777777" w:rsidR="00BB2CB4" w:rsidRPr="00222C32" w:rsidRDefault="000674DA">
            <w:pPr>
              <w:pStyle w:val="Summarytabletextrightaligned"/>
            </w:pPr>
            <w:r w:rsidRPr="00222C32">
              <w:t>-</w:t>
            </w:r>
          </w:p>
        </w:tc>
        <w:tc>
          <w:tcPr>
            <w:tcW w:w="850" w:type="dxa"/>
            <w:vAlign w:val="bottom"/>
          </w:tcPr>
          <w:p w14:paraId="75902A59" w14:textId="77777777" w:rsidR="00BB2CB4" w:rsidRPr="00222C32" w:rsidRDefault="000674DA">
            <w:pPr>
              <w:pStyle w:val="Summarytabletextrightaligned"/>
            </w:pPr>
            <w:r w:rsidRPr="00222C32">
              <w:t>-</w:t>
            </w:r>
          </w:p>
        </w:tc>
        <w:tc>
          <w:tcPr>
            <w:tcW w:w="850" w:type="dxa"/>
            <w:vAlign w:val="bottom"/>
          </w:tcPr>
          <w:p w14:paraId="36B5A114" w14:textId="77777777" w:rsidR="00BB2CB4" w:rsidRPr="00222C32" w:rsidRDefault="000674DA">
            <w:pPr>
              <w:pStyle w:val="Summarytabletextrightaligned"/>
            </w:pPr>
            <w:r w:rsidRPr="00222C32">
              <w:t>-</w:t>
            </w:r>
          </w:p>
        </w:tc>
        <w:tc>
          <w:tcPr>
            <w:tcW w:w="850" w:type="dxa"/>
            <w:vAlign w:val="bottom"/>
          </w:tcPr>
          <w:p w14:paraId="70F142C5" w14:textId="77777777" w:rsidR="00BB2CB4" w:rsidRPr="00222C32" w:rsidRDefault="000674DA">
            <w:pPr>
              <w:pStyle w:val="Summarytabletextrightaligned"/>
            </w:pPr>
            <w:r w:rsidRPr="00222C32">
              <w:t>-</w:t>
            </w:r>
          </w:p>
        </w:tc>
      </w:tr>
      <w:tr w:rsidR="00BB2CB4" w:rsidRPr="00222C32" w14:paraId="0C3B0A61" w14:textId="77777777" w:rsidTr="00825163">
        <w:tc>
          <w:tcPr>
            <w:tcW w:w="3471" w:type="dxa"/>
            <w:vAlign w:val="bottom"/>
          </w:tcPr>
          <w:p w14:paraId="52115F48" w14:textId="77777777" w:rsidR="00BB2CB4" w:rsidRPr="00222C32" w:rsidRDefault="000674DA">
            <w:pPr>
              <w:pStyle w:val="SummaryAgencyTitle-BP2"/>
            </w:pPr>
            <w:r w:rsidRPr="00222C32">
              <w:t>National Reconstruction Fund Corporation</w:t>
            </w:r>
          </w:p>
        </w:tc>
        <w:tc>
          <w:tcPr>
            <w:tcW w:w="850" w:type="dxa"/>
          </w:tcPr>
          <w:p w14:paraId="7F812DE3" w14:textId="77777777" w:rsidR="00BB2CB4" w:rsidRPr="00222C32" w:rsidRDefault="00BB2CB4">
            <w:pPr>
              <w:pStyle w:val="SummaryAgencyTitle-BP2"/>
            </w:pPr>
          </w:p>
        </w:tc>
        <w:tc>
          <w:tcPr>
            <w:tcW w:w="850" w:type="dxa"/>
            <w:shd w:val="clear" w:color="auto" w:fill="E6F2FF"/>
          </w:tcPr>
          <w:p w14:paraId="19CA4A6A" w14:textId="77777777" w:rsidR="00BB2CB4" w:rsidRPr="00222C32" w:rsidRDefault="00BB2CB4">
            <w:pPr>
              <w:pStyle w:val="SummaryAgencyTitle-BP2"/>
            </w:pPr>
          </w:p>
        </w:tc>
        <w:tc>
          <w:tcPr>
            <w:tcW w:w="850" w:type="dxa"/>
          </w:tcPr>
          <w:p w14:paraId="00957C2F" w14:textId="77777777" w:rsidR="00BB2CB4" w:rsidRPr="00222C32" w:rsidRDefault="00BB2CB4">
            <w:pPr>
              <w:pStyle w:val="SummaryAgencyTitle-BP2"/>
            </w:pPr>
          </w:p>
        </w:tc>
        <w:tc>
          <w:tcPr>
            <w:tcW w:w="850" w:type="dxa"/>
          </w:tcPr>
          <w:p w14:paraId="01C9C8FB" w14:textId="77777777" w:rsidR="00BB2CB4" w:rsidRPr="00222C32" w:rsidRDefault="00BB2CB4">
            <w:pPr>
              <w:pStyle w:val="SummaryAgencyTitle-BP2"/>
            </w:pPr>
          </w:p>
        </w:tc>
        <w:tc>
          <w:tcPr>
            <w:tcW w:w="850" w:type="dxa"/>
          </w:tcPr>
          <w:p w14:paraId="352FF79D" w14:textId="77777777" w:rsidR="00BB2CB4" w:rsidRPr="00222C32" w:rsidRDefault="00BB2CB4">
            <w:pPr>
              <w:pStyle w:val="SummaryAgencyTitle-BP2"/>
            </w:pPr>
          </w:p>
        </w:tc>
      </w:tr>
      <w:tr w:rsidR="00BB2CB4" w:rsidRPr="00222C32" w14:paraId="1B055981" w14:textId="77777777" w:rsidTr="00825163">
        <w:tc>
          <w:tcPr>
            <w:tcW w:w="3471" w:type="dxa"/>
            <w:vAlign w:val="bottom"/>
          </w:tcPr>
          <w:p w14:paraId="5009E93E" w14:textId="77777777" w:rsidR="00BB2CB4" w:rsidRPr="00222C32" w:rsidRDefault="000674DA">
            <w:pPr>
              <w:pStyle w:val="SummaryMeasureTitlewithTheme"/>
            </w:pPr>
            <w:r w:rsidRPr="00222C32">
              <w:t>Building a Future Made in Australia(b)</w:t>
            </w:r>
          </w:p>
        </w:tc>
        <w:tc>
          <w:tcPr>
            <w:tcW w:w="850" w:type="dxa"/>
            <w:vAlign w:val="bottom"/>
          </w:tcPr>
          <w:p w14:paraId="2745C1FC" w14:textId="77777777" w:rsidR="00BB2CB4" w:rsidRPr="00222C32" w:rsidRDefault="000674DA">
            <w:pPr>
              <w:pStyle w:val="Summarytabletextrightaligned"/>
            </w:pPr>
            <w:r w:rsidRPr="00222C32">
              <w:t>-</w:t>
            </w:r>
          </w:p>
        </w:tc>
        <w:tc>
          <w:tcPr>
            <w:tcW w:w="850" w:type="dxa"/>
            <w:shd w:val="clear" w:color="auto" w:fill="E6F2FF"/>
            <w:vAlign w:val="bottom"/>
          </w:tcPr>
          <w:p w14:paraId="3A2FA33C" w14:textId="77777777" w:rsidR="00BB2CB4" w:rsidRPr="00222C32" w:rsidRDefault="000674DA">
            <w:pPr>
              <w:pStyle w:val="Summarytabletextrightaligned"/>
            </w:pPr>
            <w:r w:rsidRPr="00222C32">
              <w:t>-</w:t>
            </w:r>
          </w:p>
        </w:tc>
        <w:tc>
          <w:tcPr>
            <w:tcW w:w="850" w:type="dxa"/>
            <w:vAlign w:val="bottom"/>
          </w:tcPr>
          <w:p w14:paraId="50960199" w14:textId="77777777" w:rsidR="00BB2CB4" w:rsidRPr="00222C32" w:rsidRDefault="000674DA">
            <w:pPr>
              <w:pStyle w:val="Summarytabletextrightaligned"/>
            </w:pPr>
            <w:r w:rsidRPr="00222C32">
              <w:t>13.1</w:t>
            </w:r>
          </w:p>
        </w:tc>
        <w:tc>
          <w:tcPr>
            <w:tcW w:w="850" w:type="dxa"/>
            <w:vAlign w:val="bottom"/>
          </w:tcPr>
          <w:p w14:paraId="25C82B64" w14:textId="77777777" w:rsidR="00BB2CB4" w:rsidRPr="00222C32" w:rsidRDefault="000674DA">
            <w:pPr>
              <w:pStyle w:val="Summarytabletextrightaligned"/>
            </w:pPr>
            <w:r w:rsidRPr="00222C32">
              <w:t>12.7</w:t>
            </w:r>
          </w:p>
        </w:tc>
        <w:tc>
          <w:tcPr>
            <w:tcW w:w="850" w:type="dxa"/>
            <w:vAlign w:val="bottom"/>
          </w:tcPr>
          <w:p w14:paraId="0B3568E2" w14:textId="77777777" w:rsidR="00BB2CB4" w:rsidRPr="00222C32" w:rsidRDefault="000674DA">
            <w:pPr>
              <w:pStyle w:val="Summarytabletextrightaligned"/>
            </w:pPr>
            <w:r w:rsidRPr="00222C32">
              <w:t>-</w:t>
            </w:r>
          </w:p>
        </w:tc>
      </w:tr>
      <w:tr w:rsidR="00BB2CB4" w:rsidRPr="00222C32" w14:paraId="6AF5859F" w14:textId="77777777" w:rsidTr="00825163">
        <w:tc>
          <w:tcPr>
            <w:tcW w:w="3471" w:type="dxa"/>
            <w:tcBorders>
              <w:bottom w:val="nil"/>
            </w:tcBorders>
            <w:vAlign w:val="bottom"/>
          </w:tcPr>
          <w:p w14:paraId="37477491" w14:textId="77777777" w:rsidR="00BB2CB4" w:rsidRPr="00222C32" w:rsidRDefault="000674DA">
            <w:pPr>
              <w:pStyle w:val="SummaryMeasureTitlewithTheme"/>
            </w:pPr>
            <w:r w:rsidRPr="00222C32">
              <w:t>Forestry Growth Fund(b)</w:t>
            </w:r>
          </w:p>
        </w:tc>
        <w:tc>
          <w:tcPr>
            <w:tcW w:w="850" w:type="dxa"/>
            <w:tcBorders>
              <w:bottom w:val="nil"/>
            </w:tcBorders>
            <w:vAlign w:val="bottom"/>
          </w:tcPr>
          <w:p w14:paraId="4B4FBC30"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4CF34B4A" w14:textId="77777777" w:rsidR="00BB2CB4" w:rsidRPr="00222C32" w:rsidRDefault="000674DA">
            <w:pPr>
              <w:pStyle w:val="Summarytabletextrightaligned"/>
            </w:pPr>
            <w:r w:rsidRPr="00222C32">
              <w:t>-</w:t>
            </w:r>
          </w:p>
        </w:tc>
        <w:tc>
          <w:tcPr>
            <w:tcW w:w="850" w:type="dxa"/>
            <w:tcBorders>
              <w:bottom w:val="nil"/>
            </w:tcBorders>
            <w:vAlign w:val="bottom"/>
          </w:tcPr>
          <w:p w14:paraId="2C9C2529" w14:textId="77777777" w:rsidR="00BB2CB4" w:rsidRPr="00222C32" w:rsidRDefault="000674DA">
            <w:pPr>
              <w:pStyle w:val="Summarytabletextrightaligned"/>
            </w:pPr>
            <w:r w:rsidRPr="00222C32">
              <w:t>-</w:t>
            </w:r>
          </w:p>
        </w:tc>
        <w:tc>
          <w:tcPr>
            <w:tcW w:w="850" w:type="dxa"/>
            <w:tcBorders>
              <w:bottom w:val="nil"/>
            </w:tcBorders>
            <w:vAlign w:val="bottom"/>
          </w:tcPr>
          <w:p w14:paraId="7D4A501C" w14:textId="77777777" w:rsidR="00BB2CB4" w:rsidRPr="00222C32" w:rsidRDefault="000674DA">
            <w:pPr>
              <w:pStyle w:val="Summarytabletextrightaligned"/>
            </w:pPr>
            <w:r w:rsidRPr="00222C32">
              <w:t>-</w:t>
            </w:r>
          </w:p>
        </w:tc>
        <w:tc>
          <w:tcPr>
            <w:tcW w:w="850" w:type="dxa"/>
            <w:tcBorders>
              <w:bottom w:val="nil"/>
            </w:tcBorders>
            <w:vAlign w:val="bottom"/>
          </w:tcPr>
          <w:p w14:paraId="26F0478C" w14:textId="77777777" w:rsidR="00BB2CB4" w:rsidRPr="00222C32" w:rsidRDefault="000674DA">
            <w:pPr>
              <w:pStyle w:val="Summarytabletextrightaligned"/>
            </w:pPr>
            <w:r w:rsidRPr="00222C32">
              <w:t>-</w:t>
            </w:r>
          </w:p>
        </w:tc>
      </w:tr>
      <w:tr w:rsidR="00BB2CB4" w:rsidRPr="00222C32" w14:paraId="785BF8A9" w14:textId="77777777" w:rsidTr="00825163">
        <w:tc>
          <w:tcPr>
            <w:tcW w:w="3471" w:type="dxa"/>
            <w:tcBorders>
              <w:top w:val="nil"/>
              <w:bottom w:val="single" w:sz="4" w:space="0" w:color="293F5B"/>
            </w:tcBorders>
            <w:vAlign w:val="bottom"/>
          </w:tcPr>
          <w:p w14:paraId="681414B4" w14:textId="77777777" w:rsidR="00BB2CB4" w:rsidRPr="00222C32" w:rsidRDefault="000674DA">
            <w:pPr>
              <w:pStyle w:val="SummaryMeasureTitlewithTheme"/>
            </w:pPr>
            <w:r w:rsidRPr="00222C32">
              <w:t>Support for the Net Zero Plan(b)</w:t>
            </w:r>
          </w:p>
        </w:tc>
        <w:tc>
          <w:tcPr>
            <w:tcW w:w="850" w:type="dxa"/>
            <w:tcBorders>
              <w:top w:val="nil"/>
              <w:bottom w:val="single" w:sz="4" w:space="0" w:color="293F5B"/>
            </w:tcBorders>
            <w:vAlign w:val="bottom"/>
          </w:tcPr>
          <w:p w14:paraId="656B259D"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5A8EEB46"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37E4C435" w14:textId="77777777" w:rsidR="00BB2CB4" w:rsidRPr="00222C32" w:rsidRDefault="000674DA">
            <w:pPr>
              <w:pStyle w:val="Summarytabletextrightaligned"/>
            </w:pPr>
            <w:r w:rsidRPr="00222C32">
              <w:t>4.7</w:t>
            </w:r>
          </w:p>
        </w:tc>
        <w:tc>
          <w:tcPr>
            <w:tcW w:w="850" w:type="dxa"/>
            <w:tcBorders>
              <w:top w:val="nil"/>
              <w:bottom w:val="single" w:sz="4" w:space="0" w:color="293F5B"/>
            </w:tcBorders>
            <w:vAlign w:val="bottom"/>
          </w:tcPr>
          <w:p w14:paraId="5E47EEAF" w14:textId="77777777" w:rsidR="00BB2CB4" w:rsidRPr="00222C32" w:rsidRDefault="000674DA">
            <w:pPr>
              <w:pStyle w:val="Summarytabletextrightaligned"/>
            </w:pPr>
            <w:r w:rsidRPr="00222C32">
              <w:t>-</w:t>
            </w:r>
          </w:p>
        </w:tc>
        <w:tc>
          <w:tcPr>
            <w:tcW w:w="850" w:type="dxa"/>
            <w:tcBorders>
              <w:top w:val="nil"/>
              <w:bottom w:val="single" w:sz="4" w:space="0" w:color="293F5B"/>
            </w:tcBorders>
            <w:vAlign w:val="bottom"/>
          </w:tcPr>
          <w:p w14:paraId="089C89B7" w14:textId="77777777" w:rsidR="00BB2CB4" w:rsidRPr="00222C32" w:rsidRDefault="000674DA">
            <w:pPr>
              <w:pStyle w:val="Summarytabletextrightaligned"/>
            </w:pPr>
            <w:r w:rsidRPr="00222C32">
              <w:t>-</w:t>
            </w:r>
          </w:p>
        </w:tc>
      </w:tr>
    </w:tbl>
    <w:p w14:paraId="7B5F5AA9"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1425FB8F" w14:textId="00EAFBD9"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17B5EA33" w14:textId="77777777" w:rsidTr="00D54A3F">
        <w:tc>
          <w:tcPr>
            <w:tcW w:w="3465" w:type="dxa"/>
            <w:tcBorders>
              <w:top w:val="single" w:sz="4" w:space="0" w:color="293F5B"/>
              <w:bottom w:val="nil"/>
            </w:tcBorders>
            <w:vAlign w:val="bottom"/>
          </w:tcPr>
          <w:p w14:paraId="103061A9" w14:textId="77777777" w:rsidR="000D63FB" w:rsidRPr="00222C32" w:rsidRDefault="000D63FB" w:rsidP="000D63FB"/>
        </w:tc>
        <w:tc>
          <w:tcPr>
            <w:tcW w:w="849" w:type="dxa"/>
            <w:tcBorders>
              <w:top w:val="single" w:sz="4" w:space="0" w:color="293F5B"/>
              <w:bottom w:val="nil"/>
            </w:tcBorders>
          </w:tcPr>
          <w:p w14:paraId="2B1F5987" w14:textId="77777777" w:rsidR="000D63FB" w:rsidRPr="00222C32" w:rsidRDefault="000D63FB" w:rsidP="000D63FB">
            <w:pPr>
              <w:pStyle w:val="Summarytabletextrightaligned"/>
            </w:pPr>
            <w:r w:rsidRPr="00222C32">
              <w:t>2024-25</w:t>
            </w:r>
          </w:p>
        </w:tc>
        <w:tc>
          <w:tcPr>
            <w:tcW w:w="849" w:type="dxa"/>
            <w:tcBorders>
              <w:top w:val="single" w:sz="4" w:space="0" w:color="293F5B"/>
              <w:bottom w:val="nil"/>
            </w:tcBorders>
            <w:shd w:val="clear" w:color="auto" w:fill="E6F2FF"/>
          </w:tcPr>
          <w:p w14:paraId="6CBA4E4E" w14:textId="77777777" w:rsidR="000D63FB" w:rsidRPr="00222C32" w:rsidRDefault="000D63FB" w:rsidP="000D63FB">
            <w:pPr>
              <w:pStyle w:val="Summarytabletextrightaligned"/>
            </w:pPr>
            <w:r w:rsidRPr="00222C32">
              <w:t>2025-26</w:t>
            </w:r>
          </w:p>
        </w:tc>
        <w:tc>
          <w:tcPr>
            <w:tcW w:w="849" w:type="dxa"/>
            <w:tcBorders>
              <w:top w:val="single" w:sz="4" w:space="0" w:color="293F5B"/>
              <w:bottom w:val="nil"/>
            </w:tcBorders>
          </w:tcPr>
          <w:p w14:paraId="425B045E" w14:textId="77777777" w:rsidR="000D63FB" w:rsidRPr="00222C32" w:rsidRDefault="000D63FB" w:rsidP="000D63FB">
            <w:pPr>
              <w:pStyle w:val="Summarytabletextrightaligned"/>
            </w:pPr>
            <w:r w:rsidRPr="00222C32">
              <w:t>2026-27</w:t>
            </w:r>
          </w:p>
        </w:tc>
        <w:tc>
          <w:tcPr>
            <w:tcW w:w="849" w:type="dxa"/>
            <w:tcBorders>
              <w:top w:val="single" w:sz="4" w:space="0" w:color="293F5B"/>
              <w:bottom w:val="nil"/>
            </w:tcBorders>
          </w:tcPr>
          <w:p w14:paraId="38C351B5" w14:textId="77777777" w:rsidR="000D63FB" w:rsidRPr="00222C32" w:rsidRDefault="000D63FB" w:rsidP="000D63FB">
            <w:pPr>
              <w:pStyle w:val="Summarytabletextrightaligned"/>
            </w:pPr>
            <w:r w:rsidRPr="00222C32">
              <w:t>2027-28</w:t>
            </w:r>
          </w:p>
        </w:tc>
        <w:tc>
          <w:tcPr>
            <w:tcW w:w="849" w:type="dxa"/>
            <w:tcBorders>
              <w:top w:val="single" w:sz="4" w:space="0" w:color="293F5B"/>
              <w:bottom w:val="nil"/>
            </w:tcBorders>
          </w:tcPr>
          <w:p w14:paraId="38225223" w14:textId="77777777" w:rsidR="000D63FB" w:rsidRPr="00222C32" w:rsidRDefault="000D63FB" w:rsidP="000D63FB">
            <w:pPr>
              <w:pStyle w:val="Summarytabletextrightaligned"/>
            </w:pPr>
            <w:r w:rsidRPr="00222C32">
              <w:t>2028-29</w:t>
            </w:r>
          </w:p>
        </w:tc>
      </w:tr>
      <w:tr w:rsidR="000D63FB" w:rsidRPr="00222C32" w14:paraId="609D1B9D" w14:textId="77777777" w:rsidTr="00D54A3F">
        <w:tc>
          <w:tcPr>
            <w:tcW w:w="3465" w:type="dxa"/>
            <w:tcBorders>
              <w:top w:val="nil"/>
            </w:tcBorders>
            <w:vAlign w:val="bottom"/>
          </w:tcPr>
          <w:p w14:paraId="38E66611" w14:textId="77777777" w:rsidR="000D63FB" w:rsidRPr="00222C32" w:rsidRDefault="000D63FB" w:rsidP="000D63FB"/>
        </w:tc>
        <w:tc>
          <w:tcPr>
            <w:tcW w:w="849" w:type="dxa"/>
            <w:tcBorders>
              <w:top w:val="nil"/>
              <w:bottom w:val="single" w:sz="4" w:space="0" w:color="293F5B"/>
            </w:tcBorders>
          </w:tcPr>
          <w:p w14:paraId="79E67536" w14:textId="77777777" w:rsidR="000D63FB" w:rsidRPr="00222C32" w:rsidRDefault="000D63FB" w:rsidP="000D63FB">
            <w:pPr>
              <w:pStyle w:val="Summarytabletextrightaligned"/>
            </w:pPr>
            <w:r w:rsidRPr="00222C32">
              <w:t>$m</w:t>
            </w:r>
          </w:p>
        </w:tc>
        <w:tc>
          <w:tcPr>
            <w:tcW w:w="849" w:type="dxa"/>
            <w:tcBorders>
              <w:top w:val="nil"/>
              <w:bottom w:val="single" w:sz="4" w:space="0" w:color="293F5B"/>
            </w:tcBorders>
            <w:shd w:val="clear" w:color="auto" w:fill="E6F2FF"/>
          </w:tcPr>
          <w:p w14:paraId="192B8D0F" w14:textId="77777777" w:rsidR="000D63FB" w:rsidRPr="00222C32" w:rsidRDefault="000D63FB" w:rsidP="000D63FB">
            <w:pPr>
              <w:pStyle w:val="Summarytabletextrightaligned"/>
            </w:pPr>
            <w:r w:rsidRPr="00222C32">
              <w:t>$m</w:t>
            </w:r>
          </w:p>
        </w:tc>
        <w:tc>
          <w:tcPr>
            <w:tcW w:w="849" w:type="dxa"/>
            <w:tcBorders>
              <w:top w:val="nil"/>
              <w:bottom w:val="single" w:sz="4" w:space="0" w:color="293F5B"/>
            </w:tcBorders>
          </w:tcPr>
          <w:p w14:paraId="36CF366A" w14:textId="77777777" w:rsidR="000D63FB" w:rsidRPr="00222C32" w:rsidRDefault="000D63FB" w:rsidP="000D63FB">
            <w:pPr>
              <w:pStyle w:val="Summarytabletextrightaligned"/>
            </w:pPr>
            <w:r w:rsidRPr="00222C32">
              <w:t>$m</w:t>
            </w:r>
          </w:p>
        </w:tc>
        <w:tc>
          <w:tcPr>
            <w:tcW w:w="849" w:type="dxa"/>
            <w:tcBorders>
              <w:top w:val="nil"/>
              <w:bottom w:val="single" w:sz="4" w:space="0" w:color="293F5B"/>
            </w:tcBorders>
          </w:tcPr>
          <w:p w14:paraId="466762AA" w14:textId="77777777" w:rsidR="000D63FB" w:rsidRPr="00222C32" w:rsidRDefault="000D63FB" w:rsidP="000D63FB">
            <w:pPr>
              <w:pStyle w:val="Summarytabletextrightaligned"/>
            </w:pPr>
            <w:r w:rsidRPr="00222C32">
              <w:t>$m</w:t>
            </w:r>
          </w:p>
        </w:tc>
        <w:tc>
          <w:tcPr>
            <w:tcW w:w="849" w:type="dxa"/>
            <w:tcBorders>
              <w:top w:val="nil"/>
              <w:bottom w:val="single" w:sz="4" w:space="0" w:color="293F5B"/>
            </w:tcBorders>
          </w:tcPr>
          <w:p w14:paraId="0740EBA7" w14:textId="77777777" w:rsidR="000D63FB" w:rsidRPr="00222C32" w:rsidRDefault="000D63FB" w:rsidP="000D63FB">
            <w:pPr>
              <w:pStyle w:val="Summarytabletextrightaligned"/>
            </w:pPr>
            <w:r w:rsidRPr="00222C32">
              <w:t>$m</w:t>
            </w:r>
          </w:p>
        </w:tc>
      </w:tr>
      <w:tr w:rsidR="000D63FB" w:rsidRPr="00222C32" w14:paraId="6E1AF30D" w14:textId="77777777" w:rsidTr="00D54A3F">
        <w:tc>
          <w:tcPr>
            <w:tcW w:w="3465" w:type="dxa"/>
            <w:tcBorders>
              <w:bottom w:val="nil"/>
            </w:tcBorders>
            <w:vAlign w:val="bottom"/>
          </w:tcPr>
          <w:p w14:paraId="06394DD9" w14:textId="77777777" w:rsidR="000D63FB" w:rsidRPr="00222C32" w:rsidRDefault="000D63FB" w:rsidP="000D63FB">
            <w:pPr>
              <w:pStyle w:val="SummaryMeasureTitlewithTheme"/>
              <w:rPr>
                <w:b/>
              </w:rPr>
            </w:pPr>
            <w:r w:rsidRPr="00222C32">
              <w:rPr>
                <w:b/>
              </w:rPr>
              <w:t>INDUSTRY, SCIENCE AND RESOURCES (continued)</w:t>
            </w:r>
          </w:p>
        </w:tc>
        <w:tc>
          <w:tcPr>
            <w:tcW w:w="849" w:type="dxa"/>
            <w:tcBorders>
              <w:top w:val="single" w:sz="4" w:space="0" w:color="293F5B"/>
              <w:bottom w:val="nil"/>
            </w:tcBorders>
          </w:tcPr>
          <w:p w14:paraId="5F6C4251" w14:textId="77777777" w:rsidR="000D63FB" w:rsidRPr="00222C32" w:rsidRDefault="000D63FB">
            <w:pPr>
              <w:pStyle w:val="SummaryAgencyTitle-BP2"/>
            </w:pPr>
          </w:p>
        </w:tc>
        <w:tc>
          <w:tcPr>
            <w:tcW w:w="849" w:type="dxa"/>
            <w:tcBorders>
              <w:top w:val="single" w:sz="4" w:space="0" w:color="293F5B"/>
              <w:bottom w:val="nil"/>
            </w:tcBorders>
            <w:shd w:val="clear" w:color="auto" w:fill="E6F2FF"/>
          </w:tcPr>
          <w:p w14:paraId="5738F803" w14:textId="77777777" w:rsidR="000D63FB" w:rsidRPr="00222C32" w:rsidRDefault="000D63FB">
            <w:pPr>
              <w:pStyle w:val="SummaryAgencyTitle-BP2"/>
            </w:pPr>
          </w:p>
        </w:tc>
        <w:tc>
          <w:tcPr>
            <w:tcW w:w="849" w:type="dxa"/>
            <w:tcBorders>
              <w:top w:val="single" w:sz="4" w:space="0" w:color="293F5B"/>
              <w:bottom w:val="nil"/>
            </w:tcBorders>
          </w:tcPr>
          <w:p w14:paraId="3F8F7C15" w14:textId="77777777" w:rsidR="000D63FB" w:rsidRPr="00222C32" w:rsidRDefault="000D63FB">
            <w:pPr>
              <w:pStyle w:val="SummaryAgencyTitle-BP2"/>
            </w:pPr>
          </w:p>
        </w:tc>
        <w:tc>
          <w:tcPr>
            <w:tcW w:w="849" w:type="dxa"/>
            <w:tcBorders>
              <w:top w:val="single" w:sz="4" w:space="0" w:color="293F5B"/>
              <w:bottom w:val="nil"/>
            </w:tcBorders>
          </w:tcPr>
          <w:p w14:paraId="7E98082B" w14:textId="77777777" w:rsidR="000D63FB" w:rsidRPr="00222C32" w:rsidRDefault="000D63FB">
            <w:pPr>
              <w:pStyle w:val="SummaryAgencyTitle-BP2"/>
            </w:pPr>
          </w:p>
        </w:tc>
        <w:tc>
          <w:tcPr>
            <w:tcW w:w="849" w:type="dxa"/>
            <w:tcBorders>
              <w:top w:val="single" w:sz="4" w:space="0" w:color="293F5B"/>
              <w:bottom w:val="nil"/>
            </w:tcBorders>
          </w:tcPr>
          <w:p w14:paraId="297E51F5" w14:textId="77777777" w:rsidR="000D63FB" w:rsidRPr="00222C32" w:rsidRDefault="000D63FB">
            <w:pPr>
              <w:pStyle w:val="SummaryAgencyTitle-BP2"/>
            </w:pPr>
          </w:p>
        </w:tc>
      </w:tr>
      <w:tr w:rsidR="00BB2CB4" w:rsidRPr="00222C32" w14:paraId="1277E904" w14:textId="77777777" w:rsidTr="00D54A3F">
        <w:tc>
          <w:tcPr>
            <w:tcW w:w="3465" w:type="dxa"/>
            <w:tcBorders>
              <w:top w:val="nil"/>
            </w:tcBorders>
            <w:vAlign w:val="bottom"/>
          </w:tcPr>
          <w:p w14:paraId="1AEB2BC4" w14:textId="77777777" w:rsidR="00BB2CB4" w:rsidRPr="00222C32" w:rsidRDefault="000674DA">
            <w:pPr>
              <w:pStyle w:val="SummaryAgencyTitle-BP2"/>
            </w:pPr>
            <w:r w:rsidRPr="00222C32">
              <w:t>Net Zero Economy Authority</w:t>
            </w:r>
          </w:p>
        </w:tc>
        <w:tc>
          <w:tcPr>
            <w:tcW w:w="849" w:type="dxa"/>
            <w:tcBorders>
              <w:top w:val="nil"/>
            </w:tcBorders>
          </w:tcPr>
          <w:p w14:paraId="4AFAC35D" w14:textId="77777777" w:rsidR="00BB2CB4" w:rsidRPr="00222C32" w:rsidRDefault="00BB2CB4">
            <w:pPr>
              <w:pStyle w:val="SummaryAgencyTitle-BP2"/>
            </w:pPr>
          </w:p>
        </w:tc>
        <w:tc>
          <w:tcPr>
            <w:tcW w:w="849" w:type="dxa"/>
            <w:tcBorders>
              <w:top w:val="nil"/>
            </w:tcBorders>
            <w:shd w:val="clear" w:color="auto" w:fill="E6F2FF"/>
          </w:tcPr>
          <w:p w14:paraId="1125935D" w14:textId="77777777" w:rsidR="00BB2CB4" w:rsidRPr="00222C32" w:rsidRDefault="00BB2CB4">
            <w:pPr>
              <w:pStyle w:val="SummaryAgencyTitle-BP2"/>
            </w:pPr>
          </w:p>
        </w:tc>
        <w:tc>
          <w:tcPr>
            <w:tcW w:w="849" w:type="dxa"/>
            <w:tcBorders>
              <w:top w:val="nil"/>
            </w:tcBorders>
          </w:tcPr>
          <w:p w14:paraId="699322AF" w14:textId="77777777" w:rsidR="00BB2CB4" w:rsidRPr="00222C32" w:rsidRDefault="00BB2CB4">
            <w:pPr>
              <w:pStyle w:val="SummaryAgencyTitle-BP2"/>
            </w:pPr>
          </w:p>
        </w:tc>
        <w:tc>
          <w:tcPr>
            <w:tcW w:w="849" w:type="dxa"/>
            <w:tcBorders>
              <w:top w:val="nil"/>
            </w:tcBorders>
          </w:tcPr>
          <w:p w14:paraId="4CA693DA" w14:textId="77777777" w:rsidR="00BB2CB4" w:rsidRPr="00222C32" w:rsidRDefault="00BB2CB4">
            <w:pPr>
              <w:pStyle w:val="SummaryAgencyTitle-BP2"/>
            </w:pPr>
          </w:p>
        </w:tc>
        <w:tc>
          <w:tcPr>
            <w:tcW w:w="849" w:type="dxa"/>
            <w:tcBorders>
              <w:top w:val="nil"/>
            </w:tcBorders>
          </w:tcPr>
          <w:p w14:paraId="2D82EAD6" w14:textId="77777777" w:rsidR="00BB2CB4" w:rsidRPr="00222C32" w:rsidRDefault="00BB2CB4">
            <w:pPr>
              <w:pStyle w:val="SummaryAgencyTitle-BP2"/>
            </w:pPr>
          </w:p>
        </w:tc>
      </w:tr>
      <w:tr w:rsidR="00BB2CB4" w:rsidRPr="00222C32" w14:paraId="24DB7152" w14:textId="77777777" w:rsidTr="00D54A3F">
        <w:tc>
          <w:tcPr>
            <w:tcW w:w="3465" w:type="dxa"/>
            <w:vAlign w:val="bottom"/>
          </w:tcPr>
          <w:p w14:paraId="1D32E6B1" w14:textId="77777777" w:rsidR="00BB2CB4" w:rsidRPr="00222C32" w:rsidRDefault="000674DA">
            <w:pPr>
              <w:pStyle w:val="SummaryMeasureTitlewithTheme"/>
            </w:pPr>
            <w:r w:rsidRPr="00222C32">
              <w:t>Building a Future Made in Australia(b)</w:t>
            </w:r>
          </w:p>
        </w:tc>
        <w:tc>
          <w:tcPr>
            <w:tcW w:w="849" w:type="dxa"/>
            <w:tcBorders>
              <w:bottom w:val="single" w:sz="4" w:space="0" w:color="293F5B"/>
            </w:tcBorders>
            <w:vAlign w:val="bottom"/>
          </w:tcPr>
          <w:p w14:paraId="44C8DC88" w14:textId="77777777" w:rsidR="00BB2CB4" w:rsidRPr="00222C32" w:rsidRDefault="000674DA">
            <w:pPr>
              <w:pStyle w:val="Summarytabletextrightaligned"/>
            </w:pPr>
            <w:r w:rsidRPr="00222C32">
              <w:t>-</w:t>
            </w:r>
          </w:p>
        </w:tc>
        <w:tc>
          <w:tcPr>
            <w:tcW w:w="849" w:type="dxa"/>
            <w:tcBorders>
              <w:bottom w:val="single" w:sz="4" w:space="0" w:color="293F5B"/>
            </w:tcBorders>
            <w:shd w:val="clear" w:color="auto" w:fill="E6F2FF"/>
            <w:vAlign w:val="bottom"/>
          </w:tcPr>
          <w:p w14:paraId="68C12B24" w14:textId="77777777" w:rsidR="00BB2CB4" w:rsidRPr="00222C32" w:rsidRDefault="000674DA">
            <w:pPr>
              <w:pStyle w:val="Summarytabletextrightaligned"/>
            </w:pPr>
            <w:r w:rsidRPr="00222C32">
              <w:t>-</w:t>
            </w:r>
          </w:p>
        </w:tc>
        <w:tc>
          <w:tcPr>
            <w:tcW w:w="849" w:type="dxa"/>
            <w:tcBorders>
              <w:bottom w:val="single" w:sz="4" w:space="0" w:color="293F5B"/>
            </w:tcBorders>
            <w:vAlign w:val="bottom"/>
          </w:tcPr>
          <w:p w14:paraId="55A0E6D5" w14:textId="77777777" w:rsidR="00BB2CB4" w:rsidRPr="00222C32" w:rsidRDefault="000674DA">
            <w:pPr>
              <w:pStyle w:val="Summarytabletextrightaligned"/>
            </w:pPr>
            <w:r w:rsidRPr="00222C32">
              <w:t>-</w:t>
            </w:r>
          </w:p>
        </w:tc>
        <w:tc>
          <w:tcPr>
            <w:tcW w:w="849" w:type="dxa"/>
            <w:tcBorders>
              <w:bottom w:val="single" w:sz="4" w:space="0" w:color="293F5B"/>
            </w:tcBorders>
            <w:vAlign w:val="bottom"/>
          </w:tcPr>
          <w:p w14:paraId="18C462A8" w14:textId="77777777" w:rsidR="00BB2CB4" w:rsidRPr="00222C32" w:rsidRDefault="000674DA">
            <w:pPr>
              <w:pStyle w:val="Summarytabletextrightaligned"/>
            </w:pPr>
            <w:r w:rsidRPr="00222C32">
              <w:t>-</w:t>
            </w:r>
          </w:p>
        </w:tc>
        <w:tc>
          <w:tcPr>
            <w:tcW w:w="849" w:type="dxa"/>
            <w:tcBorders>
              <w:bottom w:val="single" w:sz="4" w:space="0" w:color="293F5B"/>
            </w:tcBorders>
            <w:vAlign w:val="bottom"/>
          </w:tcPr>
          <w:p w14:paraId="41098260" w14:textId="77777777" w:rsidR="00BB2CB4" w:rsidRPr="00222C32" w:rsidRDefault="000674DA">
            <w:pPr>
              <w:pStyle w:val="Summarytabletextrightaligned"/>
            </w:pPr>
            <w:r w:rsidRPr="00222C32">
              <w:t>-</w:t>
            </w:r>
          </w:p>
        </w:tc>
      </w:tr>
      <w:tr w:rsidR="00BB2CB4" w:rsidRPr="00222C32" w14:paraId="2B1CFFDC" w14:textId="77777777" w:rsidTr="00D54A3F">
        <w:tc>
          <w:tcPr>
            <w:tcW w:w="3465" w:type="dxa"/>
            <w:vAlign w:val="bottom"/>
          </w:tcPr>
          <w:p w14:paraId="11972578" w14:textId="77777777" w:rsidR="00BB2CB4" w:rsidRPr="00222C32" w:rsidRDefault="000674DA">
            <w:pPr>
              <w:pStyle w:val="Summarytabletextleftalignedbold"/>
            </w:pPr>
            <w:r w:rsidRPr="00222C32">
              <w:t>Portfolio total</w:t>
            </w:r>
          </w:p>
        </w:tc>
        <w:tc>
          <w:tcPr>
            <w:tcW w:w="849" w:type="dxa"/>
            <w:tcBorders>
              <w:top w:val="single" w:sz="4" w:space="0" w:color="293F5B"/>
              <w:bottom w:val="single" w:sz="4" w:space="0" w:color="293F5B"/>
            </w:tcBorders>
            <w:vAlign w:val="bottom"/>
          </w:tcPr>
          <w:p w14:paraId="6E85156D" w14:textId="77777777" w:rsidR="00BB2CB4" w:rsidRPr="00222C32" w:rsidRDefault="000674DA">
            <w:pPr>
              <w:pStyle w:val="Summarytabletextrightalignedbold"/>
            </w:pPr>
            <w:r w:rsidRPr="00222C32">
              <w:t>-</w:t>
            </w:r>
          </w:p>
        </w:tc>
        <w:tc>
          <w:tcPr>
            <w:tcW w:w="849" w:type="dxa"/>
            <w:tcBorders>
              <w:top w:val="single" w:sz="4" w:space="0" w:color="293F5B"/>
              <w:bottom w:val="single" w:sz="4" w:space="0" w:color="293F5B"/>
            </w:tcBorders>
            <w:shd w:val="clear" w:color="auto" w:fill="E6F2FF"/>
            <w:vAlign w:val="bottom"/>
          </w:tcPr>
          <w:p w14:paraId="0293F694" w14:textId="77777777" w:rsidR="00BB2CB4" w:rsidRPr="00222C32" w:rsidRDefault="000674DA">
            <w:pPr>
              <w:pStyle w:val="Summarytabletextrightalignedbold"/>
            </w:pPr>
            <w:r w:rsidRPr="00222C32">
              <w:t>127.8</w:t>
            </w:r>
          </w:p>
        </w:tc>
        <w:tc>
          <w:tcPr>
            <w:tcW w:w="849" w:type="dxa"/>
            <w:tcBorders>
              <w:top w:val="single" w:sz="4" w:space="0" w:color="293F5B"/>
              <w:bottom w:val="single" w:sz="4" w:space="0" w:color="293F5B"/>
            </w:tcBorders>
            <w:vAlign w:val="bottom"/>
          </w:tcPr>
          <w:p w14:paraId="01674889" w14:textId="77777777" w:rsidR="00BB2CB4" w:rsidRPr="00222C32" w:rsidRDefault="000674DA">
            <w:pPr>
              <w:pStyle w:val="Summarytabletextrightalignedbold"/>
            </w:pPr>
            <w:r w:rsidRPr="00222C32">
              <w:t>130.7</w:t>
            </w:r>
          </w:p>
        </w:tc>
        <w:tc>
          <w:tcPr>
            <w:tcW w:w="849" w:type="dxa"/>
            <w:tcBorders>
              <w:top w:val="single" w:sz="4" w:space="0" w:color="293F5B"/>
              <w:bottom w:val="single" w:sz="4" w:space="0" w:color="293F5B"/>
            </w:tcBorders>
            <w:vAlign w:val="bottom"/>
          </w:tcPr>
          <w:p w14:paraId="72566F29" w14:textId="77777777" w:rsidR="00BB2CB4" w:rsidRPr="00222C32" w:rsidRDefault="000674DA">
            <w:pPr>
              <w:pStyle w:val="Summarytabletextrightalignedbold"/>
            </w:pPr>
            <w:r w:rsidRPr="00222C32">
              <w:t>-40.8</w:t>
            </w:r>
          </w:p>
        </w:tc>
        <w:tc>
          <w:tcPr>
            <w:tcW w:w="849" w:type="dxa"/>
            <w:tcBorders>
              <w:top w:val="single" w:sz="4" w:space="0" w:color="293F5B"/>
              <w:bottom w:val="single" w:sz="4" w:space="0" w:color="293F5B"/>
            </w:tcBorders>
            <w:vAlign w:val="bottom"/>
          </w:tcPr>
          <w:p w14:paraId="78F35BFD" w14:textId="77777777" w:rsidR="00BB2CB4" w:rsidRPr="00222C32" w:rsidRDefault="000674DA">
            <w:pPr>
              <w:pStyle w:val="Summarytabletextrightalignedbold"/>
            </w:pPr>
            <w:r w:rsidRPr="00222C32">
              <w:t>-15.8</w:t>
            </w:r>
          </w:p>
        </w:tc>
      </w:tr>
      <w:tr w:rsidR="00D54A3F" w:rsidRPr="00222C32" w14:paraId="66481B04" w14:textId="77777777" w:rsidTr="00D54A3F">
        <w:tc>
          <w:tcPr>
            <w:tcW w:w="3465" w:type="dxa"/>
            <w:tcMar>
              <w:right w:w="0" w:type="dxa"/>
            </w:tcMar>
            <w:vAlign w:val="bottom"/>
          </w:tcPr>
          <w:p w14:paraId="129053A5" w14:textId="787446CC" w:rsidR="00D54A3F" w:rsidRPr="00222C32" w:rsidRDefault="00D54A3F" w:rsidP="00D54A3F">
            <w:pPr>
              <w:pStyle w:val="SummaryPortfolioTitle-BP2"/>
            </w:pPr>
            <w:r w:rsidRPr="00222C32">
              <w:t xml:space="preserve">INFRASTRUCTURE, TRANSPORT, REGIONAL DEVELOPMENT, </w:t>
            </w:r>
            <w:r w:rsidRPr="007D69BE">
              <w:rPr>
                <w:rFonts w:ascii="Arial Bold" w:hAnsi="Arial Bold"/>
                <w:spacing w:val="-2"/>
              </w:rPr>
              <w:t>COMMUNICATIONS, SPORT AND THE ARTS</w:t>
            </w:r>
          </w:p>
        </w:tc>
        <w:tc>
          <w:tcPr>
            <w:tcW w:w="849" w:type="dxa"/>
            <w:tcBorders>
              <w:top w:val="single" w:sz="4" w:space="0" w:color="293F5B"/>
            </w:tcBorders>
          </w:tcPr>
          <w:p w14:paraId="45E5A7AC" w14:textId="77777777" w:rsidR="00D54A3F" w:rsidRPr="00222C32" w:rsidRDefault="00D54A3F" w:rsidP="00D54A3F">
            <w:pPr>
              <w:pStyle w:val="MeasureTableTextRightAlignedBefore6ptAfter1pt"/>
            </w:pPr>
          </w:p>
        </w:tc>
        <w:tc>
          <w:tcPr>
            <w:tcW w:w="849" w:type="dxa"/>
            <w:tcBorders>
              <w:top w:val="single" w:sz="4" w:space="0" w:color="293F5B"/>
            </w:tcBorders>
            <w:shd w:val="clear" w:color="auto" w:fill="E6F2FF"/>
          </w:tcPr>
          <w:p w14:paraId="165E5D4F" w14:textId="77777777" w:rsidR="00D54A3F" w:rsidRPr="00222C32" w:rsidRDefault="00D54A3F" w:rsidP="00D54A3F">
            <w:pPr>
              <w:pStyle w:val="MeasureTableTextRightAlignedBefore6ptAfter1pt"/>
            </w:pPr>
          </w:p>
        </w:tc>
        <w:tc>
          <w:tcPr>
            <w:tcW w:w="849" w:type="dxa"/>
            <w:tcBorders>
              <w:top w:val="single" w:sz="4" w:space="0" w:color="293F5B"/>
            </w:tcBorders>
          </w:tcPr>
          <w:p w14:paraId="3D2E61C9" w14:textId="77777777" w:rsidR="00D54A3F" w:rsidRPr="00222C32" w:rsidRDefault="00D54A3F" w:rsidP="00D54A3F">
            <w:pPr>
              <w:pStyle w:val="MeasureTableTextRightAlignedBefore6ptAfter1pt"/>
            </w:pPr>
          </w:p>
        </w:tc>
        <w:tc>
          <w:tcPr>
            <w:tcW w:w="849" w:type="dxa"/>
            <w:tcBorders>
              <w:top w:val="single" w:sz="4" w:space="0" w:color="293F5B"/>
            </w:tcBorders>
          </w:tcPr>
          <w:p w14:paraId="376A3DCD" w14:textId="77777777" w:rsidR="00D54A3F" w:rsidRPr="00222C32" w:rsidRDefault="00D54A3F" w:rsidP="00D54A3F">
            <w:pPr>
              <w:pStyle w:val="MeasureTableTextRightAlignedBefore6ptAfter1pt"/>
            </w:pPr>
          </w:p>
        </w:tc>
        <w:tc>
          <w:tcPr>
            <w:tcW w:w="849" w:type="dxa"/>
            <w:tcBorders>
              <w:top w:val="single" w:sz="4" w:space="0" w:color="293F5B"/>
            </w:tcBorders>
          </w:tcPr>
          <w:p w14:paraId="01D1BCE4" w14:textId="77777777" w:rsidR="00D54A3F" w:rsidRPr="00222C32" w:rsidRDefault="00D54A3F" w:rsidP="00D54A3F">
            <w:pPr>
              <w:pStyle w:val="MeasureTableTextRightAlignedBefore6ptAfter1pt"/>
            </w:pPr>
          </w:p>
        </w:tc>
      </w:tr>
      <w:tr w:rsidR="00BB2CB4" w:rsidRPr="00222C32" w14:paraId="2A0E27C5" w14:textId="77777777" w:rsidTr="00D54A3F">
        <w:tc>
          <w:tcPr>
            <w:tcW w:w="3465" w:type="dxa"/>
            <w:vAlign w:val="bottom"/>
          </w:tcPr>
          <w:p w14:paraId="77415E64" w14:textId="77777777" w:rsidR="00BB2CB4" w:rsidRPr="00222C32" w:rsidRDefault="000674DA">
            <w:pPr>
              <w:pStyle w:val="SummaryAgencyTitle-BP2"/>
            </w:pPr>
            <w:r w:rsidRPr="00222C32">
              <w:t>Australian Broadcasting Corporation</w:t>
            </w:r>
          </w:p>
        </w:tc>
        <w:tc>
          <w:tcPr>
            <w:tcW w:w="849" w:type="dxa"/>
          </w:tcPr>
          <w:p w14:paraId="21CF0F6D" w14:textId="77777777" w:rsidR="00BB2CB4" w:rsidRPr="00222C32" w:rsidRDefault="00BB2CB4">
            <w:pPr>
              <w:pStyle w:val="SummaryAgencyTitle-BP2"/>
            </w:pPr>
          </w:p>
        </w:tc>
        <w:tc>
          <w:tcPr>
            <w:tcW w:w="849" w:type="dxa"/>
            <w:shd w:val="clear" w:color="auto" w:fill="E6F2FF"/>
          </w:tcPr>
          <w:p w14:paraId="1F8F8E0F" w14:textId="77777777" w:rsidR="00BB2CB4" w:rsidRPr="00222C32" w:rsidRDefault="00BB2CB4">
            <w:pPr>
              <w:pStyle w:val="SummaryAgencyTitle-BP2"/>
            </w:pPr>
          </w:p>
        </w:tc>
        <w:tc>
          <w:tcPr>
            <w:tcW w:w="849" w:type="dxa"/>
          </w:tcPr>
          <w:p w14:paraId="61499789" w14:textId="77777777" w:rsidR="00BB2CB4" w:rsidRPr="00222C32" w:rsidRDefault="00BB2CB4">
            <w:pPr>
              <w:pStyle w:val="SummaryAgencyTitle-BP2"/>
            </w:pPr>
          </w:p>
        </w:tc>
        <w:tc>
          <w:tcPr>
            <w:tcW w:w="849" w:type="dxa"/>
          </w:tcPr>
          <w:p w14:paraId="5F47448D" w14:textId="77777777" w:rsidR="00BB2CB4" w:rsidRPr="00222C32" w:rsidRDefault="00BB2CB4">
            <w:pPr>
              <w:pStyle w:val="SummaryAgencyTitle-BP2"/>
            </w:pPr>
          </w:p>
        </w:tc>
        <w:tc>
          <w:tcPr>
            <w:tcW w:w="849" w:type="dxa"/>
          </w:tcPr>
          <w:p w14:paraId="4C1DB0A2" w14:textId="77777777" w:rsidR="00BB2CB4" w:rsidRPr="00222C32" w:rsidRDefault="00BB2CB4">
            <w:pPr>
              <w:pStyle w:val="SummaryAgencyTitle-BP2"/>
            </w:pPr>
          </w:p>
        </w:tc>
      </w:tr>
      <w:tr w:rsidR="00BB2CB4" w:rsidRPr="00222C32" w14:paraId="2B3B0EC3" w14:textId="77777777" w:rsidTr="00D54A3F">
        <w:tc>
          <w:tcPr>
            <w:tcW w:w="3465" w:type="dxa"/>
            <w:vAlign w:val="bottom"/>
          </w:tcPr>
          <w:p w14:paraId="7C188023" w14:textId="77777777" w:rsidR="00BB2CB4" w:rsidRPr="00222C32" w:rsidRDefault="000674DA">
            <w:pPr>
              <w:pStyle w:val="SummaryMeasureTitlewithTheme"/>
            </w:pPr>
            <w:r w:rsidRPr="00222C32">
              <w:t>Additional Funding for the Australian Broadcasting Corporation</w:t>
            </w:r>
          </w:p>
        </w:tc>
        <w:tc>
          <w:tcPr>
            <w:tcW w:w="849" w:type="dxa"/>
            <w:vAlign w:val="bottom"/>
          </w:tcPr>
          <w:p w14:paraId="52F8BB2B" w14:textId="77777777" w:rsidR="00BB2CB4" w:rsidRPr="00222C32" w:rsidRDefault="000674DA">
            <w:pPr>
              <w:pStyle w:val="Summarytabletextrightaligned"/>
            </w:pPr>
            <w:r w:rsidRPr="00222C32">
              <w:t>-</w:t>
            </w:r>
          </w:p>
        </w:tc>
        <w:tc>
          <w:tcPr>
            <w:tcW w:w="849" w:type="dxa"/>
            <w:shd w:val="clear" w:color="auto" w:fill="E6F2FF"/>
            <w:vAlign w:val="bottom"/>
          </w:tcPr>
          <w:p w14:paraId="2B315596" w14:textId="77777777" w:rsidR="00BB2CB4" w:rsidRPr="00222C32" w:rsidRDefault="000674DA">
            <w:pPr>
              <w:pStyle w:val="Summarytabletextrightaligned"/>
            </w:pPr>
            <w:r w:rsidRPr="00222C32">
              <w:t>-</w:t>
            </w:r>
          </w:p>
        </w:tc>
        <w:tc>
          <w:tcPr>
            <w:tcW w:w="849" w:type="dxa"/>
            <w:vAlign w:val="bottom"/>
          </w:tcPr>
          <w:p w14:paraId="1EAD23BA" w14:textId="77777777" w:rsidR="00BB2CB4" w:rsidRPr="00222C32" w:rsidRDefault="000674DA">
            <w:pPr>
              <w:pStyle w:val="Summarytabletextrightaligned"/>
            </w:pPr>
            <w:r w:rsidRPr="00222C32">
              <w:t>16.7</w:t>
            </w:r>
          </w:p>
        </w:tc>
        <w:tc>
          <w:tcPr>
            <w:tcW w:w="849" w:type="dxa"/>
            <w:vAlign w:val="bottom"/>
          </w:tcPr>
          <w:p w14:paraId="73404DF1" w14:textId="77777777" w:rsidR="00BB2CB4" w:rsidRPr="00222C32" w:rsidRDefault="000674DA">
            <w:pPr>
              <w:pStyle w:val="Summarytabletextrightaligned"/>
            </w:pPr>
            <w:r w:rsidRPr="00222C32">
              <w:t>16.7</w:t>
            </w:r>
          </w:p>
        </w:tc>
        <w:tc>
          <w:tcPr>
            <w:tcW w:w="849" w:type="dxa"/>
            <w:vAlign w:val="bottom"/>
          </w:tcPr>
          <w:p w14:paraId="04FAF94F" w14:textId="77777777" w:rsidR="00BB2CB4" w:rsidRPr="00222C32" w:rsidRDefault="000674DA">
            <w:pPr>
              <w:pStyle w:val="Summarytabletextrightaligned"/>
            </w:pPr>
            <w:r w:rsidRPr="00222C32">
              <w:t>16.7</w:t>
            </w:r>
          </w:p>
        </w:tc>
      </w:tr>
      <w:tr w:rsidR="00BB2CB4" w:rsidRPr="00222C32" w14:paraId="62C27F1A" w14:textId="77777777" w:rsidTr="00D54A3F">
        <w:tc>
          <w:tcPr>
            <w:tcW w:w="3465" w:type="dxa"/>
            <w:vAlign w:val="bottom"/>
          </w:tcPr>
          <w:p w14:paraId="13B2181F" w14:textId="77777777" w:rsidR="00BB2CB4" w:rsidRPr="00222C32" w:rsidRDefault="000674DA">
            <w:pPr>
              <w:pStyle w:val="SummaryAgencyTitle-BP2"/>
            </w:pPr>
            <w:r w:rsidRPr="00222C32">
              <w:t>Australian Communications and Media Authority</w:t>
            </w:r>
          </w:p>
        </w:tc>
        <w:tc>
          <w:tcPr>
            <w:tcW w:w="849" w:type="dxa"/>
          </w:tcPr>
          <w:p w14:paraId="32542977" w14:textId="77777777" w:rsidR="00BB2CB4" w:rsidRPr="00222C32" w:rsidRDefault="00BB2CB4">
            <w:pPr>
              <w:pStyle w:val="SummaryAgencyTitle-BP2"/>
            </w:pPr>
          </w:p>
        </w:tc>
        <w:tc>
          <w:tcPr>
            <w:tcW w:w="849" w:type="dxa"/>
            <w:shd w:val="clear" w:color="auto" w:fill="E6F2FF"/>
          </w:tcPr>
          <w:p w14:paraId="61C789A7" w14:textId="77777777" w:rsidR="00BB2CB4" w:rsidRPr="00222C32" w:rsidRDefault="00BB2CB4">
            <w:pPr>
              <w:pStyle w:val="SummaryAgencyTitle-BP2"/>
            </w:pPr>
          </w:p>
        </w:tc>
        <w:tc>
          <w:tcPr>
            <w:tcW w:w="849" w:type="dxa"/>
          </w:tcPr>
          <w:p w14:paraId="3EF8BA30" w14:textId="77777777" w:rsidR="00BB2CB4" w:rsidRPr="00222C32" w:rsidRDefault="00BB2CB4">
            <w:pPr>
              <w:pStyle w:val="SummaryAgencyTitle-BP2"/>
            </w:pPr>
          </w:p>
        </w:tc>
        <w:tc>
          <w:tcPr>
            <w:tcW w:w="849" w:type="dxa"/>
          </w:tcPr>
          <w:p w14:paraId="670B9A34" w14:textId="77777777" w:rsidR="00BB2CB4" w:rsidRPr="00222C32" w:rsidRDefault="00BB2CB4">
            <w:pPr>
              <w:pStyle w:val="SummaryAgencyTitle-BP2"/>
            </w:pPr>
          </w:p>
        </w:tc>
        <w:tc>
          <w:tcPr>
            <w:tcW w:w="849" w:type="dxa"/>
          </w:tcPr>
          <w:p w14:paraId="4327A3C4" w14:textId="77777777" w:rsidR="00BB2CB4" w:rsidRPr="00222C32" w:rsidRDefault="00BB2CB4">
            <w:pPr>
              <w:pStyle w:val="SummaryAgencyTitle-BP2"/>
            </w:pPr>
          </w:p>
        </w:tc>
      </w:tr>
      <w:tr w:rsidR="00BB2CB4" w:rsidRPr="00222C32" w14:paraId="2C4588DA" w14:textId="77777777" w:rsidTr="00D54A3F">
        <w:tc>
          <w:tcPr>
            <w:tcW w:w="3465" w:type="dxa"/>
            <w:vAlign w:val="bottom"/>
          </w:tcPr>
          <w:p w14:paraId="5A92EDAC" w14:textId="77777777" w:rsidR="00BB2CB4" w:rsidRPr="00222C32" w:rsidRDefault="000674DA">
            <w:pPr>
              <w:pStyle w:val="SummaryMeasureTitlewithTheme"/>
            </w:pPr>
            <w:r w:rsidRPr="00222C32">
              <w:t>Supporting Connectivity(b)</w:t>
            </w:r>
          </w:p>
        </w:tc>
        <w:tc>
          <w:tcPr>
            <w:tcW w:w="849" w:type="dxa"/>
            <w:vAlign w:val="bottom"/>
          </w:tcPr>
          <w:p w14:paraId="51B4C888" w14:textId="77777777" w:rsidR="00BB2CB4" w:rsidRPr="00222C32" w:rsidRDefault="000674DA">
            <w:pPr>
              <w:pStyle w:val="Summarytabletextrightaligned"/>
            </w:pPr>
            <w:r w:rsidRPr="00222C32">
              <w:t>-</w:t>
            </w:r>
          </w:p>
        </w:tc>
        <w:tc>
          <w:tcPr>
            <w:tcW w:w="849" w:type="dxa"/>
            <w:shd w:val="clear" w:color="auto" w:fill="E6F2FF"/>
            <w:vAlign w:val="bottom"/>
          </w:tcPr>
          <w:p w14:paraId="1F7DFC93" w14:textId="77777777" w:rsidR="00BB2CB4" w:rsidRPr="00222C32" w:rsidRDefault="000674DA">
            <w:pPr>
              <w:pStyle w:val="Summarytabletextrightaligned"/>
            </w:pPr>
            <w:r w:rsidRPr="00222C32">
              <w:t>2.3</w:t>
            </w:r>
          </w:p>
        </w:tc>
        <w:tc>
          <w:tcPr>
            <w:tcW w:w="849" w:type="dxa"/>
            <w:vAlign w:val="bottom"/>
          </w:tcPr>
          <w:p w14:paraId="3F4F4DD9" w14:textId="77777777" w:rsidR="00BB2CB4" w:rsidRPr="00222C32" w:rsidRDefault="000674DA">
            <w:pPr>
              <w:pStyle w:val="Summarytabletextrightaligned"/>
            </w:pPr>
            <w:r w:rsidRPr="00222C32">
              <w:t>6.7</w:t>
            </w:r>
          </w:p>
        </w:tc>
        <w:tc>
          <w:tcPr>
            <w:tcW w:w="849" w:type="dxa"/>
            <w:vAlign w:val="bottom"/>
          </w:tcPr>
          <w:p w14:paraId="606A4B62" w14:textId="77777777" w:rsidR="00BB2CB4" w:rsidRPr="00222C32" w:rsidRDefault="000674DA">
            <w:pPr>
              <w:pStyle w:val="Summarytabletextrightaligned"/>
            </w:pPr>
            <w:r w:rsidRPr="00222C32">
              <w:t>7.2</w:t>
            </w:r>
          </w:p>
        </w:tc>
        <w:tc>
          <w:tcPr>
            <w:tcW w:w="849" w:type="dxa"/>
            <w:vAlign w:val="bottom"/>
          </w:tcPr>
          <w:p w14:paraId="68DAC85D" w14:textId="77777777" w:rsidR="00BB2CB4" w:rsidRPr="00222C32" w:rsidRDefault="000674DA">
            <w:pPr>
              <w:pStyle w:val="Summarytabletextrightaligned"/>
            </w:pPr>
            <w:r w:rsidRPr="00222C32">
              <w:t>7.2</w:t>
            </w:r>
          </w:p>
        </w:tc>
      </w:tr>
      <w:tr w:rsidR="00BB2CB4" w:rsidRPr="00222C32" w14:paraId="333273F1" w14:textId="77777777" w:rsidTr="00D54A3F">
        <w:tc>
          <w:tcPr>
            <w:tcW w:w="3465" w:type="dxa"/>
            <w:vAlign w:val="bottom"/>
          </w:tcPr>
          <w:p w14:paraId="029FF0B6" w14:textId="77777777" w:rsidR="00BB2CB4" w:rsidRPr="00222C32" w:rsidRDefault="000674DA">
            <w:pPr>
              <w:pStyle w:val="SummaryAgencyTitle-BP2"/>
            </w:pPr>
            <w:r w:rsidRPr="00222C32">
              <w:t>Department of Infrastructure, Transport, Regional Development, Communications, Sport and the Arts</w:t>
            </w:r>
          </w:p>
        </w:tc>
        <w:tc>
          <w:tcPr>
            <w:tcW w:w="849" w:type="dxa"/>
          </w:tcPr>
          <w:p w14:paraId="4CE21D9B" w14:textId="77777777" w:rsidR="00BB2CB4" w:rsidRPr="00222C32" w:rsidRDefault="00BB2CB4">
            <w:pPr>
              <w:pStyle w:val="SummaryAgencyTitle-BP2"/>
            </w:pPr>
          </w:p>
        </w:tc>
        <w:tc>
          <w:tcPr>
            <w:tcW w:w="849" w:type="dxa"/>
            <w:shd w:val="clear" w:color="auto" w:fill="E6F2FF"/>
          </w:tcPr>
          <w:p w14:paraId="19969296" w14:textId="77777777" w:rsidR="00BB2CB4" w:rsidRPr="00222C32" w:rsidRDefault="00BB2CB4">
            <w:pPr>
              <w:pStyle w:val="SummaryAgencyTitle-BP2"/>
            </w:pPr>
          </w:p>
        </w:tc>
        <w:tc>
          <w:tcPr>
            <w:tcW w:w="849" w:type="dxa"/>
          </w:tcPr>
          <w:p w14:paraId="408255B7" w14:textId="77777777" w:rsidR="00BB2CB4" w:rsidRPr="00222C32" w:rsidRDefault="00BB2CB4">
            <w:pPr>
              <w:pStyle w:val="SummaryAgencyTitle-BP2"/>
            </w:pPr>
          </w:p>
        </w:tc>
        <w:tc>
          <w:tcPr>
            <w:tcW w:w="849" w:type="dxa"/>
          </w:tcPr>
          <w:p w14:paraId="631F236C" w14:textId="77777777" w:rsidR="00BB2CB4" w:rsidRPr="00222C32" w:rsidRDefault="00BB2CB4">
            <w:pPr>
              <w:pStyle w:val="SummaryAgencyTitle-BP2"/>
            </w:pPr>
          </w:p>
        </w:tc>
        <w:tc>
          <w:tcPr>
            <w:tcW w:w="849" w:type="dxa"/>
          </w:tcPr>
          <w:p w14:paraId="3C9ECD30" w14:textId="77777777" w:rsidR="00BB2CB4" w:rsidRPr="00222C32" w:rsidRDefault="00BB2CB4">
            <w:pPr>
              <w:pStyle w:val="SummaryAgencyTitle-BP2"/>
            </w:pPr>
          </w:p>
        </w:tc>
      </w:tr>
      <w:tr w:rsidR="00BB2CB4" w:rsidRPr="00222C32" w14:paraId="6FDD1A00" w14:textId="77777777" w:rsidTr="00D54A3F">
        <w:tc>
          <w:tcPr>
            <w:tcW w:w="3465" w:type="dxa"/>
            <w:vAlign w:val="bottom"/>
          </w:tcPr>
          <w:p w14:paraId="3196C5A9" w14:textId="77777777" w:rsidR="00BB2CB4" w:rsidRPr="00222C32" w:rsidRDefault="000674DA">
            <w:pPr>
              <w:pStyle w:val="SummaryMeasureTitlewithTheme"/>
            </w:pPr>
            <w:r w:rsidRPr="00222C32">
              <w:t>Building a Better Future Through Considered Infrastructure Investment</w:t>
            </w:r>
          </w:p>
        </w:tc>
        <w:tc>
          <w:tcPr>
            <w:tcW w:w="849" w:type="dxa"/>
            <w:vAlign w:val="bottom"/>
          </w:tcPr>
          <w:p w14:paraId="0029A776" w14:textId="77777777" w:rsidR="00BB2CB4" w:rsidRPr="00222C32" w:rsidRDefault="000674DA">
            <w:pPr>
              <w:pStyle w:val="Summarytabletextrightaligned"/>
            </w:pPr>
            <w:r w:rsidRPr="00222C32">
              <w:t>-</w:t>
            </w:r>
          </w:p>
        </w:tc>
        <w:tc>
          <w:tcPr>
            <w:tcW w:w="849" w:type="dxa"/>
            <w:shd w:val="clear" w:color="auto" w:fill="E6F2FF"/>
            <w:vAlign w:val="bottom"/>
          </w:tcPr>
          <w:p w14:paraId="5909FCC8" w14:textId="77777777" w:rsidR="00BB2CB4" w:rsidRPr="00222C32" w:rsidRDefault="000674DA">
            <w:pPr>
              <w:pStyle w:val="Summarytabletextrightaligned"/>
            </w:pPr>
            <w:r w:rsidRPr="00222C32">
              <w:t>2.5</w:t>
            </w:r>
          </w:p>
        </w:tc>
        <w:tc>
          <w:tcPr>
            <w:tcW w:w="849" w:type="dxa"/>
            <w:vAlign w:val="bottom"/>
          </w:tcPr>
          <w:p w14:paraId="6F337738" w14:textId="77777777" w:rsidR="00BB2CB4" w:rsidRPr="00222C32" w:rsidRDefault="000674DA">
            <w:pPr>
              <w:pStyle w:val="Summarytabletextrightaligned"/>
            </w:pPr>
            <w:r w:rsidRPr="00222C32">
              <w:t>-</w:t>
            </w:r>
          </w:p>
        </w:tc>
        <w:tc>
          <w:tcPr>
            <w:tcW w:w="849" w:type="dxa"/>
            <w:vAlign w:val="bottom"/>
          </w:tcPr>
          <w:p w14:paraId="2471A385" w14:textId="77777777" w:rsidR="00BB2CB4" w:rsidRPr="00222C32" w:rsidRDefault="000674DA">
            <w:pPr>
              <w:pStyle w:val="Summarytabletextrightaligned"/>
            </w:pPr>
            <w:r w:rsidRPr="00222C32">
              <w:t>-</w:t>
            </w:r>
          </w:p>
        </w:tc>
        <w:tc>
          <w:tcPr>
            <w:tcW w:w="849" w:type="dxa"/>
            <w:vAlign w:val="bottom"/>
          </w:tcPr>
          <w:p w14:paraId="369AE8AE" w14:textId="77777777" w:rsidR="00BB2CB4" w:rsidRPr="00222C32" w:rsidRDefault="000674DA">
            <w:pPr>
              <w:pStyle w:val="Summarytabletextrightaligned"/>
            </w:pPr>
            <w:r w:rsidRPr="00222C32">
              <w:t>-</w:t>
            </w:r>
          </w:p>
        </w:tc>
      </w:tr>
      <w:tr w:rsidR="00BB2CB4" w:rsidRPr="00222C32" w14:paraId="553FF423" w14:textId="77777777" w:rsidTr="00D54A3F">
        <w:tc>
          <w:tcPr>
            <w:tcW w:w="3465" w:type="dxa"/>
            <w:vAlign w:val="bottom"/>
          </w:tcPr>
          <w:p w14:paraId="103B5416" w14:textId="77777777" w:rsidR="00BB2CB4" w:rsidRPr="00222C32" w:rsidRDefault="000674DA">
            <w:pPr>
              <w:pStyle w:val="SummaryMeasureTitlewithTheme"/>
            </w:pPr>
            <w:r w:rsidRPr="00222C32">
              <w:t>Further Commitments Under the National Cultural Policy – Revive</w:t>
            </w:r>
          </w:p>
        </w:tc>
        <w:tc>
          <w:tcPr>
            <w:tcW w:w="849" w:type="dxa"/>
            <w:vAlign w:val="bottom"/>
          </w:tcPr>
          <w:p w14:paraId="4F157AA0" w14:textId="77777777" w:rsidR="00BB2CB4" w:rsidRPr="00222C32" w:rsidRDefault="000674DA">
            <w:pPr>
              <w:pStyle w:val="Summarytabletextrightaligned"/>
            </w:pPr>
            <w:r w:rsidRPr="00222C32">
              <w:t>-</w:t>
            </w:r>
          </w:p>
        </w:tc>
        <w:tc>
          <w:tcPr>
            <w:tcW w:w="849" w:type="dxa"/>
            <w:shd w:val="clear" w:color="auto" w:fill="E6F2FF"/>
            <w:vAlign w:val="bottom"/>
          </w:tcPr>
          <w:p w14:paraId="060E3388" w14:textId="77777777" w:rsidR="00BB2CB4" w:rsidRPr="00222C32" w:rsidRDefault="000674DA">
            <w:pPr>
              <w:pStyle w:val="Summarytabletextrightaligned"/>
            </w:pPr>
            <w:r w:rsidRPr="00222C32">
              <w:t>8.8</w:t>
            </w:r>
          </w:p>
        </w:tc>
        <w:tc>
          <w:tcPr>
            <w:tcW w:w="849" w:type="dxa"/>
            <w:vAlign w:val="bottom"/>
          </w:tcPr>
          <w:p w14:paraId="69DB8EFE" w14:textId="77777777" w:rsidR="00BB2CB4" w:rsidRPr="00222C32" w:rsidRDefault="000674DA">
            <w:pPr>
              <w:pStyle w:val="Summarytabletextrightaligned"/>
            </w:pPr>
            <w:r w:rsidRPr="00222C32">
              <w:t>16.5</w:t>
            </w:r>
          </w:p>
        </w:tc>
        <w:tc>
          <w:tcPr>
            <w:tcW w:w="849" w:type="dxa"/>
            <w:vAlign w:val="bottom"/>
          </w:tcPr>
          <w:p w14:paraId="27099505" w14:textId="77777777" w:rsidR="00BB2CB4" w:rsidRPr="00222C32" w:rsidRDefault="000674DA">
            <w:pPr>
              <w:pStyle w:val="Summarytabletextrightaligned"/>
            </w:pPr>
            <w:r w:rsidRPr="00222C32">
              <w:t>4.0</w:t>
            </w:r>
          </w:p>
        </w:tc>
        <w:tc>
          <w:tcPr>
            <w:tcW w:w="849" w:type="dxa"/>
            <w:vAlign w:val="bottom"/>
          </w:tcPr>
          <w:p w14:paraId="35A6A620" w14:textId="77777777" w:rsidR="00BB2CB4" w:rsidRPr="00222C32" w:rsidRDefault="000674DA">
            <w:pPr>
              <w:pStyle w:val="Summarytabletextrightaligned"/>
            </w:pPr>
            <w:r w:rsidRPr="00222C32">
              <w:t>-</w:t>
            </w:r>
          </w:p>
        </w:tc>
      </w:tr>
      <w:tr w:rsidR="00BB2CB4" w:rsidRPr="00222C32" w14:paraId="025E0A8F" w14:textId="77777777" w:rsidTr="00D54A3F">
        <w:tc>
          <w:tcPr>
            <w:tcW w:w="3465" w:type="dxa"/>
            <w:vAlign w:val="bottom"/>
          </w:tcPr>
          <w:p w14:paraId="1185CCBE" w14:textId="77777777" w:rsidR="00BB2CB4" w:rsidRPr="00222C32" w:rsidRDefault="000674DA">
            <w:pPr>
              <w:pStyle w:val="SummaryMeasureTitlewithTheme"/>
            </w:pPr>
            <w:r w:rsidRPr="00222C32">
              <w:t>Investment in Sport</w:t>
            </w:r>
          </w:p>
        </w:tc>
        <w:tc>
          <w:tcPr>
            <w:tcW w:w="849" w:type="dxa"/>
            <w:vAlign w:val="bottom"/>
          </w:tcPr>
          <w:p w14:paraId="550C4953" w14:textId="77777777" w:rsidR="00BB2CB4" w:rsidRPr="00222C32" w:rsidRDefault="000674DA">
            <w:pPr>
              <w:pStyle w:val="Summarytabletextrightaligned"/>
            </w:pPr>
            <w:r w:rsidRPr="00222C32">
              <w:t>-</w:t>
            </w:r>
          </w:p>
        </w:tc>
        <w:tc>
          <w:tcPr>
            <w:tcW w:w="849" w:type="dxa"/>
            <w:shd w:val="clear" w:color="auto" w:fill="E6F2FF"/>
            <w:vAlign w:val="bottom"/>
          </w:tcPr>
          <w:p w14:paraId="5365C6C0" w14:textId="77777777" w:rsidR="00BB2CB4" w:rsidRPr="00222C32" w:rsidRDefault="000674DA">
            <w:pPr>
              <w:pStyle w:val="Summarytabletextrightaligned"/>
            </w:pPr>
            <w:r w:rsidRPr="00222C32">
              <w:t>-</w:t>
            </w:r>
          </w:p>
        </w:tc>
        <w:tc>
          <w:tcPr>
            <w:tcW w:w="849" w:type="dxa"/>
            <w:vAlign w:val="bottom"/>
          </w:tcPr>
          <w:p w14:paraId="0286862D" w14:textId="77777777" w:rsidR="00BB2CB4" w:rsidRPr="00222C32" w:rsidRDefault="000674DA">
            <w:pPr>
              <w:pStyle w:val="Summarytabletextrightaligned"/>
            </w:pPr>
            <w:r w:rsidRPr="00222C32">
              <w:t>-</w:t>
            </w:r>
          </w:p>
        </w:tc>
        <w:tc>
          <w:tcPr>
            <w:tcW w:w="849" w:type="dxa"/>
            <w:vAlign w:val="bottom"/>
          </w:tcPr>
          <w:p w14:paraId="7DD61854" w14:textId="77777777" w:rsidR="00BB2CB4" w:rsidRPr="00222C32" w:rsidRDefault="000674DA">
            <w:pPr>
              <w:pStyle w:val="Summarytabletextrightaligned"/>
            </w:pPr>
            <w:r w:rsidRPr="00222C32">
              <w:t>-</w:t>
            </w:r>
          </w:p>
        </w:tc>
        <w:tc>
          <w:tcPr>
            <w:tcW w:w="849" w:type="dxa"/>
            <w:vAlign w:val="bottom"/>
          </w:tcPr>
          <w:p w14:paraId="19704043" w14:textId="77777777" w:rsidR="00BB2CB4" w:rsidRPr="00222C32" w:rsidRDefault="000674DA">
            <w:pPr>
              <w:pStyle w:val="Summarytabletextrightaligned"/>
            </w:pPr>
            <w:r w:rsidRPr="00222C32">
              <w:t>-</w:t>
            </w:r>
          </w:p>
        </w:tc>
      </w:tr>
      <w:tr w:rsidR="00BB2CB4" w:rsidRPr="00222C32" w14:paraId="3BEBF710" w14:textId="77777777" w:rsidTr="00D54A3F">
        <w:tc>
          <w:tcPr>
            <w:tcW w:w="3465" w:type="dxa"/>
            <w:vAlign w:val="bottom"/>
          </w:tcPr>
          <w:p w14:paraId="6CC7B69C" w14:textId="77777777" w:rsidR="00BB2CB4" w:rsidRPr="00222C32" w:rsidRDefault="000674DA">
            <w:pPr>
              <w:pStyle w:val="SummaryMeasureTitlewithTheme"/>
            </w:pPr>
            <w:r w:rsidRPr="00222C32">
              <w:t>Major and Local Community Infrastructure</w:t>
            </w:r>
          </w:p>
        </w:tc>
        <w:tc>
          <w:tcPr>
            <w:tcW w:w="849" w:type="dxa"/>
            <w:vAlign w:val="bottom"/>
          </w:tcPr>
          <w:p w14:paraId="44B57463" w14:textId="77777777" w:rsidR="00BB2CB4" w:rsidRPr="00222C32" w:rsidRDefault="000674DA">
            <w:pPr>
              <w:pStyle w:val="Summarytabletextrightaligned"/>
            </w:pPr>
            <w:r w:rsidRPr="00222C32">
              <w:t>-</w:t>
            </w:r>
          </w:p>
        </w:tc>
        <w:tc>
          <w:tcPr>
            <w:tcW w:w="849" w:type="dxa"/>
            <w:shd w:val="clear" w:color="auto" w:fill="E6F2FF"/>
            <w:vAlign w:val="bottom"/>
          </w:tcPr>
          <w:p w14:paraId="003ED229" w14:textId="77777777" w:rsidR="00BB2CB4" w:rsidRPr="00222C32" w:rsidRDefault="000674DA">
            <w:pPr>
              <w:pStyle w:val="Summarytabletextrightaligned"/>
            </w:pPr>
            <w:r w:rsidRPr="00222C32">
              <w:t>7.0</w:t>
            </w:r>
          </w:p>
        </w:tc>
        <w:tc>
          <w:tcPr>
            <w:tcW w:w="849" w:type="dxa"/>
            <w:vAlign w:val="bottom"/>
          </w:tcPr>
          <w:p w14:paraId="05111A5B" w14:textId="77777777" w:rsidR="00BB2CB4" w:rsidRPr="00222C32" w:rsidRDefault="000674DA">
            <w:pPr>
              <w:pStyle w:val="Summarytabletextrightaligned"/>
            </w:pPr>
            <w:r w:rsidRPr="00222C32">
              <w:t>43.5</w:t>
            </w:r>
          </w:p>
        </w:tc>
        <w:tc>
          <w:tcPr>
            <w:tcW w:w="849" w:type="dxa"/>
            <w:vAlign w:val="bottom"/>
          </w:tcPr>
          <w:p w14:paraId="7C2CD605" w14:textId="77777777" w:rsidR="00BB2CB4" w:rsidRPr="00222C32" w:rsidRDefault="000674DA">
            <w:pPr>
              <w:pStyle w:val="Summarytabletextrightaligned"/>
            </w:pPr>
            <w:r w:rsidRPr="00222C32">
              <w:t>173.9</w:t>
            </w:r>
          </w:p>
        </w:tc>
        <w:tc>
          <w:tcPr>
            <w:tcW w:w="849" w:type="dxa"/>
            <w:vAlign w:val="bottom"/>
          </w:tcPr>
          <w:p w14:paraId="5F1B7889" w14:textId="77777777" w:rsidR="00BB2CB4" w:rsidRPr="00222C32" w:rsidRDefault="000674DA">
            <w:pPr>
              <w:pStyle w:val="Summarytabletextrightaligned"/>
            </w:pPr>
            <w:r w:rsidRPr="00222C32">
              <w:t>240.0</w:t>
            </w:r>
          </w:p>
        </w:tc>
      </w:tr>
      <w:tr w:rsidR="00BB2CB4" w:rsidRPr="00222C32" w14:paraId="56843DB5" w14:textId="77777777" w:rsidTr="00D54A3F">
        <w:tc>
          <w:tcPr>
            <w:tcW w:w="3465" w:type="dxa"/>
            <w:vAlign w:val="bottom"/>
          </w:tcPr>
          <w:p w14:paraId="6671EBBD" w14:textId="77777777" w:rsidR="00BB2CB4" w:rsidRPr="00222C32" w:rsidRDefault="000674DA">
            <w:pPr>
              <w:pStyle w:val="SummaryMeasureTitlewithTheme"/>
            </w:pPr>
            <w:r w:rsidRPr="00222C32">
              <w:t>National Cultural Policy – National Collecting Institutions</w:t>
            </w:r>
          </w:p>
        </w:tc>
        <w:tc>
          <w:tcPr>
            <w:tcW w:w="849" w:type="dxa"/>
            <w:vAlign w:val="bottom"/>
          </w:tcPr>
          <w:p w14:paraId="3B6DA414" w14:textId="77777777" w:rsidR="00BB2CB4" w:rsidRPr="00222C32" w:rsidRDefault="000674DA">
            <w:pPr>
              <w:pStyle w:val="Summarytabletextrightaligned"/>
            </w:pPr>
            <w:r w:rsidRPr="00222C32">
              <w:t>-</w:t>
            </w:r>
          </w:p>
        </w:tc>
        <w:tc>
          <w:tcPr>
            <w:tcW w:w="849" w:type="dxa"/>
            <w:shd w:val="clear" w:color="auto" w:fill="E6F2FF"/>
            <w:vAlign w:val="bottom"/>
          </w:tcPr>
          <w:p w14:paraId="783C54C0" w14:textId="77777777" w:rsidR="00BB2CB4" w:rsidRPr="00222C32" w:rsidRDefault="000674DA">
            <w:pPr>
              <w:pStyle w:val="Summarytabletextrightaligned"/>
            </w:pPr>
            <w:r w:rsidRPr="00222C32">
              <w:t>-3.0</w:t>
            </w:r>
          </w:p>
        </w:tc>
        <w:tc>
          <w:tcPr>
            <w:tcW w:w="849" w:type="dxa"/>
            <w:vAlign w:val="bottom"/>
          </w:tcPr>
          <w:p w14:paraId="3D8C4083" w14:textId="77777777" w:rsidR="00BB2CB4" w:rsidRPr="00222C32" w:rsidRDefault="000674DA">
            <w:pPr>
              <w:pStyle w:val="Summarytabletextrightaligned"/>
            </w:pPr>
            <w:r w:rsidRPr="00222C32">
              <w:t>-</w:t>
            </w:r>
          </w:p>
        </w:tc>
        <w:tc>
          <w:tcPr>
            <w:tcW w:w="849" w:type="dxa"/>
            <w:vAlign w:val="bottom"/>
          </w:tcPr>
          <w:p w14:paraId="4893B7AF" w14:textId="77777777" w:rsidR="00BB2CB4" w:rsidRPr="00222C32" w:rsidRDefault="000674DA">
            <w:pPr>
              <w:pStyle w:val="Summarytabletextrightaligned"/>
            </w:pPr>
            <w:r w:rsidRPr="00222C32">
              <w:t>-</w:t>
            </w:r>
          </w:p>
        </w:tc>
        <w:tc>
          <w:tcPr>
            <w:tcW w:w="849" w:type="dxa"/>
            <w:vAlign w:val="bottom"/>
          </w:tcPr>
          <w:p w14:paraId="65FA8319" w14:textId="77777777" w:rsidR="00BB2CB4" w:rsidRPr="00222C32" w:rsidRDefault="000674DA">
            <w:pPr>
              <w:pStyle w:val="Summarytabletextrightaligned"/>
            </w:pPr>
            <w:r w:rsidRPr="00222C32">
              <w:t>-</w:t>
            </w:r>
          </w:p>
        </w:tc>
      </w:tr>
      <w:tr w:rsidR="00BB2CB4" w:rsidRPr="00222C32" w14:paraId="72D6399D" w14:textId="77777777" w:rsidTr="00D54A3F">
        <w:tc>
          <w:tcPr>
            <w:tcW w:w="3465" w:type="dxa"/>
            <w:vAlign w:val="bottom"/>
          </w:tcPr>
          <w:p w14:paraId="2A402A9D" w14:textId="77777777" w:rsidR="00BB2CB4" w:rsidRPr="00222C32" w:rsidRDefault="000674DA">
            <w:pPr>
              <w:pStyle w:val="SummaryMeasureTitlewithTheme"/>
            </w:pPr>
            <w:r w:rsidRPr="00222C32">
              <w:t>Online Safety</w:t>
            </w:r>
          </w:p>
        </w:tc>
        <w:tc>
          <w:tcPr>
            <w:tcW w:w="849" w:type="dxa"/>
            <w:vAlign w:val="bottom"/>
          </w:tcPr>
          <w:p w14:paraId="7AAF850D" w14:textId="77777777" w:rsidR="00BB2CB4" w:rsidRPr="00222C32" w:rsidRDefault="000674DA">
            <w:pPr>
              <w:pStyle w:val="Summarytabletextrightaligned"/>
            </w:pPr>
            <w:r w:rsidRPr="00222C32">
              <w:t>-</w:t>
            </w:r>
          </w:p>
        </w:tc>
        <w:tc>
          <w:tcPr>
            <w:tcW w:w="849" w:type="dxa"/>
            <w:shd w:val="clear" w:color="auto" w:fill="E6F2FF"/>
            <w:vAlign w:val="bottom"/>
          </w:tcPr>
          <w:p w14:paraId="3A903085" w14:textId="77777777" w:rsidR="00BB2CB4" w:rsidRPr="00222C32" w:rsidRDefault="000674DA">
            <w:pPr>
              <w:pStyle w:val="Summarytabletextrightaligned"/>
            </w:pPr>
            <w:r w:rsidRPr="00222C32">
              <w:t>10.3</w:t>
            </w:r>
          </w:p>
        </w:tc>
        <w:tc>
          <w:tcPr>
            <w:tcW w:w="849" w:type="dxa"/>
            <w:vAlign w:val="bottom"/>
          </w:tcPr>
          <w:p w14:paraId="48A22E44" w14:textId="77777777" w:rsidR="00BB2CB4" w:rsidRPr="00222C32" w:rsidRDefault="000674DA">
            <w:pPr>
              <w:pStyle w:val="Summarytabletextrightaligned"/>
            </w:pPr>
            <w:r w:rsidRPr="00222C32">
              <w:t>2.2</w:t>
            </w:r>
          </w:p>
        </w:tc>
        <w:tc>
          <w:tcPr>
            <w:tcW w:w="849" w:type="dxa"/>
            <w:vAlign w:val="bottom"/>
          </w:tcPr>
          <w:p w14:paraId="10D5B947" w14:textId="77777777" w:rsidR="00BB2CB4" w:rsidRPr="00222C32" w:rsidRDefault="000674DA">
            <w:pPr>
              <w:pStyle w:val="Summarytabletextrightaligned"/>
            </w:pPr>
            <w:r w:rsidRPr="00222C32">
              <w:t>2.0</w:t>
            </w:r>
          </w:p>
        </w:tc>
        <w:tc>
          <w:tcPr>
            <w:tcW w:w="849" w:type="dxa"/>
            <w:vAlign w:val="bottom"/>
          </w:tcPr>
          <w:p w14:paraId="723192B6" w14:textId="77777777" w:rsidR="00BB2CB4" w:rsidRPr="00222C32" w:rsidRDefault="000674DA">
            <w:pPr>
              <w:pStyle w:val="Summarytabletextrightaligned"/>
            </w:pPr>
            <w:r w:rsidRPr="00222C32">
              <w:t>2.0</w:t>
            </w:r>
          </w:p>
        </w:tc>
      </w:tr>
      <w:tr w:rsidR="00BB2CB4" w:rsidRPr="00222C32" w14:paraId="2426A957" w14:textId="77777777" w:rsidTr="00D54A3F">
        <w:tc>
          <w:tcPr>
            <w:tcW w:w="3465" w:type="dxa"/>
            <w:vAlign w:val="bottom"/>
          </w:tcPr>
          <w:p w14:paraId="1F6D32A6" w14:textId="77777777" w:rsidR="00BB2CB4" w:rsidRPr="00222C32" w:rsidRDefault="000674DA">
            <w:pPr>
              <w:pStyle w:val="SummaryMeasureTitlewithTheme"/>
            </w:pPr>
            <w:r w:rsidRPr="00222C32">
              <w:t>Regional Broadband Scheme(b)</w:t>
            </w:r>
          </w:p>
        </w:tc>
        <w:tc>
          <w:tcPr>
            <w:tcW w:w="849" w:type="dxa"/>
            <w:vAlign w:val="bottom"/>
          </w:tcPr>
          <w:p w14:paraId="3B3CD276" w14:textId="77777777" w:rsidR="00BB2CB4" w:rsidRPr="00222C32" w:rsidRDefault="000674DA">
            <w:pPr>
              <w:pStyle w:val="Summarytabletextrightaligned"/>
            </w:pPr>
            <w:r w:rsidRPr="00222C32">
              <w:t>-</w:t>
            </w:r>
          </w:p>
        </w:tc>
        <w:tc>
          <w:tcPr>
            <w:tcW w:w="849" w:type="dxa"/>
            <w:shd w:val="clear" w:color="auto" w:fill="E6F2FF"/>
            <w:vAlign w:val="bottom"/>
          </w:tcPr>
          <w:p w14:paraId="2762CFA3" w14:textId="77777777" w:rsidR="00BB2CB4" w:rsidRPr="00222C32" w:rsidRDefault="000674DA">
            <w:pPr>
              <w:pStyle w:val="Summarytabletextrightaligned"/>
            </w:pPr>
            <w:r w:rsidRPr="00222C32">
              <w:t>-</w:t>
            </w:r>
          </w:p>
        </w:tc>
        <w:tc>
          <w:tcPr>
            <w:tcW w:w="849" w:type="dxa"/>
            <w:vAlign w:val="bottom"/>
          </w:tcPr>
          <w:p w14:paraId="14C460BB" w14:textId="77777777" w:rsidR="00BB2CB4" w:rsidRPr="00222C32" w:rsidRDefault="000674DA">
            <w:pPr>
              <w:pStyle w:val="Summarytabletextrightaligned"/>
            </w:pPr>
            <w:r w:rsidRPr="00222C32">
              <w:t>-34.9</w:t>
            </w:r>
          </w:p>
        </w:tc>
        <w:tc>
          <w:tcPr>
            <w:tcW w:w="849" w:type="dxa"/>
            <w:vAlign w:val="bottom"/>
          </w:tcPr>
          <w:p w14:paraId="4CBFA878" w14:textId="77777777" w:rsidR="00BB2CB4" w:rsidRPr="00222C32" w:rsidRDefault="000674DA">
            <w:pPr>
              <w:pStyle w:val="Summarytabletextrightaligned"/>
            </w:pPr>
            <w:r w:rsidRPr="00222C32">
              <w:t>-36.3</w:t>
            </w:r>
          </w:p>
        </w:tc>
        <w:tc>
          <w:tcPr>
            <w:tcW w:w="849" w:type="dxa"/>
            <w:vAlign w:val="bottom"/>
          </w:tcPr>
          <w:p w14:paraId="6FAEE8D2" w14:textId="77777777" w:rsidR="00BB2CB4" w:rsidRPr="00222C32" w:rsidRDefault="000674DA">
            <w:pPr>
              <w:pStyle w:val="Summarytabletextrightaligned"/>
            </w:pPr>
            <w:r w:rsidRPr="00222C32">
              <w:t>-37.9</w:t>
            </w:r>
          </w:p>
        </w:tc>
      </w:tr>
      <w:tr w:rsidR="00BB2CB4" w:rsidRPr="00222C32" w14:paraId="1D044F8D" w14:textId="77777777" w:rsidTr="00D54A3F">
        <w:tc>
          <w:tcPr>
            <w:tcW w:w="3465" w:type="dxa"/>
            <w:vAlign w:val="bottom"/>
          </w:tcPr>
          <w:p w14:paraId="7A3B3B8E" w14:textId="77777777" w:rsidR="00BB2CB4" w:rsidRPr="00222C32" w:rsidRDefault="000674DA">
            <w:pPr>
              <w:pStyle w:val="SummaryMeasureTitlewithTheme"/>
            </w:pPr>
            <w:r w:rsidRPr="00222C32">
              <w:t>Rex Airlines(b)</w:t>
            </w:r>
          </w:p>
        </w:tc>
        <w:tc>
          <w:tcPr>
            <w:tcW w:w="849" w:type="dxa"/>
            <w:vAlign w:val="bottom"/>
          </w:tcPr>
          <w:p w14:paraId="4D68A554" w14:textId="77777777" w:rsidR="00BB2CB4" w:rsidRPr="00222C32" w:rsidRDefault="000674DA">
            <w:pPr>
              <w:pStyle w:val="Summarytabletextrightaligned"/>
            </w:pPr>
            <w:r w:rsidRPr="00222C32">
              <w:t>-</w:t>
            </w:r>
          </w:p>
        </w:tc>
        <w:tc>
          <w:tcPr>
            <w:tcW w:w="849" w:type="dxa"/>
            <w:shd w:val="clear" w:color="auto" w:fill="E6F2FF"/>
            <w:vAlign w:val="bottom"/>
          </w:tcPr>
          <w:p w14:paraId="429B7356" w14:textId="77777777" w:rsidR="00BB2CB4" w:rsidRPr="00222C32" w:rsidRDefault="000674DA">
            <w:pPr>
              <w:pStyle w:val="Summarytabletextrightaligned"/>
            </w:pPr>
            <w:r w:rsidRPr="00222C32">
              <w:t>21.9</w:t>
            </w:r>
          </w:p>
        </w:tc>
        <w:tc>
          <w:tcPr>
            <w:tcW w:w="849" w:type="dxa"/>
            <w:vAlign w:val="bottom"/>
          </w:tcPr>
          <w:p w14:paraId="60A492B1" w14:textId="77777777" w:rsidR="00BB2CB4" w:rsidRPr="00222C32" w:rsidRDefault="000674DA">
            <w:pPr>
              <w:pStyle w:val="Summarytabletextrightaligned"/>
            </w:pPr>
            <w:r w:rsidRPr="00222C32">
              <w:t>0.3</w:t>
            </w:r>
          </w:p>
        </w:tc>
        <w:tc>
          <w:tcPr>
            <w:tcW w:w="849" w:type="dxa"/>
            <w:vAlign w:val="bottom"/>
          </w:tcPr>
          <w:p w14:paraId="249C7216" w14:textId="77777777" w:rsidR="00BB2CB4" w:rsidRPr="00222C32" w:rsidRDefault="000674DA">
            <w:pPr>
              <w:pStyle w:val="Summarytabletextrightaligned"/>
            </w:pPr>
            <w:r w:rsidRPr="00222C32">
              <w:t>0.3</w:t>
            </w:r>
          </w:p>
        </w:tc>
        <w:tc>
          <w:tcPr>
            <w:tcW w:w="849" w:type="dxa"/>
            <w:vAlign w:val="bottom"/>
          </w:tcPr>
          <w:p w14:paraId="20D16B0B" w14:textId="77777777" w:rsidR="00BB2CB4" w:rsidRPr="00222C32" w:rsidRDefault="000674DA">
            <w:pPr>
              <w:pStyle w:val="Summarytabletextrightaligned"/>
            </w:pPr>
            <w:r w:rsidRPr="00222C32">
              <w:t>0.3</w:t>
            </w:r>
          </w:p>
        </w:tc>
      </w:tr>
      <w:tr w:rsidR="00BB2CB4" w:rsidRPr="00222C32" w14:paraId="751232A5" w14:textId="77777777" w:rsidTr="00D54A3F">
        <w:tc>
          <w:tcPr>
            <w:tcW w:w="3465" w:type="dxa"/>
            <w:vAlign w:val="bottom"/>
          </w:tcPr>
          <w:p w14:paraId="496CA3CC" w14:textId="77777777" w:rsidR="00BB2CB4" w:rsidRPr="00222C32" w:rsidRDefault="000674DA">
            <w:pPr>
              <w:pStyle w:val="SummaryMeasureTitlewithTheme"/>
            </w:pPr>
            <w:r w:rsidRPr="00222C32">
              <w:t>Supporting Connectivity(b)</w:t>
            </w:r>
          </w:p>
        </w:tc>
        <w:tc>
          <w:tcPr>
            <w:tcW w:w="849" w:type="dxa"/>
            <w:vAlign w:val="bottom"/>
          </w:tcPr>
          <w:p w14:paraId="67D49F33" w14:textId="77777777" w:rsidR="00BB2CB4" w:rsidRPr="00222C32" w:rsidRDefault="000674DA">
            <w:pPr>
              <w:pStyle w:val="Summarytabletextrightaligned"/>
            </w:pPr>
            <w:r w:rsidRPr="00222C32">
              <w:t>-</w:t>
            </w:r>
          </w:p>
        </w:tc>
        <w:tc>
          <w:tcPr>
            <w:tcW w:w="849" w:type="dxa"/>
            <w:shd w:val="clear" w:color="auto" w:fill="E6F2FF"/>
            <w:vAlign w:val="bottom"/>
          </w:tcPr>
          <w:p w14:paraId="62EC5C6A" w14:textId="77777777" w:rsidR="00BB2CB4" w:rsidRPr="00222C32" w:rsidRDefault="000674DA">
            <w:pPr>
              <w:pStyle w:val="Summarytabletextrightaligned"/>
            </w:pPr>
            <w:r w:rsidRPr="00222C32">
              <w:t>-10.7</w:t>
            </w:r>
          </w:p>
        </w:tc>
        <w:tc>
          <w:tcPr>
            <w:tcW w:w="849" w:type="dxa"/>
            <w:vAlign w:val="bottom"/>
          </w:tcPr>
          <w:p w14:paraId="20A23623" w14:textId="77777777" w:rsidR="00BB2CB4" w:rsidRPr="00222C32" w:rsidRDefault="000674DA">
            <w:pPr>
              <w:pStyle w:val="Summarytabletextrightaligned"/>
            </w:pPr>
            <w:r w:rsidRPr="00222C32">
              <w:t>-</w:t>
            </w:r>
          </w:p>
        </w:tc>
        <w:tc>
          <w:tcPr>
            <w:tcW w:w="849" w:type="dxa"/>
            <w:vAlign w:val="bottom"/>
          </w:tcPr>
          <w:p w14:paraId="0A039836" w14:textId="77777777" w:rsidR="00BB2CB4" w:rsidRPr="00222C32" w:rsidRDefault="000674DA">
            <w:pPr>
              <w:pStyle w:val="Summarytabletextrightaligned"/>
            </w:pPr>
            <w:r w:rsidRPr="00222C32">
              <w:t>-</w:t>
            </w:r>
          </w:p>
        </w:tc>
        <w:tc>
          <w:tcPr>
            <w:tcW w:w="849" w:type="dxa"/>
            <w:vAlign w:val="bottom"/>
          </w:tcPr>
          <w:p w14:paraId="46F30BA2" w14:textId="77777777" w:rsidR="00BB2CB4" w:rsidRPr="00222C32" w:rsidRDefault="000674DA">
            <w:pPr>
              <w:pStyle w:val="Summarytabletextrightaligned"/>
            </w:pPr>
            <w:r w:rsidRPr="00222C32">
              <w:t>-</w:t>
            </w:r>
          </w:p>
        </w:tc>
      </w:tr>
      <w:tr w:rsidR="00BB2CB4" w:rsidRPr="00222C32" w14:paraId="22DEF845" w14:textId="77777777" w:rsidTr="00D54A3F">
        <w:tc>
          <w:tcPr>
            <w:tcW w:w="3465" w:type="dxa"/>
            <w:vAlign w:val="bottom"/>
          </w:tcPr>
          <w:p w14:paraId="562DDA41" w14:textId="77777777" w:rsidR="00BB2CB4" w:rsidRPr="00222C32" w:rsidRDefault="000674DA">
            <w:pPr>
              <w:pStyle w:val="SummaryMeasureTitlewithTheme"/>
            </w:pPr>
            <w:r w:rsidRPr="00222C32">
              <w:t>Supporting International Sporting Events(b)</w:t>
            </w:r>
          </w:p>
        </w:tc>
        <w:tc>
          <w:tcPr>
            <w:tcW w:w="849" w:type="dxa"/>
            <w:vAlign w:val="bottom"/>
          </w:tcPr>
          <w:p w14:paraId="381AC243" w14:textId="77777777" w:rsidR="00BB2CB4" w:rsidRPr="00222C32" w:rsidRDefault="000674DA">
            <w:pPr>
              <w:pStyle w:val="Summarytabletextrightaligned"/>
            </w:pPr>
            <w:r w:rsidRPr="00222C32">
              <w:t>-</w:t>
            </w:r>
          </w:p>
        </w:tc>
        <w:tc>
          <w:tcPr>
            <w:tcW w:w="849" w:type="dxa"/>
            <w:shd w:val="clear" w:color="auto" w:fill="E6F2FF"/>
            <w:vAlign w:val="bottom"/>
          </w:tcPr>
          <w:p w14:paraId="759B453A" w14:textId="77777777" w:rsidR="00BB2CB4" w:rsidRPr="00222C32" w:rsidRDefault="000674DA">
            <w:pPr>
              <w:pStyle w:val="Summarytabletextrightaligned"/>
            </w:pPr>
            <w:r w:rsidRPr="00222C32">
              <w:t>-</w:t>
            </w:r>
          </w:p>
        </w:tc>
        <w:tc>
          <w:tcPr>
            <w:tcW w:w="849" w:type="dxa"/>
            <w:vAlign w:val="bottom"/>
          </w:tcPr>
          <w:p w14:paraId="60BBA772" w14:textId="77777777" w:rsidR="00BB2CB4" w:rsidRPr="00222C32" w:rsidRDefault="000674DA">
            <w:pPr>
              <w:pStyle w:val="Summarytabletextrightaligned"/>
            </w:pPr>
            <w:r w:rsidRPr="00222C32">
              <w:t>-</w:t>
            </w:r>
          </w:p>
        </w:tc>
        <w:tc>
          <w:tcPr>
            <w:tcW w:w="849" w:type="dxa"/>
            <w:vAlign w:val="bottom"/>
          </w:tcPr>
          <w:p w14:paraId="1A13B77A" w14:textId="77777777" w:rsidR="00BB2CB4" w:rsidRPr="00222C32" w:rsidRDefault="000674DA">
            <w:pPr>
              <w:pStyle w:val="Summarytabletextrightaligned"/>
            </w:pPr>
            <w:r w:rsidRPr="00222C32">
              <w:t>-</w:t>
            </w:r>
          </w:p>
        </w:tc>
        <w:tc>
          <w:tcPr>
            <w:tcW w:w="849" w:type="dxa"/>
            <w:vAlign w:val="bottom"/>
          </w:tcPr>
          <w:p w14:paraId="01728EDA" w14:textId="77777777" w:rsidR="00BB2CB4" w:rsidRPr="00222C32" w:rsidRDefault="000674DA">
            <w:pPr>
              <w:pStyle w:val="Summarytabletextrightaligned"/>
            </w:pPr>
            <w:r w:rsidRPr="00222C32">
              <w:t>-</w:t>
            </w:r>
          </w:p>
        </w:tc>
      </w:tr>
      <w:tr w:rsidR="00BB2CB4" w:rsidRPr="00222C32" w14:paraId="654D49A5" w14:textId="77777777" w:rsidTr="00D54A3F">
        <w:tc>
          <w:tcPr>
            <w:tcW w:w="3465" w:type="dxa"/>
            <w:vAlign w:val="bottom"/>
          </w:tcPr>
          <w:p w14:paraId="5EE735F3" w14:textId="77777777" w:rsidR="00BB2CB4" w:rsidRPr="00222C32" w:rsidRDefault="000674DA">
            <w:pPr>
              <w:pStyle w:val="SummaryMeasureTitlewithTheme"/>
            </w:pPr>
            <w:r w:rsidRPr="00222C32">
              <w:t>Supporting Multicultural Communities</w:t>
            </w:r>
          </w:p>
        </w:tc>
        <w:tc>
          <w:tcPr>
            <w:tcW w:w="849" w:type="dxa"/>
            <w:vAlign w:val="bottom"/>
          </w:tcPr>
          <w:p w14:paraId="670D8A2C" w14:textId="77777777" w:rsidR="00BB2CB4" w:rsidRPr="00222C32" w:rsidRDefault="000674DA">
            <w:pPr>
              <w:pStyle w:val="Summarytabletextrightaligned"/>
            </w:pPr>
            <w:r w:rsidRPr="00222C32">
              <w:t>-</w:t>
            </w:r>
          </w:p>
        </w:tc>
        <w:tc>
          <w:tcPr>
            <w:tcW w:w="849" w:type="dxa"/>
            <w:shd w:val="clear" w:color="auto" w:fill="E6F2FF"/>
            <w:vAlign w:val="bottom"/>
          </w:tcPr>
          <w:p w14:paraId="0D7AA8E2" w14:textId="77777777" w:rsidR="00BB2CB4" w:rsidRPr="00222C32" w:rsidRDefault="000674DA">
            <w:pPr>
              <w:pStyle w:val="Summarytabletextrightaligned"/>
            </w:pPr>
            <w:r w:rsidRPr="00222C32">
              <w:t>1.0</w:t>
            </w:r>
          </w:p>
        </w:tc>
        <w:tc>
          <w:tcPr>
            <w:tcW w:w="849" w:type="dxa"/>
            <w:vAlign w:val="bottom"/>
          </w:tcPr>
          <w:p w14:paraId="35AD92FC" w14:textId="77777777" w:rsidR="00BB2CB4" w:rsidRPr="00222C32" w:rsidRDefault="000674DA">
            <w:pPr>
              <w:pStyle w:val="Summarytabletextrightaligned"/>
            </w:pPr>
            <w:r w:rsidRPr="00222C32">
              <w:t>4.0</w:t>
            </w:r>
          </w:p>
        </w:tc>
        <w:tc>
          <w:tcPr>
            <w:tcW w:w="849" w:type="dxa"/>
            <w:vAlign w:val="bottom"/>
          </w:tcPr>
          <w:p w14:paraId="5EEC9FD1" w14:textId="77777777" w:rsidR="00BB2CB4" w:rsidRPr="00222C32" w:rsidRDefault="000674DA">
            <w:pPr>
              <w:pStyle w:val="Summarytabletextrightaligned"/>
            </w:pPr>
            <w:r w:rsidRPr="00222C32">
              <w:t>-</w:t>
            </w:r>
          </w:p>
        </w:tc>
        <w:tc>
          <w:tcPr>
            <w:tcW w:w="849" w:type="dxa"/>
            <w:vAlign w:val="bottom"/>
          </w:tcPr>
          <w:p w14:paraId="36BBFFB3" w14:textId="77777777" w:rsidR="00BB2CB4" w:rsidRPr="00222C32" w:rsidRDefault="000674DA">
            <w:pPr>
              <w:pStyle w:val="Summarytabletextrightaligned"/>
            </w:pPr>
            <w:r w:rsidRPr="00222C32">
              <w:t>-</w:t>
            </w:r>
          </w:p>
        </w:tc>
      </w:tr>
      <w:tr w:rsidR="00BB2CB4" w:rsidRPr="00222C32" w14:paraId="2BD82C00" w14:textId="77777777" w:rsidTr="00D54A3F">
        <w:tc>
          <w:tcPr>
            <w:tcW w:w="3465" w:type="dxa"/>
            <w:vAlign w:val="bottom"/>
          </w:tcPr>
          <w:p w14:paraId="610F340D" w14:textId="77777777" w:rsidR="00BB2CB4" w:rsidRPr="00222C32" w:rsidRDefault="000674DA">
            <w:pPr>
              <w:pStyle w:val="SummaryMeasureTitlewithTheme"/>
            </w:pPr>
            <w:r w:rsidRPr="00222C32">
              <w:t>Supporting News and Media Diversity</w:t>
            </w:r>
          </w:p>
        </w:tc>
        <w:tc>
          <w:tcPr>
            <w:tcW w:w="849" w:type="dxa"/>
            <w:vAlign w:val="bottom"/>
          </w:tcPr>
          <w:p w14:paraId="1F4CD341" w14:textId="77777777" w:rsidR="00BB2CB4" w:rsidRPr="00222C32" w:rsidRDefault="000674DA">
            <w:pPr>
              <w:pStyle w:val="Summarytabletextrightaligned"/>
            </w:pPr>
            <w:r w:rsidRPr="00222C32">
              <w:t>-2.0</w:t>
            </w:r>
          </w:p>
        </w:tc>
        <w:tc>
          <w:tcPr>
            <w:tcW w:w="849" w:type="dxa"/>
            <w:shd w:val="clear" w:color="auto" w:fill="E6F2FF"/>
            <w:vAlign w:val="bottom"/>
          </w:tcPr>
          <w:p w14:paraId="61513A1B" w14:textId="77777777" w:rsidR="00BB2CB4" w:rsidRPr="00222C32" w:rsidRDefault="000674DA">
            <w:pPr>
              <w:pStyle w:val="Summarytabletextrightaligned"/>
            </w:pPr>
            <w:r w:rsidRPr="00222C32">
              <w:t>2.0</w:t>
            </w:r>
          </w:p>
        </w:tc>
        <w:tc>
          <w:tcPr>
            <w:tcW w:w="849" w:type="dxa"/>
            <w:vAlign w:val="bottom"/>
          </w:tcPr>
          <w:p w14:paraId="042F0151" w14:textId="77777777" w:rsidR="00BB2CB4" w:rsidRPr="00222C32" w:rsidRDefault="000674DA">
            <w:pPr>
              <w:pStyle w:val="Summarytabletextrightaligned"/>
            </w:pPr>
            <w:r w:rsidRPr="00222C32">
              <w:t>-0.3</w:t>
            </w:r>
          </w:p>
        </w:tc>
        <w:tc>
          <w:tcPr>
            <w:tcW w:w="849" w:type="dxa"/>
            <w:vAlign w:val="bottom"/>
          </w:tcPr>
          <w:p w14:paraId="1A523C4C" w14:textId="77777777" w:rsidR="00BB2CB4" w:rsidRPr="00222C32" w:rsidRDefault="000674DA">
            <w:pPr>
              <w:pStyle w:val="Summarytabletextrightaligned"/>
            </w:pPr>
            <w:r w:rsidRPr="00222C32">
              <w:t>-0.2</w:t>
            </w:r>
          </w:p>
        </w:tc>
        <w:tc>
          <w:tcPr>
            <w:tcW w:w="849" w:type="dxa"/>
            <w:vAlign w:val="bottom"/>
          </w:tcPr>
          <w:p w14:paraId="5FDFE81B" w14:textId="77777777" w:rsidR="00BB2CB4" w:rsidRPr="00222C32" w:rsidRDefault="000674DA">
            <w:pPr>
              <w:pStyle w:val="Summarytabletextrightaligned"/>
            </w:pPr>
            <w:r w:rsidRPr="00222C32">
              <w:t>-</w:t>
            </w:r>
          </w:p>
        </w:tc>
      </w:tr>
      <w:tr w:rsidR="00BB2CB4" w:rsidRPr="00222C32" w14:paraId="1E6949B8" w14:textId="77777777" w:rsidTr="00D54A3F">
        <w:tc>
          <w:tcPr>
            <w:tcW w:w="3465" w:type="dxa"/>
            <w:vAlign w:val="bottom"/>
          </w:tcPr>
          <w:p w14:paraId="1F1CCDD3" w14:textId="77777777" w:rsidR="00BB2CB4" w:rsidRPr="00222C32" w:rsidRDefault="000674DA">
            <w:pPr>
              <w:pStyle w:val="SummaryMeasureTitlewithTheme"/>
            </w:pPr>
            <w:r w:rsidRPr="00222C32">
              <w:t>Supporting Transport Priorities(b)</w:t>
            </w:r>
          </w:p>
        </w:tc>
        <w:tc>
          <w:tcPr>
            <w:tcW w:w="849" w:type="dxa"/>
            <w:vAlign w:val="bottom"/>
          </w:tcPr>
          <w:p w14:paraId="2F10D89E" w14:textId="77777777" w:rsidR="00BB2CB4" w:rsidRPr="00222C32" w:rsidRDefault="000674DA">
            <w:pPr>
              <w:pStyle w:val="Summarytabletextrightaligned"/>
            </w:pPr>
            <w:r w:rsidRPr="00222C32">
              <w:t>-</w:t>
            </w:r>
          </w:p>
        </w:tc>
        <w:tc>
          <w:tcPr>
            <w:tcW w:w="849" w:type="dxa"/>
            <w:shd w:val="clear" w:color="auto" w:fill="E6F2FF"/>
            <w:vAlign w:val="bottom"/>
          </w:tcPr>
          <w:p w14:paraId="3452EB62" w14:textId="77777777" w:rsidR="00BB2CB4" w:rsidRPr="00222C32" w:rsidRDefault="000674DA">
            <w:pPr>
              <w:pStyle w:val="Summarytabletextrightaligned"/>
            </w:pPr>
            <w:r w:rsidRPr="00222C32">
              <w:t>4.9</w:t>
            </w:r>
          </w:p>
        </w:tc>
        <w:tc>
          <w:tcPr>
            <w:tcW w:w="849" w:type="dxa"/>
            <w:vAlign w:val="bottom"/>
          </w:tcPr>
          <w:p w14:paraId="6C1CDB1A" w14:textId="77777777" w:rsidR="00BB2CB4" w:rsidRPr="00222C32" w:rsidRDefault="000674DA">
            <w:pPr>
              <w:pStyle w:val="Summarytabletextrightaligned"/>
            </w:pPr>
            <w:r w:rsidRPr="00222C32">
              <w:t>4.6</w:t>
            </w:r>
          </w:p>
        </w:tc>
        <w:tc>
          <w:tcPr>
            <w:tcW w:w="849" w:type="dxa"/>
            <w:vAlign w:val="bottom"/>
          </w:tcPr>
          <w:p w14:paraId="2A0E5FBF" w14:textId="77777777" w:rsidR="00BB2CB4" w:rsidRPr="00222C32" w:rsidRDefault="000674DA">
            <w:pPr>
              <w:pStyle w:val="Summarytabletextrightaligned"/>
            </w:pPr>
            <w:r w:rsidRPr="00222C32">
              <w:t>1.0</w:t>
            </w:r>
          </w:p>
        </w:tc>
        <w:tc>
          <w:tcPr>
            <w:tcW w:w="849" w:type="dxa"/>
            <w:vAlign w:val="bottom"/>
          </w:tcPr>
          <w:p w14:paraId="047BDA10" w14:textId="77777777" w:rsidR="00BB2CB4" w:rsidRPr="00222C32" w:rsidRDefault="000674DA">
            <w:pPr>
              <w:pStyle w:val="Summarytabletextrightaligned"/>
            </w:pPr>
            <w:r w:rsidRPr="00222C32">
              <w:t>-</w:t>
            </w:r>
          </w:p>
        </w:tc>
      </w:tr>
      <w:tr w:rsidR="00BB2CB4" w:rsidRPr="00222C32" w14:paraId="0A12D4E0" w14:textId="77777777" w:rsidTr="00D54A3F">
        <w:tc>
          <w:tcPr>
            <w:tcW w:w="3465" w:type="dxa"/>
            <w:vAlign w:val="bottom"/>
          </w:tcPr>
          <w:p w14:paraId="483DCA45" w14:textId="77777777" w:rsidR="00BB2CB4" w:rsidRPr="00222C32" w:rsidRDefault="000674DA">
            <w:pPr>
              <w:pStyle w:val="SummaryAgencyTitle-BP2"/>
            </w:pPr>
            <w:r w:rsidRPr="00222C32">
              <w:t>National Capital Authority</w:t>
            </w:r>
          </w:p>
        </w:tc>
        <w:tc>
          <w:tcPr>
            <w:tcW w:w="849" w:type="dxa"/>
          </w:tcPr>
          <w:p w14:paraId="05859C46" w14:textId="77777777" w:rsidR="00BB2CB4" w:rsidRPr="00222C32" w:rsidRDefault="00BB2CB4">
            <w:pPr>
              <w:pStyle w:val="SummaryAgencyTitle-BP2"/>
            </w:pPr>
          </w:p>
        </w:tc>
        <w:tc>
          <w:tcPr>
            <w:tcW w:w="849" w:type="dxa"/>
            <w:shd w:val="clear" w:color="auto" w:fill="E6F2FF"/>
          </w:tcPr>
          <w:p w14:paraId="71C8EFC9" w14:textId="77777777" w:rsidR="00BB2CB4" w:rsidRPr="00222C32" w:rsidRDefault="00BB2CB4">
            <w:pPr>
              <w:pStyle w:val="SummaryAgencyTitle-BP2"/>
            </w:pPr>
          </w:p>
        </w:tc>
        <w:tc>
          <w:tcPr>
            <w:tcW w:w="849" w:type="dxa"/>
          </w:tcPr>
          <w:p w14:paraId="44A3E15D" w14:textId="77777777" w:rsidR="00BB2CB4" w:rsidRPr="00222C32" w:rsidRDefault="00BB2CB4">
            <w:pPr>
              <w:pStyle w:val="SummaryAgencyTitle-BP2"/>
            </w:pPr>
          </w:p>
        </w:tc>
        <w:tc>
          <w:tcPr>
            <w:tcW w:w="849" w:type="dxa"/>
          </w:tcPr>
          <w:p w14:paraId="5E0983A0" w14:textId="77777777" w:rsidR="00BB2CB4" w:rsidRPr="00222C32" w:rsidRDefault="00BB2CB4">
            <w:pPr>
              <w:pStyle w:val="SummaryAgencyTitle-BP2"/>
            </w:pPr>
          </w:p>
        </w:tc>
        <w:tc>
          <w:tcPr>
            <w:tcW w:w="849" w:type="dxa"/>
          </w:tcPr>
          <w:p w14:paraId="2E0B7EF9" w14:textId="77777777" w:rsidR="00BB2CB4" w:rsidRPr="00222C32" w:rsidRDefault="00BB2CB4">
            <w:pPr>
              <w:pStyle w:val="SummaryAgencyTitle-BP2"/>
            </w:pPr>
          </w:p>
        </w:tc>
      </w:tr>
      <w:tr w:rsidR="00BB2CB4" w:rsidRPr="00222C32" w14:paraId="073C1DCA" w14:textId="77777777" w:rsidTr="00D54A3F">
        <w:tc>
          <w:tcPr>
            <w:tcW w:w="3465" w:type="dxa"/>
            <w:vAlign w:val="bottom"/>
          </w:tcPr>
          <w:p w14:paraId="0F7D549E" w14:textId="77777777" w:rsidR="00BB2CB4" w:rsidRPr="00222C32" w:rsidRDefault="000674DA">
            <w:pPr>
              <w:pStyle w:val="SummaryMeasureTitlewithTheme"/>
            </w:pPr>
            <w:r w:rsidRPr="00222C32">
              <w:t>Major and Local Community Infrastructure</w:t>
            </w:r>
          </w:p>
        </w:tc>
        <w:tc>
          <w:tcPr>
            <w:tcW w:w="849" w:type="dxa"/>
            <w:vAlign w:val="bottom"/>
          </w:tcPr>
          <w:p w14:paraId="5623F090" w14:textId="77777777" w:rsidR="00BB2CB4" w:rsidRPr="00222C32" w:rsidRDefault="000674DA">
            <w:pPr>
              <w:pStyle w:val="Summarytabletextrightaligned"/>
            </w:pPr>
            <w:r w:rsidRPr="00222C32">
              <w:t>-</w:t>
            </w:r>
          </w:p>
        </w:tc>
        <w:tc>
          <w:tcPr>
            <w:tcW w:w="849" w:type="dxa"/>
            <w:shd w:val="clear" w:color="auto" w:fill="E6F2FF"/>
            <w:vAlign w:val="bottom"/>
          </w:tcPr>
          <w:p w14:paraId="3BD0A2DF" w14:textId="77777777" w:rsidR="00BB2CB4" w:rsidRPr="00222C32" w:rsidRDefault="000674DA">
            <w:pPr>
              <w:pStyle w:val="Summarytabletextrightaligned"/>
            </w:pPr>
            <w:r w:rsidRPr="00222C32">
              <w:t>2.5</w:t>
            </w:r>
          </w:p>
        </w:tc>
        <w:tc>
          <w:tcPr>
            <w:tcW w:w="849" w:type="dxa"/>
            <w:vAlign w:val="bottom"/>
          </w:tcPr>
          <w:p w14:paraId="4E0527B1" w14:textId="77777777" w:rsidR="00BB2CB4" w:rsidRPr="00222C32" w:rsidRDefault="000674DA">
            <w:pPr>
              <w:pStyle w:val="Summarytabletextrightaligned"/>
            </w:pPr>
            <w:r w:rsidRPr="00222C32">
              <w:t>47.0</w:t>
            </w:r>
          </w:p>
        </w:tc>
        <w:tc>
          <w:tcPr>
            <w:tcW w:w="849" w:type="dxa"/>
            <w:vAlign w:val="bottom"/>
          </w:tcPr>
          <w:p w14:paraId="36D0939C" w14:textId="77777777" w:rsidR="00BB2CB4" w:rsidRPr="00222C32" w:rsidRDefault="000674DA">
            <w:pPr>
              <w:pStyle w:val="Summarytabletextrightaligned"/>
            </w:pPr>
            <w:r w:rsidRPr="00222C32">
              <w:t>14.1</w:t>
            </w:r>
          </w:p>
        </w:tc>
        <w:tc>
          <w:tcPr>
            <w:tcW w:w="849" w:type="dxa"/>
            <w:vAlign w:val="bottom"/>
          </w:tcPr>
          <w:p w14:paraId="7ABB8722" w14:textId="77777777" w:rsidR="00BB2CB4" w:rsidRPr="00222C32" w:rsidRDefault="000674DA">
            <w:pPr>
              <w:pStyle w:val="Summarytabletextrightaligned"/>
            </w:pPr>
            <w:r w:rsidRPr="00222C32">
              <w:t>-</w:t>
            </w:r>
          </w:p>
        </w:tc>
      </w:tr>
      <w:tr w:rsidR="00BB2CB4" w:rsidRPr="00222C32" w14:paraId="684A6748" w14:textId="77777777" w:rsidTr="00D54A3F">
        <w:tc>
          <w:tcPr>
            <w:tcW w:w="3465" w:type="dxa"/>
            <w:vAlign w:val="bottom"/>
          </w:tcPr>
          <w:p w14:paraId="284F7A5E" w14:textId="77777777" w:rsidR="00BB2CB4" w:rsidRPr="00222C32" w:rsidRDefault="000674DA">
            <w:pPr>
              <w:pStyle w:val="SummaryAgencyTitle-BP2"/>
            </w:pPr>
            <w:r w:rsidRPr="00222C32">
              <w:t>National Gallery of Australia</w:t>
            </w:r>
          </w:p>
        </w:tc>
        <w:tc>
          <w:tcPr>
            <w:tcW w:w="849" w:type="dxa"/>
          </w:tcPr>
          <w:p w14:paraId="0C163388" w14:textId="77777777" w:rsidR="00BB2CB4" w:rsidRPr="00222C32" w:rsidRDefault="00BB2CB4">
            <w:pPr>
              <w:pStyle w:val="SummaryAgencyTitle-BP2"/>
            </w:pPr>
          </w:p>
        </w:tc>
        <w:tc>
          <w:tcPr>
            <w:tcW w:w="849" w:type="dxa"/>
            <w:shd w:val="clear" w:color="auto" w:fill="E6F2FF"/>
          </w:tcPr>
          <w:p w14:paraId="4AC3918B" w14:textId="77777777" w:rsidR="00BB2CB4" w:rsidRPr="00222C32" w:rsidRDefault="00BB2CB4">
            <w:pPr>
              <w:pStyle w:val="SummaryAgencyTitle-BP2"/>
            </w:pPr>
          </w:p>
        </w:tc>
        <w:tc>
          <w:tcPr>
            <w:tcW w:w="849" w:type="dxa"/>
          </w:tcPr>
          <w:p w14:paraId="4BB3509F" w14:textId="77777777" w:rsidR="00BB2CB4" w:rsidRPr="00222C32" w:rsidRDefault="00BB2CB4">
            <w:pPr>
              <w:pStyle w:val="SummaryAgencyTitle-BP2"/>
            </w:pPr>
          </w:p>
        </w:tc>
        <w:tc>
          <w:tcPr>
            <w:tcW w:w="849" w:type="dxa"/>
          </w:tcPr>
          <w:p w14:paraId="3928B669" w14:textId="77777777" w:rsidR="00BB2CB4" w:rsidRPr="00222C32" w:rsidRDefault="00BB2CB4">
            <w:pPr>
              <w:pStyle w:val="SummaryAgencyTitle-BP2"/>
            </w:pPr>
          </w:p>
        </w:tc>
        <w:tc>
          <w:tcPr>
            <w:tcW w:w="849" w:type="dxa"/>
          </w:tcPr>
          <w:p w14:paraId="69EA9B08" w14:textId="77777777" w:rsidR="00BB2CB4" w:rsidRPr="00222C32" w:rsidRDefault="00BB2CB4">
            <w:pPr>
              <w:pStyle w:val="SummaryAgencyTitle-BP2"/>
            </w:pPr>
          </w:p>
        </w:tc>
      </w:tr>
      <w:tr w:rsidR="00BB2CB4" w:rsidRPr="00222C32" w14:paraId="7847AB4E" w14:textId="77777777" w:rsidTr="00D54A3F">
        <w:tc>
          <w:tcPr>
            <w:tcW w:w="3465" w:type="dxa"/>
            <w:vAlign w:val="bottom"/>
          </w:tcPr>
          <w:p w14:paraId="09692C25" w14:textId="77777777" w:rsidR="00BB2CB4" w:rsidRPr="00222C32" w:rsidRDefault="000674DA">
            <w:pPr>
              <w:pStyle w:val="SummaryMeasureTitlewithTheme"/>
            </w:pPr>
            <w:r w:rsidRPr="00222C32">
              <w:t>National Cultural Policy – National Collecting Institutions</w:t>
            </w:r>
          </w:p>
        </w:tc>
        <w:tc>
          <w:tcPr>
            <w:tcW w:w="849" w:type="dxa"/>
            <w:vAlign w:val="bottom"/>
          </w:tcPr>
          <w:p w14:paraId="22CF4C01" w14:textId="77777777" w:rsidR="00BB2CB4" w:rsidRPr="00222C32" w:rsidRDefault="000674DA">
            <w:pPr>
              <w:pStyle w:val="Summarytabletextrightaligned"/>
            </w:pPr>
            <w:r w:rsidRPr="00222C32">
              <w:t>-</w:t>
            </w:r>
          </w:p>
        </w:tc>
        <w:tc>
          <w:tcPr>
            <w:tcW w:w="849" w:type="dxa"/>
            <w:shd w:val="clear" w:color="auto" w:fill="E6F2FF"/>
            <w:vAlign w:val="bottom"/>
          </w:tcPr>
          <w:p w14:paraId="05A37D8F" w14:textId="77777777" w:rsidR="00BB2CB4" w:rsidRPr="00222C32" w:rsidRDefault="000674DA">
            <w:pPr>
              <w:pStyle w:val="Summarytabletextrightaligned"/>
            </w:pPr>
            <w:r w:rsidRPr="00222C32">
              <w:t>15.1</w:t>
            </w:r>
          </w:p>
        </w:tc>
        <w:tc>
          <w:tcPr>
            <w:tcW w:w="849" w:type="dxa"/>
            <w:vAlign w:val="bottom"/>
          </w:tcPr>
          <w:p w14:paraId="6C149D74" w14:textId="77777777" w:rsidR="00BB2CB4" w:rsidRPr="00222C32" w:rsidRDefault="000674DA">
            <w:pPr>
              <w:pStyle w:val="Summarytabletextrightaligned"/>
            </w:pPr>
            <w:r w:rsidRPr="00222C32">
              <w:t>84.7</w:t>
            </w:r>
          </w:p>
        </w:tc>
        <w:tc>
          <w:tcPr>
            <w:tcW w:w="849" w:type="dxa"/>
            <w:vAlign w:val="bottom"/>
          </w:tcPr>
          <w:p w14:paraId="6DE9686B" w14:textId="77777777" w:rsidR="00BB2CB4" w:rsidRPr="00222C32" w:rsidRDefault="000674DA">
            <w:pPr>
              <w:pStyle w:val="Summarytabletextrightaligned"/>
            </w:pPr>
            <w:r w:rsidRPr="00222C32">
              <w:t>55.1</w:t>
            </w:r>
          </w:p>
        </w:tc>
        <w:tc>
          <w:tcPr>
            <w:tcW w:w="849" w:type="dxa"/>
            <w:vAlign w:val="bottom"/>
          </w:tcPr>
          <w:p w14:paraId="2E57C5B0" w14:textId="77777777" w:rsidR="00BB2CB4" w:rsidRPr="00222C32" w:rsidRDefault="000674DA">
            <w:pPr>
              <w:pStyle w:val="Summarytabletextrightaligned"/>
            </w:pPr>
            <w:r w:rsidRPr="00222C32">
              <w:t>40.8</w:t>
            </w:r>
          </w:p>
        </w:tc>
      </w:tr>
      <w:tr w:rsidR="00BB2CB4" w:rsidRPr="00222C32" w14:paraId="139CE236" w14:textId="77777777" w:rsidTr="00D54A3F">
        <w:tc>
          <w:tcPr>
            <w:tcW w:w="3465" w:type="dxa"/>
            <w:vAlign w:val="bottom"/>
          </w:tcPr>
          <w:p w14:paraId="7083BC47" w14:textId="77777777" w:rsidR="00BB2CB4" w:rsidRPr="00222C32" w:rsidRDefault="000674DA">
            <w:pPr>
              <w:pStyle w:val="SummaryAgencyTitle-BP2"/>
            </w:pPr>
            <w:r w:rsidRPr="00222C32">
              <w:t>National Library of Australia</w:t>
            </w:r>
          </w:p>
        </w:tc>
        <w:tc>
          <w:tcPr>
            <w:tcW w:w="849" w:type="dxa"/>
          </w:tcPr>
          <w:p w14:paraId="08DAF432" w14:textId="77777777" w:rsidR="00BB2CB4" w:rsidRPr="00222C32" w:rsidRDefault="00BB2CB4">
            <w:pPr>
              <w:pStyle w:val="SummaryAgencyTitle-BP2"/>
            </w:pPr>
          </w:p>
        </w:tc>
        <w:tc>
          <w:tcPr>
            <w:tcW w:w="849" w:type="dxa"/>
            <w:shd w:val="clear" w:color="auto" w:fill="E6F2FF"/>
          </w:tcPr>
          <w:p w14:paraId="52D6D424" w14:textId="77777777" w:rsidR="00BB2CB4" w:rsidRPr="00222C32" w:rsidRDefault="00BB2CB4">
            <w:pPr>
              <w:pStyle w:val="SummaryAgencyTitle-BP2"/>
            </w:pPr>
          </w:p>
        </w:tc>
        <w:tc>
          <w:tcPr>
            <w:tcW w:w="849" w:type="dxa"/>
          </w:tcPr>
          <w:p w14:paraId="169548D7" w14:textId="77777777" w:rsidR="00BB2CB4" w:rsidRPr="00222C32" w:rsidRDefault="00BB2CB4">
            <w:pPr>
              <w:pStyle w:val="SummaryAgencyTitle-BP2"/>
            </w:pPr>
          </w:p>
        </w:tc>
        <w:tc>
          <w:tcPr>
            <w:tcW w:w="849" w:type="dxa"/>
          </w:tcPr>
          <w:p w14:paraId="781818D3" w14:textId="77777777" w:rsidR="00BB2CB4" w:rsidRPr="00222C32" w:rsidRDefault="00BB2CB4">
            <w:pPr>
              <w:pStyle w:val="SummaryAgencyTitle-BP2"/>
            </w:pPr>
          </w:p>
        </w:tc>
        <w:tc>
          <w:tcPr>
            <w:tcW w:w="849" w:type="dxa"/>
          </w:tcPr>
          <w:p w14:paraId="4F7D43BF" w14:textId="77777777" w:rsidR="00BB2CB4" w:rsidRPr="00222C32" w:rsidRDefault="00BB2CB4">
            <w:pPr>
              <w:pStyle w:val="SummaryAgencyTitle-BP2"/>
            </w:pPr>
          </w:p>
        </w:tc>
      </w:tr>
      <w:tr w:rsidR="00BB2CB4" w:rsidRPr="00222C32" w14:paraId="1FC145B6" w14:textId="77777777" w:rsidTr="00D54A3F">
        <w:tc>
          <w:tcPr>
            <w:tcW w:w="3465" w:type="dxa"/>
            <w:vAlign w:val="bottom"/>
          </w:tcPr>
          <w:p w14:paraId="049EF3B5" w14:textId="77777777" w:rsidR="00BB2CB4" w:rsidRPr="00222C32" w:rsidRDefault="000674DA">
            <w:pPr>
              <w:pStyle w:val="SummaryMeasureTitlewithTheme"/>
            </w:pPr>
            <w:r w:rsidRPr="00222C32">
              <w:t>National Cultural Policy – National Collecting Institutions</w:t>
            </w:r>
          </w:p>
        </w:tc>
        <w:tc>
          <w:tcPr>
            <w:tcW w:w="849" w:type="dxa"/>
            <w:vAlign w:val="bottom"/>
          </w:tcPr>
          <w:p w14:paraId="60F8222C" w14:textId="77777777" w:rsidR="00BB2CB4" w:rsidRPr="00222C32" w:rsidRDefault="000674DA">
            <w:pPr>
              <w:pStyle w:val="Summarytabletextrightaligned"/>
            </w:pPr>
            <w:r w:rsidRPr="00222C32">
              <w:t>-</w:t>
            </w:r>
          </w:p>
        </w:tc>
        <w:tc>
          <w:tcPr>
            <w:tcW w:w="849" w:type="dxa"/>
            <w:shd w:val="clear" w:color="auto" w:fill="E6F2FF"/>
            <w:vAlign w:val="bottom"/>
          </w:tcPr>
          <w:p w14:paraId="2A43CD66" w14:textId="77777777" w:rsidR="00BB2CB4" w:rsidRPr="00222C32" w:rsidRDefault="000674DA">
            <w:pPr>
              <w:pStyle w:val="Summarytabletextrightaligned"/>
            </w:pPr>
            <w:r w:rsidRPr="00222C32">
              <w:t>0.7</w:t>
            </w:r>
          </w:p>
        </w:tc>
        <w:tc>
          <w:tcPr>
            <w:tcW w:w="849" w:type="dxa"/>
            <w:vAlign w:val="bottom"/>
          </w:tcPr>
          <w:p w14:paraId="062B8C9D" w14:textId="77777777" w:rsidR="00BB2CB4" w:rsidRPr="00222C32" w:rsidRDefault="000674DA">
            <w:pPr>
              <w:pStyle w:val="Summarytabletextrightaligned"/>
            </w:pPr>
            <w:r w:rsidRPr="00222C32">
              <w:t>3.8</w:t>
            </w:r>
          </w:p>
        </w:tc>
        <w:tc>
          <w:tcPr>
            <w:tcW w:w="849" w:type="dxa"/>
            <w:vAlign w:val="bottom"/>
          </w:tcPr>
          <w:p w14:paraId="4FBE0C3F" w14:textId="77777777" w:rsidR="00BB2CB4" w:rsidRPr="00222C32" w:rsidRDefault="000674DA">
            <w:pPr>
              <w:pStyle w:val="Summarytabletextrightaligned"/>
            </w:pPr>
            <w:r w:rsidRPr="00222C32">
              <w:t>-</w:t>
            </w:r>
          </w:p>
        </w:tc>
        <w:tc>
          <w:tcPr>
            <w:tcW w:w="849" w:type="dxa"/>
            <w:vAlign w:val="bottom"/>
          </w:tcPr>
          <w:p w14:paraId="48E8A2FB" w14:textId="77777777" w:rsidR="00BB2CB4" w:rsidRPr="00222C32" w:rsidRDefault="000674DA">
            <w:pPr>
              <w:pStyle w:val="Summarytabletextrightaligned"/>
            </w:pPr>
            <w:r w:rsidRPr="00222C32">
              <w:t>-</w:t>
            </w:r>
          </w:p>
        </w:tc>
      </w:tr>
      <w:tr w:rsidR="00BB2CB4" w:rsidRPr="00222C32" w14:paraId="4F8DAD82" w14:textId="77777777" w:rsidTr="00D54A3F">
        <w:tc>
          <w:tcPr>
            <w:tcW w:w="3465" w:type="dxa"/>
            <w:vAlign w:val="bottom"/>
          </w:tcPr>
          <w:p w14:paraId="549C1861" w14:textId="77777777" w:rsidR="00BB2CB4" w:rsidRPr="00222C32" w:rsidRDefault="000674DA">
            <w:pPr>
              <w:pStyle w:val="SummaryAgencyTitle-BP2"/>
            </w:pPr>
            <w:r w:rsidRPr="00222C32">
              <w:t>Northern Australia Infrastructure Facility</w:t>
            </w:r>
          </w:p>
        </w:tc>
        <w:tc>
          <w:tcPr>
            <w:tcW w:w="849" w:type="dxa"/>
          </w:tcPr>
          <w:p w14:paraId="03602319" w14:textId="77777777" w:rsidR="00BB2CB4" w:rsidRPr="00222C32" w:rsidRDefault="00BB2CB4">
            <w:pPr>
              <w:pStyle w:val="SummaryAgencyTitle-BP2"/>
            </w:pPr>
          </w:p>
        </w:tc>
        <w:tc>
          <w:tcPr>
            <w:tcW w:w="849" w:type="dxa"/>
            <w:shd w:val="clear" w:color="auto" w:fill="E6F2FF"/>
          </w:tcPr>
          <w:p w14:paraId="1A2F321A" w14:textId="77777777" w:rsidR="00BB2CB4" w:rsidRPr="00222C32" w:rsidRDefault="00BB2CB4">
            <w:pPr>
              <w:pStyle w:val="SummaryAgencyTitle-BP2"/>
            </w:pPr>
          </w:p>
        </w:tc>
        <w:tc>
          <w:tcPr>
            <w:tcW w:w="849" w:type="dxa"/>
          </w:tcPr>
          <w:p w14:paraId="1FA1D5E1" w14:textId="77777777" w:rsidR="00BB2CB4" w:rsidRPr="00222C32" w:rsidRDefault="00BB2CB4">
            <w:pPr>
              <w:pStyle w:val="SummaryAgencyTitle-BP2"/>
            </w:pPr>
          </w:p>
        </w:tc>
        <w:tc>
          <w:tcPr>
            <w:tcW w:w="849" w:type="dxa"/>
          </w:tcPr>
          <w:p w14:paraId="1E96E8B0" w14:textId="77777777" w:rsidR="00BB2CB4" w:rsidRPr="00222C32" w:rsidRDefault="00BB2CB4">
            <w:pPr>
              <w:pStyle w:val="SummaryAgencyTitle-BP2"/>
            </w:pPr>
          </w:p>
        </w:tc>
        <w:tc>
          <w:tcPr>
            <w:tcW w:w="849" w:type="dxa"/>
          </w:tcPr>
          <w:p w14:paraId="1E697A83" w14:textId="77777777" w:rsidR="00BB2CB4" w:rsidRPr="00222C32" w:rsidRDefault="00BB2CB4">
            <w:pPr>
              <w:pStyle w:val="SummaryAgencyTitle-BP2"/>
            </w:pPr>
          </w:p>
        </w:tc>
      </w:tr>
      <w:tr w:rsidR="00BB2CB4" w:rsidRPr="00222C32" w14:paraId="0FE13831" w14:textId="77777777" w:rsidTr="00D54A3F">
        <w:tc>
          <w:tcPr>
            <w:tcW w:w="3465" w:type="dxa"/>
            <w:vAlign w:val="bottom"/>
          </w:tcPr>
          <w:p w14:paraId="09463DBB" w14:textId="77777777" w:rsidR="00BB2CB4" w:rsidRPr="00222C32" w:rsidRDefault="000674DA">
            <w:pPr>
              <w:pStyle w:val="SummaryMeasureTitlewithTheme"/>
            </w:pPr>
            <w:r w:rsidRPr="00222C32">
              <w:t>Future of the Northern Australia Infrastructure Facility(b)</w:t>
            </w:r>
          </w:p>
        </w:tc>
        <w:tc>
          <w:tcPr>
            <w:tcW w:w="849" w:type="dxa"/>
            <w:tcBorders>
              <w:bottom w:val="single" w:sz="4" w:space="0" w:color="293F5B"/>
            </w:tcBorders>
            <w:vAlign w:val="bottom"/>
          </w:tcPr>
          <w:p w14:paraId="66BAD8D1" w14:textId="77777777" w:rsidR="00BB2CB4" w:rsidRPr="00222C32" w:rsidRDefault="000674DA">
            <w:pPr>
              <w:pStyle w:val="Summarytabletextrightaligned"/>
            </w:pPr>
            <w:r w:rsidRPr="00222C32">
              <w:t>-</w:t>
            </w:r>
          </w:p>
        </w:tc>
        <w:tc>
          <w:tcPr>
            <w:tcW w:w="849" w:type="dxa"/>
            <w:tcBorders>
              <w:bottom w:val="single" w:sz="4" w:space="0" w:color="293F5B"/>
            </w:tcBorders>
            <w:shd w:val="clear" w:color="auto" w:fill="E6F2FF"/>
            <w:vAlign w:val="bottom"/>
          </w:tcPr>
          <w:p w14:paraId="291CB85F" w14:textId="77777777" w:rsidR="00BB2CB4" w:rsidRPr="00222C32" w:rsidRDefault="000674DA">
            <w:pPr>
              <w:pStyle w:val="Summarytabletextrightaligned"/>
            </w:pPr>
            <w:r w:rsidRPr="00222C32">
              <w:t>-</w:t>
            </w:r>
          </w:p>
        </w:tc>
        <w:tc>
          <w:tcPr>
            <w:tcW w:w="849" w:type="dxa"/>
            <w:tcBorders>
              <w:bottom w:val="single" w:sz="4" w:space="0" w:color="293F5B"/>
            </w:tcBorders>
            <w:vAlign w:val="bottom"/>
          </w:tcPr>
          <w:p w14:paraId="4DD9E44F" w14:textId="77777777" w:rsidR="00BB2CB4" w:rsidRPr="00222C32" w:rsidRDefault="000674DA">
            <w:pPr>
              <w:pStyle w:val="Summarytabletextrightaligned"/>
            </w:pPr>
            <w:r w:rsidRPr="00222C32">
              <w:t>17.2</w:t>
            </w:r>
          </w:p>
        </w:tc>
        <w:tc>
          <w:tcPr>
            <w:tcW w:w="849" w:type="dxa"/>
            <w:tcBorders>
              <w:bottom w:val="single" w:sz="4" w:space="0" w:color="293F5B"/>
            </w:tcBorders>
            <w:vAlign w:val="bottom"/>
          </w:tcPr>
          <w:p w14:paraId="3B1895B3" w14:textId="77777777" w:rsidR="00BB2CB4" w:rsidRPr="00222C32" w:rsidRDefault="000674DA">
            <w:pPr>
              <w:pStyle w:val="Summarytabletextrightaligned"/>
            </w:pPr>
            <w:r w:rsidRPr="00222C32">
              <w:t>17.3</w:t>
            </w:r>
          </w:p>
        </w:tc>
        <w:tc>
          <w:tcPr>
            <w:tcW w:w="849" w:type="dxa"/>
            <w:tcBorders>
              <w:bottom w:val="single" w:sz="4" w:space="0" w:color="293F5B"/>
            </w:tcBorders>
            <w:vAlign w:val="bottom"/>
          </w:tcPr>
          <w:p w14:paraId="3933B631" w14:textId="77777777" w:rsidR="00BB2CB4" w:rsidRPr="00222C32" w:rsidRDefault="000674DA">
            <w:pPr>
              <w:pStyle w:val="Summarytabletextrightaligned"/>
            </w:pPr>
            <w:r w:rsidRPr="00222C32">
              <w:t>17.8</w:t>
            </w:r>
          </w:p>
        </w:tc>
      </w:tr>
      <w:tr w:rsidR="00BB2CB4" w:rsidRPr="00222C32" w14:paraId="70679F05" w14:textId="77777777" w:rsidTr="00D54A3F">
        <w:tc>
          <w:tcPr>
            <w:tcW w:w="3465" w:type="dxa"/>
            <w:tcBorders>
              <w:bottom w:val="single" w:sz="4" w:space="0" w:color="293F5B"/>
            </w:tcBorders>
            <w:vAlign w:val="bottom"/>
          </w:tcPr>
          <w:p w14:paraId="4E3560BA" w14:textId="77777777" w:rsidR="00BB2CB4" w:rsidRPr="00222C32" w:rsidRDefault="000674DA">
            <w:pPr>
              <w:pStyle w:val="Summarytabletextleftalignedbold"/>
            </w:pPr>
            <w:r w:rsidRPr="00222C32">
              <w:t>Portfolio total</w:t>
            </w:r>
          </w:p>
        </w:tc>
        <w:tc>
          <w:tcPr>
            <w:tcW w:w="849" w:type="dxa"/>
            <w:tcBorders>
              <w:top w:val="single" w:sz="4" w:space="0" w:color="293F5B"/>
              <w:bottom w:val="single" w:sz="4" w:space="0" w:color="293F5B"/>
            </w:tcBorders>
            <w:vAlign w:val="bottom"/>
          </w:tcPr>
          <w:p w14:paraId="70CCB0DC" w14:textId="77777777" w:rsidR="00BB2CB4" w:rsidRPr="00222C32" w:rsidRDefault="000674DA">
            <w:pPr>
              <w:pStyle w:val="Summarytabletextrightalignedbold"/>
            </w:pPr>
            <w:r w:rsidRPr="00222C32">
              <w:t>-2.0</w:t>
            </w:r>
          </w:p>
        </w:tc>
        <w:tc>
          <w:tcPr>
            <w:tcW w:w="849" w:type="dxa"/>
            <w:tcBorders>
              <w:top w:val="single" w:sz="4" w:space="0" w:color="293F5B"/>
              <w:bottom w:val="single" w:sz="4" w:space="0" w:color="293F5B"/>
            </w:tcBorders>
            <w:shd w:val="clear" w:color="auto" w:fill="E6F2FF"/>
            <w:vAlign w:val="bottom"/>
          </w:tcPr>
          <w:p w14:paraId="77A9DA56" w14:textId="77777777" w:rsidR="00BB2CB4" w:rsidRPr="00222C32" w:rsidRDefault="000674DA">
            <w:pPr>
              <w:pStyle w:val="Summarytabletextrightalignedbold"/>
            </w:pPr>
            <w:r w:rsidRPr="00222C32">
              <w:t>65.3</w:t>
            </w:r>
          </w:p>
        </w:tc>
        <w:tc>
          <w:tcPr>
            <w:tcW w:w="849" w:type="dxa"/>
            <w:tcBorders>
              <w:top w:val="single" w:sz="4" w:space="0" w:color="293F5B"/>
              <w:bottom w:val="single" w:sz="4" w:space="0" w:color="293F5B"/>
            </w:tcBorders>
            <w:vAlign w:val="bottom"/>
          </w:tcPr>
          <w:p w14:paraId="4A29FD2B" w14:textId="77777777" w:rsidR="00BB2CB4" w:rsidRPr="00222C32" w:rsidRDefault="000674DA">
            <w:pPr>
              <w:pStyle w:val="Summarytabletextrightalignedbold"/>
            </w:pPr>
            <w:r w:rsidRPr="00222C32">
              <w:t>211.9</w:t>
            </w:r>
          </w:p>
        </w:tc>
        <w:tc>
          <w:tcPr>
            <w:tcW w:w="849" w:type="dxa"/>
            <w:tcBorders>
              <w:top w:val="single" w:sz="4" w:space="0" w:color="293F5B"/>
              <w:bottom w:val="single" w:sz="4" w:space="0" w:color="293F5B"/>
            </w:tcBorders>
            <w:vAlign w:val="bottom"/>
          </w:tcPr>
          <w:p w14:paraId="47E23210" w14:textId="77777777" w:rsidR="00BB2CB4" w:rsidRPr="00222C32" w:rsidRDefault="000674DA">
            <w:pPr>
              <w:pStyle w:val="Summarytabletextrightalignedbold"/>
            </w:pPr>
            <w:r w:rsidRPr="00222C32">
              <w:t>255.0</w:t>
            </w:r>
          </w:p>
        </w:tc>
        <w:tc>
          <w:tcPr>
            <w:tcW w:w="849" w:type="dxa"/>
            <w:tcBorders>
              <w:top w:val="single" w:sz="4" w:space="0" w:color="293F5B"/>
              <w:bottom w:val="single" w:sz="4" w:space="0" w:color="293F5B"/>
            </w:tcBorders>
            <w:vAlign w:val="bottom"/>
          </w:tcPr>
          <w:p w14:paraId="4BA768AD" w14:textId="77777777" w:rsidR="00BB2CB4" w:rsidRPr="00222C32" w:rsidRDefault="000674DA">
            <w:pPr>
              <w:pStyle w:val="Summarytabletextrightalignedbold"/>
            </w:pPr>
            <w:r w:rsidRPr="00222C32">
              <w:t>287.0</w:t>
            </w:r>
          </w:p>
        </w:tc>
      </w:tr>
    </w:tbl>
    <w:p w14:paraId="524C6B6A"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58C1B13A" w14:textId="1D6A529D"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6C296011" w14:textId="77777777" w:rsidTr="00825163">
        <w:tc>
          <w:tcPr>
            <w:tcW w:w="3471" w:type="dxa"/>
            <w:tcBorders>
              <w:top w:val="single" w:sz="4" w:space="0" w:color="293F5B"/>
              <w:bottom w:val="nil"/>
            </w:tcBorders>
            <w:vAlign w:val="bottom"/>
          </w:tcPr>
          <w:p w14:paraId="19B8D13E" w14:textId="77777777" w:rsidR="000D63FB" w:rsidRPr="00222C32" w:rsidRDefault="000D63FB" w:rsidP="000D63FB"/>
        </w:tc>
        <w:tc>
          <w:tcPr>
            <w:tcW w:w="850" w:type="dxa"/>
            <w:tcBorders>
              <w:top w:val="single" w:sz="4" w:space="0" w:color="293F5B"/>
              <w:bottom w:val="nil"/>
            </w:tcBorders>
          </w:tcPr>
          <w:p w14:paraId="624002D3"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4CB9478C"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7AFA991A"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7AD07314"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29DBB131" w14:textId="77777777" w:rsidR="000D63FB" w:rsidRPr="00222C32" w:rsidRDefault="000D63FB" w:rsidP="000D63FB">
            <w:pPr>
              <w:pStyle w:val="Summarytabletextrightaligned"/>
            </w:pPr>
            <w:r w:rsidRPr="00222C32">
              <w:t>2028-29</w:t>
            </w:r>
          </w:p>
        </w:tc>
      </w:tr>
      <w:tr w:rsidR="000D63FB" w:rsidRPr="00222C32" w14:paraId="0D3D1A0D" w14:textId="77777777" w:rsidTr="00825163">
        <w:tc>
          <w:tcPr>
            <w:tcW w:w="3471" w:type="dxa"/>
            <w:tcBorders>
              <w:top w:val="nil"/>
            </w:tcBorders>
            <w:vAlign w:val="bottom"/>
          </w:tcPr>
          <w:p w14:paraId="0A576005" w14:textId="77777777" w:rsidR="000D63FB" w:rsidRPr="00222C32" w:rsidRDefault="000D63FB" w:rsidP="000D63FB"/>
        </w:tc>
        <w:tc>
          <w:tcPr>
            <w:tcW w:w="850" w:type="dxa"/>
            <w:tcBorders>
              <w:top w:val="nil"/>
              <w:bottom w:val="single" w:sz="4" w:space="0" w:color="293F5B"/>
            </w:tcBorders>
          </w:tcPr>
          <w:p w14:paraId="550B4C66"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2D7EC1D1"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72DE43D1"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53DCA169"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522915FB" w14:textId="77777777" w:rsidR="000D63FB" w:rsidRPr="00222C32" w:rsidRDefault="000D63FB" w:rsidP="000D63FB">
            <w:pPr>
              <w:pStyle w:val="Summarytabletextrightaligned"/>
            </w:pPr>
            <w:r w:rsidRPr="00222C32">
              <w:t>$m</w:t>
            </w:r>
          </w:p>
        </w:tc>
      </w:tr>
      <w:tr w:rsidR="00BB2CB4" w:rsidRPr="00222C32" w14:paraId="1619862C" w14:textId="77777777" w:rsidTr="00825163">
        <w:tc>
          <w:tcPr>
            <w:tcW w:w="3471" w:type="dxa"/>
            <w:vAlign w:val="bottom"/>
          </w:tcPr>
          <w:p w14:paraId="7C1D0C5B" w14:textId="77777777" w:rsidR="00BB2CB4" w:rsidRPr="00222C32" w:rsidRDefault="000674DA">
            <w:pPr>
              <w:pStyle w:val="SummaryPortfolioTitle-BP2"/>
            </w:pPr>
            <w:r w:rsidRPr="00222C32">
              <w:t>PARLIAMENT</w:t>
            </w:r>
          </w:p>
        </w:tc>
        <w:tc>
          <w:tcPr>
            <w:tcW w:w="850" w:type="dxa"/>
            <w:tcBorders>
              <w:top w:val="single" w:sz="4" w:space="0" w:color="293F5B"/>
            </w:tcBorders>
          </w:tcPr>
          <w:p w14:paraId="017002A3"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4121D931" w14:textId="77777777" w:rsidR="00BB2CB4" w:rsidRPr="00222C32" w:rsidRDefault="00BB2CB4">
            <w:pPr>
              <w:pStyle w:val="MeasureTableTextRightAlignedBefore6ptAfter1pt"/>
            </w:pPr>
          </w:p>
        </w:tc>
        <w:tc>
          <w:tcPr>
            <w:tcW w:w="850" w:type="dxa"/>
            <w:tcBorders>
              <w:top w:val="single" w:sz="4" w:space="0" w:color="293F5B"/>
            </w:tcBorders>
          </w:tcPr>
          <w:p w14:paraId="4A960C8F" w14:textId="77777777" w:rsidR="00BB2CB4" w:rsidRPr="00222C32" w:rsidRDefault="00BB2CB4">
            <w:pPr>
              <w:pStyle w:val="MeasureTableTextRightAlignedBefore6ptAfter1pt"/>
            </w:pPr>
          </w:p>
        </w:tc>
        <w:tc>
          <w:tcPr>
            <w:tcW w:w="850" w:type="dxa"/>
            <w:tcBorders>
              <w:top w:val="single" w:sz="4" w:space="0" w:color="293F5B"/>
            </w:tcBorders>
          </w:tcPr>
          <w:p w14:paraId="796CB47E" w14:textId="77777777" w:rsidR="00BB2CB4" w:rsidRPr="00222C32" w:rsidRDefault="00BB2CB4">
            <w:pPr>
              <w:pStyle w:val="MeasureTableTextRightAlignedBefore6ptAfter1pt"/>
            </w:pPr>
          </w:p>
        </w:tc>
        <w:tc>
          <w:tcPr>
            <w:tcW w:w="850" w:type="dxa"/>
            <w:tcBorders>
              <w:top w:val="single" w:sz="4" w:space="0" w:color="293F5B"/>
            </w:tcBorders>
          </w:tcPr>
          <w:p w14:paraId="5A555137" w14:textId="77777777" w:rsidR="00BB2CB4" w:rsidRPr="00222C32" w:rsidRDefault="00BB2CB4">
            <w:pPr>
              <w:pStyle w:val="MeasureTableTextRightAlignedBefore6ptAfter1pt"/>
            </w:pPr>
          </w:p>
        </w:tc>
      </w:tr>
      <w:tr w:rsidR="00BB2CB4" w:rsidRPr="00222C32" w14:paraId="660C30D1" w14:textId="77777777" w:rsidTr="00825163">
        <w:tc>
          <w:tcPr>
            <w:tcW w:w="3471" w:type="dxa"/>
            <w:vAlign w:val="bottom"/>
          </w:tcPr>
          <w:p w14:paraId="6C3CFBA1" w14:textId="77777777" w:rsidR="00BB2CB4" w:rsidRPr="00222C32" w:rsidRDefault="000674DA">
            <w:pPr>
              <w:pStyle w:val="SummaryAgencyTitle-BP2"/>
            </w:pPr>
            <w:r w:rsidRPr="00222C32">
              <w:t>Department of Parliamentary Services</w:t>
            </w:r>
          </w:p>
        </w:tc>
        <w:tc>
          <w:tcPr>
            <w:tcW w:w="850" w:type="dxa"/>
          </w:tcPr>
          <w:p w14:paraId="7A8E51C9" w14:textId="77777777" w:rsidR="00BB2CB4" w:rsidRPr="00222C32" w:rsidRDefault="00BB2CB4">
            <w:pPr>
              <w:pStyle w:val="SummaryAgencyTitle-BP2"/>
            </w:pPr>
          </w:p>
        </w:tc>
        <w:tc>
          <w:tcPr>
            <w:tcW w:w="850" w:type="dxa"/>
            <w:shd w:val="clear" w:color="auto" w:fill="E6F2FF"/>
          </w:tcPr>
          <w:p w14:paraId="40E4876D" w14:textId="77777777" w:rsidR="00BB2CB4" w:rsidRPr="00222C32" w:rsidRDefault="00BB2CB4">
            <w:pPr>
              <w:pStyle w:val="SummaryAgencyTitle-BP2"/>
            </w:pPr>
          </w:p>
        </w:tc>
        <w:tc>
          <w:tcPr>
            <w:tcW w:w="850" w:type="dxa"/>
          </w:tcPr>
          <w:p w14:paraId="1A2C40BC" w14:textId="77777777" w:rsidR="00BB2CB4" w:rsidRPr="00222C32" w:rsidRDefault="00BB2CB4">
            <w:pPr>
              <w:pStyle w:val="SummaryAgencyTitle-BP2"/>
            </w:pPr>
          </w:p>
        </w:tc>
        <w:tc>
          <w:tcPr>
            <w:tcW w:w="850" w:type="dxa"/>
          </w:tcPr>
          <w:p w14:paraId="2EBC217F" w14:textId="77777777" w:rsidR="00BB2CB4" w:rsidRPr="00222C32" w:rsidRDefault="00BB2CB4">
            <w:pPr>
              <w:pStyle w:val="SummaryAgencyTitle-BP2"/>
            </w:pPr>
          </w:p>
        </w:tc>
        <w:tc>
          <w:tcPr>
            <w:tcW w:w="850" w:type="dxa"/>
          </w:tcPr>
          <w:p w14:paraId="025DDDA2" w14:textId="77777777" w:rsidR="00BB2CB4" w:rsidRPr="00222C32" w:rsidRDefault="00BB2CB4">
            <w:pPr>
              <w:pStyle w:val="SummaryAgencyTitle-BP2"/>
            </w:pPr>
          </w:p>
        </w:tc>
      </w:tr>
      <w:tr w:rsidR="00BB2CB4" w:rsidRPr="00222C32" w14:paraId="10282B38" w14:textId="77777777" w:rsidTr="00825163">
        <w:tc>
          <w:tcPr>
            <w:tcW w:w="3471" w:type="dxa"/>
            <w:vAlign w:val="bottom"/>
          </w:tcPr>
          <w:p w14:paraId="7CB9BF21" w14:textId="77777777" w:rsidR="00BB2CB4" w:rsidRPr="00222C32" w:rsidRDefault="000674DA">
            <w:pPr>
              <w:pStyle w:val="SummaryMeasureTitlewithTheme"/>
            </w:pPr>
            <w:r w:rsidRPr="00222C32">
              <w:t>Parliamentary Departments – additional resourcing</w:t>
            </w:r>
          </w:p>
        </w:tc>
        <w:tc>
          <w:tcPr>
            <w:tcW w:w="850" w:type="dxa"/>
            <w:vAlign w:val="bottom"/>
          </w:tcPr>
          <w:p w14:paraId="7CE659D5" w14:textId="77777777" w:rsidR="00BB2CB4" w:rsidRPr="00222C32" w:rsidRDefault="000674DA">
            <w:pPr>
              <w:pStyle w:val="Summarytabletextrightaligned"/>
            </w:pPr>
            <w:r w:rsidRPr="00222C32">
              <w:t>-</w:t>
            </w:r>
          </w:p>
        </w:tc>
        <w:tc>
          <w:tcPr>
            <w:tcW w:w="850" w:type="dxa"/>
            <w:shd w:val="clear" w:color="auto" w:fill="E6F2FF"/>
            <w:vAlign w:val="bottom"/>
          </w:tcPr>
          <w:p w14:paraId="2C114288" w14:textId="77777777" w:rsidR="00BB2CB4" w:rsidRPr="00222C32" w:rsidRDefault="000674DA">
            <w:pPr>
              <w:pStyle w:val="Summarytabletextrightaligned"/>
            </w:pPr>
            <w:r w:rsidRPr="00222C32">
              <w:t>8.5</w:t>
            </w:r>
          </w:p>
        </w:tc>
        <w:tc>
          <w:tcPr>
            <w:tcW w:w="850" w:type="dxa"/>
            <w:vAlign w:val="bottom"/>
          </w:tcPr>
          <w:p w14:paraId="2D322284" w14:textId="77777777" w:rsidR="00BB2CB4" w:rsidRPr="00222C32" w:rsidRDefault="000674DA">
            <w:pPr>
              <w:pStyle w:val="Summarytabletextrightaligned"/>
            </w:pPr>
            <w:r w:rsidRPr="00222C32">
              <w:t>4.9</w:t>
            </w:r>
          </w:p>
        </w:tc>
        <w:tc>
          <w:tcPr>
            <w:tcW w:w="850" w:type="dxa"/>
            <w:vAlign w:val="bottom"/>
          </w:tcPr>
          <w:p w14:paraId="7762E3E3" w14:textId="77777777" w:rsidR="00BB2CB4" w:rsidRPr="00222C32" w:rsidRDefault="000674DA">
            <w:pPr>
              <w:pStyle w:val="Summarytabletextrightaligned"/>
            </w:pPr>
            <w:r w:rsidRPr="00222C32">
              <w:t>5.4</w:t>
            </w:r>
          </w:p>
        </w:tc>
        <w:tc>
          <w:tcPr>
            <w:tcW w:w="850" w:type="dxa"/>
            <w:vAlign w:val="bottom"/>
          </w:tcPr>
          <w:p w14:paraId="27CD75AD" w14:textId="77777777" w:rsidR="00BB2CB4" w:rsidRPr="00222C32" w:rsidRDefault="000674DA">
            <w:pPr>
              <w:pStyle w:val="Summarytabletextrightaligned"/>
            </w:pPr>
            <w:r w:rsidRPr="00222C32">
              <w:t>5.8</w:t>
            </w:r>
          </w:p>
        </w:tc>
      </w:tr>
      <w:tr w:rsidR="00BB2CB4" w:rsidRPr="00222C32" w14:paraId="4205D7A3" w14:textId="77777777" w:rsidTr="00825163">
        <w:tc>
          <w:tcPr>
            <w:tcW w:w="3471" w:type="dxa"/>
            <w:vAlign w:val="bottom"/>
          </w:tcPr>
          <w:p w14:paraId="700EADC0" w14:textId="77777777" w:rsidR="00BB2CB4" w:rsidRPr="00222C32" w:rsidRDefault="000674DA">
            <w:pPr>
              <w:pStyle w:val="SummaryAgencyTitle-BP2"/>
            </w:pPr>
            <w:r w:rsidRPr="00222C32">
              <w:t>Department of the House of Representatives</w:t>
            </w:r>
          </w:p>
        </w:tc>
        <w:tc>
          <w:tcPr>
            <w:tcW w:w="850" w:type="dxa"/>
          </w:tcPr>
          <w:p w14:paraId="7E2C979B" w14:textId="77777777" w:rsidR="00BB2CB4" w:rsidRPr="00222C32" w:rsidRDefault="00BB2CB4">
            <w:pPr>
              <w:pStyle w:val="SummaryAgencyTitle-BP2"/>
            </w:pPr>
          </w:p>
        </w:tc>
        <w:tc>
          <w:tcPr>
            <w:tcW w:w="850" w:type="dxa"/>
            <w:shd w:val="clear" w:color="auto" w:fill="E6F2FF"/>
          </w:tcPr>
          <w:p w14:paraId="0FC11511" w14:textId="77777777" w:rsidR="00BB2CB4" w:rsidRPr="00222C32" w:rsidRDefault="00BB2CB4">
            <w:pPr>
              <w:pStyle w:val="SummaryAgencyTitle-BP2"/>
            </w:pPr>
          </w:p>
        </w:tc>
        <w:tc>
          <w:tcPr>
            <w:tcW w:w="850" w:type="dxa"/>
          </w:tcPr>
          <w:p w14:paraId="7D51D51C" w14:textId="77777777" w:rsidR="00BB2CB4" w:rsidRPr="00222C32" w:rsidRDefault="00BB2CB4">
            <w:pPr>
              <w:pStyle w:val="SummaryAgencyTitle-BP2"/>
            </w:pPr>
          </w:p>
        </w:tc>
        <w:tc>
          <w:tcPr>
            <w:tcW w:w="850" w:type="dxa"/>
          </w:tcPr>
          <w:p w14:paraId="47698C42" w14:textId="77777777" w:rsidR="00BB2CB4" w:rsidRPr="00222C32" w:rsidRDefault="00BB2CB4">
            <w:pPr>
              <w:pStyle w:val="SummaryAgencyTitle-BP2"/>
            </w:pPr>
          </w:p>
        </w:tc>
        <w:tc>
          <w:tcPr>
            <w:tcW w:w="850" w:type="dxa"/>
          </w:tcPr>
          <w:p w14:paraId="373687D5" w14:textId="77777777" w:rsidR="00BB2CB4" w:rsidRPr="00222C32" w:rsidRDefault="00BB2CB4">
            <w:pPr>
              <w:pStyle w:val="SummaryAgencyTitle-BP2"/>
            </w:pPr>
          </w:p>
        </w:tc>
      </w:tr>
      <w:tr w:rsidR="00BB2CB4" w:rsidRPr="00222C32" w14:paraId="2ABB6963" w14:textId="77777777" w:rsidTr="00825163">
        <w:tc>
          <w:tcPr>
            <w:tcW w:w="3471" w:type="dxa"/>
            <w:vAlign w:val="bottom"/>
          </w:tcPr>
          <w:p w14:paraId="752E5936" w14:textId="77777777" w:rsidR="00BB2CB4" w:rsidRPr="00222C32" w:rsidRDefault="000674DA">
            <w:pPr>
              <w:pStyle w:val="SummaryMeasureTitlewithTheme"/>
            </w:pPr>
            <w:r w:rsidRPr="00222C32">
              <w:t>Parliamentary Departments – additional resourcing</w:t>
            </w:r>
          </w:p>
        </w:tc>
        <w:tc>
          <w:tcPr>
            <w:tcW w:w="850" w:type="dxa"/>
            <w:tcBorders>
              <w:bottom w:val="single" w:sz="4" w:space="0" w:color="293F5B"/>
            </w:tcBorders>
            <w:vAlign w:val="bottom"/>
          </w:tcPr>
          <w:p w14:paraId="0E215406"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2FA110C5" w14:textId="77777777" w:rsidR="00BB2CB4" w:rsidRPr="00222C32" w:rsidRDefault="000674DA">
            <w:pPr>
              <w:pStyle w:val="Summarytabletextrightaligned"/>
            </w:pPr>
            <w:r w:rsidRPr="00222C32">
              <w:t>1.0</w:t>
            </w:r>
          </w:p>
        </w:tc>
        <w:tc>
          <w:tcPr>
            <w:tcW w:w="850" w:type="dxa"/>
            <w:tcBorders>
              <w:bottom w:val="single" w:sz="4" w:space="0" w:color="293F5B"/>
            </w:tcBorders>
            <w:vAlign w:val="bottom"/>
          </w:tcPr>
          <w:p w14:paraId="510D1DF2" w14:textId="77777777" w:rsidR="00BB2CB4" w:rsidRPr="00222C32" w:rsidRDefault="000674DA">
            <w:pPr>
              <w:pStyle w:val="Summarytabletextrightaligned"/>
            </w:pPr>
            <w:r w:rsidRPr="00222C32">
              <w:t>1.5</w:t>
            </w:r>
          </w:p>
        </w:tc>
        <w:tc>
          <w:tcPr>
            <w:tcW w:w="850" w:type="dxa"/>
            <w:tcBorders>
              <w:bottom w:val="single" w:sz="4" w:space="0" w:color="293F5B"/>
            </w:tcBorders>
            <w:vAlign w:val="bottom"/>
          </w:tcPr>
          <w:p w14:paraId="7F42B895" w14:textId="77777777" w:rsidR="00BB2CB4" w:rsidRPr="00222C32" w:rsidRDefault="000674DA">
            <w:pPr>
              <w:pStyle w:val="Summarytabletextrightaligned"/>
            </w:pPr>
            <w:r w:rsidRPr="00222C32">
              <w:t>1.5</w:t>
            </w:r>
          </w:p>
        </w:tc>
        <w:tc>
          <w:tcPr>
            <w:tcW w:w="850" w:type="dxa"/>
            <w:tcBorders>
              <w:bottom w:val="single" w:sz="4" w:space="0" w:color="293F5B"/>
            </w:tcBorders>
            <w:vAlign w:val="bottom"/>
          </w:tcPr>
          <w:p w14:paraId="3DB02D02" w14:textId="77777777" w:rsidR="00BB2CB4" w:rsidRPr="00222C32" w:rsidRDefault="000674DA">
            <w:pPr>
              <w:pStyle w:val="Summarytabletextrightaligned"/>
            </w:pPr>
            <w:r w:rsidRPr="00222C32">
              <w:t>1.6</w:t>
            </w:r>
          </w:p>
        </w:tc>
      </w:tr>
      <w:tr w:rsidR="00BB2CB4" w:rsidRPr="00222C32" w14:paraId="75B0496E" w14:textId="77777777" w:rsidTr="00825163">
        <w:tc>
          <w:tcPr>
            <w:tcW w:w="3471" w:type="dxa"/>
            <w:vAlign w:val="bottom"/>
          </w:tcPr>
          <w:p w14:paraId="72C6D5A0"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50FE5316"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7C6457D" w14:textId="77777777" w:rsidR="00BB2CB4" w:rsidRPr="00222C32" w:rsidRDefault="000674DA">
            <w:pPr>
              <w:pStyle w:val="Summarytabletextrightalignedbold"/>
            </w:pPr>
            <w:r w:rsidRPr="00222C32">
              <w:t>9.5</w:t>
            </w:r>
          </w:p>
        </w:tc>
        <w:tc>
          <w:tcPr>
            <w:tcW w:w="850" w:type="dxa"/>
            <w:tcBorders>
              <w:top w:val="single" w:sz="4" w:space="0" w:color="293F5B"/>
              <w:bottom w:val="single" w:sz="4" w:space="0" w:color="293F5B"/>
            </w:tcBorders>
            <w:vAlign w:val="bottom"/>
          </w:tcPr>
          <w:p w14:paraId="1C64A5BA" w14:textId="77777777" w:rsidR="00BB2CB4" w:rsidRPr="00222C32" w:rsidRDefault="000674DA">
            <w:pPr>
              <w:pStyle w:val="Summarytabletextrightalignedbold"/>
            </w:pPr>
            <w:r w:rsidRPr="00222C32">
              <w:t>6.4</w:t>
            </w:r>
          </w:p>
        </w:tc>
        <w:tc>
          <w:tcPr>
            <w:tcW w:w="850" w:type="dxa"/>
            <w:tcBorders>
              <w:top w:val="single" w:sz="4" w:space="0" w:color="293F5B"/>
              <w:bottom w:val="single" w:sz="4" w:space="0" w:color="293F5B"/>
            </w:tcBorders>
            <w:vAlign w:val="bottom"/>
          </w:tcPr>
          <w:p w14:paraId="5C3697D3" w14:textId="77777777" w:rsidR="00BB2CB4" w:rsidRPr="00222C32" w:rsidRDefault="000674DA">
            <w:pPr>
              <w:pStyle w:val="Summarytabletextrightalignedbold"/>
            </w:pPr>
            <w:r w:rsidRPr="00222C32">
              <w:t>6.9</w:t>
            </w:r>
          </w:p>
        </w:tc>
        <w:tc>
          <w:tcPr>
            <w:tcW w:w="850" w:type="dxa"/>
            <w:tcBorders>
              <w:top w:val="single" w:sz="4" w:space="0" w:color="293F5B"/>
              <w:bottom w:val="single" w:sz="4" w:space="0" w:color="293F5B"/>
            </w:tcBorders>
            <w:vAlign w:val="bottom"/>
          </w:tcPr>
          <w:p w14:paraId="356B6FE4" w14:textId="77777777" w:rsidR="00BB2CB4" w:rsidRPr="00222C32" w:rsidRDefault="000674DA">
            <w:pPr>
              <w:pStyle w:val="Summarytabletextrightalignedbold"/>
            </w:pPr>
            <w:r w:rsidRPr="00222C32">
              <w:t>7.4</w:t>
            </w:r>
          </w:p>
        </w:tc>
      </w:tr>
      <w:tr w:rsidR="00BB2CB4" w:rsidRPr="00222C32" w14:paraId="6F52CC0A" w14:textId="77777777" w:rsidTr="00825163">
        <w:tc>
          <w:tcPr>
            <w:tcW w:w="3471" w:type="dxa"/>
            <w:vAlign w:val="bottom"/>
          </w:tcPr>
          <w:p w14:paraId="06FDE55E" w14:textId="77777777" w:rsidR="00BB2CB4" w:rsidRPr="00222C32" w:rsidRDefault="000674DA">
            <w:pPr>
              <w:pStyle w:val="SummaryPortfolioTitle-BP2"/>
            </w:pPr>
            <w:r w:rsidRPr="00222C32">
              <w:t>PRIME MINISTER AND CABINET</w:t>
            </w:r>
          </w:p>
        </w:tc>
        <w:tc>
          <w:tcPr>
            <w:tcW w:w="850" w:type="dxa"/>
            <w:tcBorders>
              <w:top w:val="single" w:sz="4" w:space="0" w:color="293F5B"/>
            </w:tcBorders>
          </w:tcPr>
          <w:p w14:paraId="555509E9"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3A6A036A" w14:textId="77777777" w:rsidR="00BB2CB4" w:rsidRPr="00222C32" w:rsidRDefault="00BB2CB4">
            <w:pPr>
              <w:pStyle w:val="MeasureTableTextRightAlignedBefore6ptAfter1pt"/>
            </w:pPr>
          </w:p>
        </w:tc>
        <w:tc>
          <w:tcPr>
            <w:tcW w:w="850" w:type="dxa"/>
            <w:tcBorders>
              <w:top w:val="single" w:sz="4" w:space="0" w:color="293F5B"/>
            </w:tcBorders>
          </w:tcPr>
          <w:p w14:paraId="1011D633" w14:textId="77777777" w:rsidR="00BB2CB4" w:rsidRPr="00222C32" w:rsidRDefault="00BB2CB4">
            <w:pPr>
              <w:pStyle w:val="MeasureTableTextRightAlignedBefore6ptAfter1pt"/>
            </w:pPr>
          </w:p>
        </w:tc>
        <w:tc>
          <w:tcPr>
            <w:tcW w:w="850" w:type="dxa"/>
            <w:tcBorders>
              <w:top w:val="single" w:sz="4" w:space="0" w:color="293F5B"/>
            </w:tcBorders>
          </w:tcPr>
          <w:p w14:paraId="17530A18" w14:textId="77777777" w:rsidR="00BB2CB4" w:rsidRPr="00222C32" w:rsidRDefault="00BB2CB4">
            <w:pPr>
              <w:pStyle w:val="MeasureTableTextRightAlignedBefore6ptAfter1pt"/>
            </w:pPr>
          </w:p>
        </w:tc>
        <w:tc>
          <w:tcPr>
            <w:tcW w:w="850" w:type="dxa"/>
            <w:tcBorders>
              <w:top w:val="single" w:sz="4" w:space="0" w:color="293F5B"/>
            </w:tcBorders>
          </w:tcPr>
          <w:p w14:paraId="67B6EA99" w14:textId="77777777" w:rsidR="00BB2CB4" w:rsidRPr="00222C32" w:rsidRDefault="00BB2CB4">
            <w:pPr>
              <w:pStyle w:val="MeasureTableTextRightAlignedBefore6ptAfter1pt"/>
            </w:pPr>
          </w:p>
        </w:tc>
      </w:tr>
      <w:tr w:rsidR="00BB2CB4" w:rsidRPr="00222C32" w14:paraId="156DEE8F" w14:textId="77777777" w:rsidTr="00825163">
        <w:tc>
          <w:tcPr>
            <w:tcW w:w="3471" w:type="dxa"/>
            <w:vAlign w:val="bottom"/>
          </w:tcPr>
          <w:p w14:paraId="566AA161" w14:textId="77777777" w:rsidR="00BB2CB4" w:rsidRPr="00222C32" w:rsidRDefault="000674DA">
            <w:pPr>
              <w:pStyle w:val="SummaryAgencyTitle-BP2"/>
            </w:pPr>
            <w:r w:rsidRPr="00222C32">
              <w:t>Australian Institute of Aboriginal and Torres Strait Islander Studies</w:t>
            </w:r>
          </w:p>
        </w:tc>
        <w:tc>
          <w:tcPr>
            <w:tcW w:w="850" w:type="dxa"/>
          </w:tcPr>
          <w:p w14:paraId="53BDE8EB" w14:textId="77777777" w:rsidR="00BB2CB4" w:rsidRPr="00222C32" w:rsidRDefault="00BB2CB4">
            <w:pPr>
              <w:pStyle w:val="SummaryAgencyTitle-BP2"/>
            </w:pPr>
          </w:p>
        </w:tc>
        <w:tc>
          <w:tcPr>
            <w:tcW w:w="850" w:type="dxa"/>
            <w:shd w:val="clear" w:color="auto" w:fill="E6F2FF"/>
          </w:tcPr>
          <w:p w14:paraId="379D61AE" w14:textId="77777777" w:rsidR="00BB2CB4" w:rsidRPr="00222C32" w:rsidRDefault="00BB2CB4">
            <w:pPr>
              <w:pStyle w:val="SummaryAgencyTitle-BP2"/>
            </w:pPr>
          </w:p>
        </w:tc>
        <w:tc>
          <w:tcPr>
            <w:tcW w:w="850" w:type="dxa"/>
          </w:tcPr>
          <w:p w14:paraId="2BB90FAD" w14:textId="77777777" w:rsidR="00BB2CB4" w:rsidRPr="00222C32" w:rsidRDefault="00BB2CB4">
            <w:pPr>
              <w:pStyle w:val="SummaryAgencyTitle-BP2"/>
            </w:pPr>
          </w:p>
        </w:tc>
        <w:tc>
          <w:tcPr>
            <w:tcW w:w="850" w:type="dxa"/>
          </w:tcPr>
          <w:p w14:paraId="759B33EA" w14:textId="77777777" w:rsidR="00BB2CB4" w:rsidRPr="00222C32" w:rsidRDefault="00BB2CB4">
            <w:pPr>
              <w:pStyle w:val="SummaryAgencyTitle-BP2"/>
            </w:pPr>
          </w:p>
        </w:tc>
        <w:tc>
          <w:tcPr>
            <w:tcW w:w="850" w:type="dxa"/>
          </w:tcPr>
          <w:p w14:paraId="5E239091" w14:textId="77777777" w:rsidR="00BB2CB4" w:rsidRPr="00222C32" w:rsidRDefault="00BB2CB4">
            <w:pPr>
              <w:pStyle w:val="SummaryAgencyTitle-BP2"/>
            </w:pPr>
          </w:p>
        </w:tc>
      </w:tr>
      <w:tr w:rsidR="00BB2CB4" w:rsidRPr="00222C32" w14:paraId="35AD376F" w14:textId="77777777" w:rsidTr="00825163">
        <w:tc>
          <w:tcPr>
            <w:tcW w:w="3471" w:type="dxa"/>
            <w:vAlign w:val="bottom"/>
          </w:tcPr>
          <w:p w14:paraId="35659C4C" w14:textId="77777777" w:rsidR="00BB2CB4" w:rsidRPr="00222C32" w:rsidRDefault="000674DA">
            <w:pPr>
              <w:pStyle w:val="SummaryMeasureTitlewithTheme"/>
            </w:pPr>
            <w:r w:rsidRPr="00222C32">
              <w:t>Ngurra Cultural Precinct</w:t>
            </w:r>
          </w:p>
        </w:tc>
        <w:tc>
          <w:tcPr>
            <w:tcW w:w="850" w:type="dxa"/>
            <w:vAlign w:val="bottom"/>
          </w:tcPr>
          <w:p w14:paraId="1629D9DE" w14:textId="77777777" w:rsidR="00BB2CB4" w:rsidRPr="00222C32" w:rsidRDefault="000674DA">
            <w:pPr>
              <w:pStyle w:val="Summarytabletextrightaligned"/>
            </w:pPr>
            <w:r w:rsidRPr="00222C32">
              <w:t>-</w:t>
            </w:r>
          </w:p>
        </w:tc>
        <w:tc>
          <w:tcPr>
            <w:tcW w:w="850" w:type="dxa"/>
            <w:shd w:val="clear" w:color="auto" w:fill="E6F2FF"/>
            <w:vAlign w:val="bottom"/>
          </w:tcPr>
          <w:p w14:paraId="5E97CD59" w14:textId="77777777" w:rsidR="00BB2CB4" w:rsidRPr="00222C32" w:rsidRDefault="000674DA">
            <w:pPr>
              <w:pStyle w:val="Summarytabletextrightaligned"/>
            </w:pPr>
            <w:r w:rsidRPr="00222C32">
              <w:t>1.7</w:t>
            </w:r>
          </w:p>
        </w:tc>
        <w:tc>
          <w:tcPr>
            <w:tcW w:w="850" w:type="dxa"/>
            <w:vAlign w:val="bottom"/>
          </w:tcPr>
          <w:p w14:paraId="00ADB5EA" w14:textId="77777777" w:rsidR="00BB2CB4" w:rsidRPr="00222C32" w:rsidRDefault="000674DA">
            <w:pPr>
              <w:pStyle w:val="Summarytabletextrightaligned"/>
            </w:pPr>
            <w:r w:rsidRPr="00222C32">
              <w:t>-</w:t>
            </w:r>
          </w:p>
        </w:tc>
        <w:tc>
          <w:tcPr>
            <w:tcW w:w="850" w:type="dxa"/>
            <w:vAlign w:val="bottom"/>
          </w:tcPr>
          <w:p w14:paraId="232878AC" w14:textId="77777777" w:rsidR="00BB2CB4" w:rsidRPr="00222C32" w:rsidRDefault="000674DA">
            <w:pPr>
              <w:pStyle w:val="Summarytabletextrightaligned"/>
            </w:pPr>
            <w:r w:rsidRPr="00222C32">
              <w:t>-</w:t>
            </w:r>
          </w:p>
        </w:tc>
        <w:tc>
          <w:tcPr>
            <w:tcW w:w="850" w:type="dxa"/>
            <w:vAlign w:val="bottom"/>
          </w:tcPr>
          <w:p w14:paraId="62AA2DD5" w14:textId="77777777" w:rsidR="00BB2CB4" w:rsidRPr="00222C32" w:rsidRDefault="000674DA">
            <w:pPr>
              <w:pStyle w:val="Summarytabletextrightaligned"/>
            </w:pPr>
            <w:r w:rsidRPr="00222C32">
              <w:t>-</w:t>
            </w:r>
          </w:p>
        </w:tc>
      </w:tr>
      <w:tr w:rsidR="00BB2CB4" w:rsidRPr="00222C32" w14:paraId="6E075C8B" w14:textId="77777777" w:rsidTr="00825163">
        <w:tc>
          <w:tcPr>
            <w:tcW w:w="3471" w:type="dxa"/>
            <w:vAlign w:val="bottom"/>
          </w:tcPr>
          <w:p w14:paraId="51346076" w14:textId="77777777" w:rsidR="00BB2CB4" w:rsidRPr="00222C32" w:rsidRDefault="000674DA">
            <w:pPr>
              <w:pStyle w:val="SummaryAgencyTitle-BP2"/>
            </w:pPr>
            <w:r w:rsidRPr="00222C32">
              <w:t>Australian Public Service Commission</w:t>
            </w:r>
          </w:p>
        </w:tc>
        <w:tc>
          <w:tcPr>
            <w:tcW w:w="850" w:type="dxa"/>
          </w:tcPr>
          <w:p w14:paraId="61655F1D" w14:textId="77777777" w:rsidR="00BB2CB4" w:rsidRPr="00222C32" w:rsidRDefault="00BB2CB4">
            <w:pPr>
              <w:pStyle w:val="SummaryAgencyTitle-BP2"/>
            </w:pPr>
          </w:p>
        </w:tc>
        <w:tc>
          <w:tcPr>
            <w:tcW w:w="850" w:type="dxa"/>
            <w:shd w:val="clear" w:color="auto" w:fill="E6F2FF"/>
          </w:tcPr>
          <w:p w14:paraId="08FEC9FC" w14:textId="77777777" w:rsidR="00BB2CB4" w:rsidRPr="00222C32" w:rsidRDefault="00BB2CB4">
            <w:pPr>
              <w:pStyle w:val="SummaryAgencyTitle-BP2"/>
            </w:pPr>
          </w:p>
        </w:tc>
        <w:tc>
          <w:tcPr>
            <w:tcW w:w="850" w:type="dxa"/>
          </w:tcPr>
          <w:p w14:paraId="319771FC" w14:textId="77777777" w:rsidR="00BB2CB4" w:rsidRPr="00222C32" w:rsidRDefault="00BB2CB4">
            <w:pPr>
              <w:pStyle w:val="SummaryAgencyTitle-BP2"/>
            </w:pPr>
          </w:p>
        </w:tc>
        <w:tc>
          <w:tcPr>
            <w:tcW w:w="850" w:type="dxa"/>
          </w:tcPr>
          <w:p w14:paraId="19FC952F" w14:textId="77777777" w:rsidR="00BB2CB4" w:rsidRPr="00222C32" w:rsidRDefault="00BB2CB4">
            <w:pPr>
              <w:pStyle w:val="SummaryAgencyTitle-BP2"/>
            </w:pPr>
          </w:p>
        </w:tc>
        <w:tc>
          <w:tcPr>
            <w:tcW w:w="850" w:type="dxa"/>
          </w:tcPr>
          <w:p w14:paraId="09F3EE3D" w14:textId="77777777" w:rsidR="00BB2CB4" w:rsidRPr="00222C32" w:rsidRDefault="00BB2CB4">
            <w:pPr>
              <w:pStyle w:val="SummaryAgencyTitle-BP2"/>
            </w:pPr>
          </w:p>
        </w:tc>
      </w:tr>
      <w:tr w:rsidR="00BB2CB4" w:rsidRPr="00222C32" w14:paraId="2F948762" w14:textId="77777777" w:rsidTr="00825163">
        <w:tc>
          <w:tcPr>
            <w:tcW w:w="3471" w:type="dxa"/>
            <w:vAlign w:val="bottom"/>
          </w:tcPr>
          <w:p w14:paraId="2B763E27" w14:textId="77777777" w:rsidR="00BB2CB4" w:rsidRPr="00222C32" w:rsidRDefault="000674DA">
            <w:pPr>
              <w:pStyle w:val="SummaryMeasureTitlewithTheme"/>
            </w:pPr>
            <w:r w:rsidRPr="00222C32">
              <w:t>Prime Minister and Cabinet – additional resourcing</w:t>
            </w:r>
          </w:p>
        </w:tc>
        <w:tc>
          <w:tcPr>
            <w:tcW w:w="850" w:type="dxa"/>
            <w:vAlign w:val="bottom"/>
          </w:tcPr>
          <w:p w14:paraId="723B292B" w14:textId="77777777" w:rsidR="00BB2CB4" w:rsidRPr="00222C32" w:rsidRDefault="000674DA">
            <w:pPr>
              <w:pStyle w:val="Summarytabletextrightaligned"/>
            </w:pPr>
            <w:r w:rsidRPr="00222C32">
              <w:t>-</w:t>
            </w:r>
          </w:p>
        </w:tc>
        <w:tc>
          <w:tcPr>
            <w:tcW w:w="850" w:type="dxa"/>
            <w:shd w:val="clear" w:color="auto" w:fill="E6F2FF"/>
            <w:vAlign w:val="bottom"/>
          </w:tcPr>
          <w:p w14:paraId="62A75001" w14:textId="77777777" w:rsidR="00BB2CB4" w:rsidRPr="00222C32" w:rsidRDefault="000674DA">
            <w:pPr>
              <w:pStyle w:val="Summarytabletextrightaligned"/>
            </w:pPr>
            <w:r w:rsidRPr="00222C32">
              <w:t>9.2</w:t>
            </w:r>
          </w:p>
        </w:tc>
        <w:tc>
          <w:tcPr>
            <w:tcW w:w="850" w:type="dxa"/>
            <w:vAlign w:val="bottom"/>
          </w:tcPr>
          <w:p w14:paraId="47B51A18" w14:textId="77777777" w:rsidR="00BB2CB4" w:rsidRPr="00222C32" w:rsidRDefault="000674DA">
            <w:pPr>
              <w:pStyle w:val="Summarytabletextrightaligned"/>
            </w:pPr>
            <w:r w:rsidRPr="00222C32">
              <w:t>-</w:t>
            </w:r>
          </w:p>
        </w:tc>
        <w:tc>
          <w:tcPr>
            <w:tcW w:w="850" w:type="dxa"/>
            <w:vAlign w:val="bottom"/>
          </w:tcPr>
          <w:p w14:paraId="09B6DB7F" w14:textId="77777777" w:rsidR="00BB2CB4" w:rsidRPr="00222C32" w:rsidRDefault="000674DA">
            <w:pPr>
              <w:pStyle w:val="Summarytabletextrightaligned"/>
            </w:pPr>
            <w:r w:rsidRPr="00222C32">
              <w:t>-</w:t>
            </w:r>
          </w:p>
        </w:tc>
        <w:tc>
          <w:tcPr>
            <w:tcW w:w="850" w:type="dxa"/>
            <w:vAlign w:val="bottom"/>
          </w:tcPr>
          <w:p w14:paraId="470F4345" w14:textId="77777777" w:rsidR="00BB2CB4" w:rsidRPr="00222C32" w:rsidRDefault="000674DA">
            <w:pPr>
              <w:pStyle w:val="Summarytabletextrightaligned"/>
            </w:pPr>
            <w:r w:rsidRPr="00222C32">
              <w:t>-</w:t>
            </w:r>
          </w:p>
        </w:tc>
      </w:tr>
      <w:tr w:rsidR="00BB2CB4" w:rsidRPr="00222C32" w14:paraId="32E3DFB7" w14:textId="77777777" w:rsidTr="00825163">
        <w:tc>
          <w:tcPr>
            <w:tcW w:w="3471" w:type="dxa"/>
            <w:vAlign w:val="bottom"/>
          </w:tcPr>
          <w:p w14:paraId="701A81DB" w14:textId="77777777" w:rsidR="00BB2CB4" w:rsidRPr="00222C32" w:rsidRDefault="000674DA">
            <w:pPr>
              <w:pStyle w:val="SummaryAgencyTitle-BP2"/>
            </w:pPr>
            <w:r w:rsidRPr="00222C32">
              <w:t>Department of the Prime Minister and Cabinet</w:t>
            </w:r>
          </w:p>
        </w:tc>
        <w:tc>
          <w:tcPr>
            <w:tcW w:w="850" w:type="dxa"/>
          </w:tcPr>
          <w:p w14:paraId="43F4A4CC" w14:textId="77777777" w:rsidR="00BB2CB4" w:rsidRPr="00222C32" w:rsidRDefault="00BB2CB4">
            <w:pPr>
              <w:pStyle w:val="SummaryAgencyTitle-BP2"/>
            </w:pPr>
          </w:p>
        </w:tc>
        <w:tc>
          <w:tcPr>
            <w:tcW w:w="850" w:type="dxa"/>
            <w:shd w:val="clear" w:color="auto" w:fill="E6F2FF"/>
          </w:tcPr>
          <w:p w14:paraId="1B62F1DD" w14:textId="77777777" w:rsidR="00BB2CB4" w:rsidRPr="00222C32" w:rsidRDefault="00BB2CB4">
            <w:pPr>
              <w:pStyle w:val="SummaryAgencyTitle-BP2"/>
            </w:pPr>
          </w:p>
        </w:tc>
        <w:tc>
          <w:tcPr>
            <w:tcW w:w="850" w:type="dxa"/>
          </w:tcPr>
          <w:p w14:paraId="3DE57743" w14:textId="77777777" w:rsidR="00BB2CB4" w:rsidRPr="00222C32" w:rsidRDefault="00BB2CB4">
            <w:pPr>
              <w:pStyle w:val="SummaryAgencyTitle-BP2"/>
            </w:pPr>
          </w:p>
        </w:tc>
        <w:tc>
          <w:tcPr>
            <w:tcW w:w="850" w:type="dxa"/>
          </w:tcPr>
          <w:p w14:paraId="271D2639" w14:textId="77777777" w:rsidR="00BB2CB4" w:rsidRPr="00222C32" w:rsidRDefault="00BB2CB4">
            <w:pPr>
              <w:pStyle w:val="SummaryAgencyTitle-BP2"/>
            </w:pPr>
          </w:p>
        </w:tc>
        <w:tc>
          <w:tcPr>
            <w:tcW w:w="850" w:type="dxa"/>
          </w:tcPr>
          <w:p w14:paraId="24502D3A" w14:textId="77777777" w:rsidR="00BB2CB4" w:rsidRPr="00222C32" w:rsidRDefault="00BB2CB4">
            <w:pPr>
              <w:pStyle w:val="SummaryAgencyTitle-BP2"/>
            </w:pPr>
          </w:p>
        </w:tc>
      </w:tr>
      <w:tr w:rsidR="00BB2CB4" w:rsidRPr="00222C32" w14:paraId="676130AB" w14:textId="77777777" w:rsidTr="00825163">
        <w:tc>
          <w:tcPr>
            <w:tcW w:w="3471" w:type="dxa"/>
            <w:vAlign w:val="bottom"/>
          </w:tcPr>
          <w:p w14:paraId="6B0A3A8E" w14:textId="77777777" w:rsidR="00BB2CB4" w:rsidRPr="00222C32" w:rsidRDefault="000674DA">
            <w:pPr>
              <w:pStyle w:val="SummaryMeasureTitlewithTheme"/>
            </w:pPr>
            <w:r w:rsidRPr="00222C32">
              <w:t>Prime Minister and Cabinet – additional resourcing</w:t>
            </w:r>
          </w:p>
        </w:tc>
        <w:tc>
          <w:tcPr>
            <w:tcW w:w="850" w:type="dxa"/>
            <w:vAlign w:val="bottom"/>
          </w:tcPr>
          <w:p w14:paraId="027559F1" w14:textId="77777777" w:rsidR="00BB2CB4" w:rsidRPr="00222C32" w:rsidRDefault="000674DA">
            <w:pPr>
              <w:pStyle w:val="Summarytabletextrightaligned"/>
            </w:pPr>
            <w:r w:rsidRPr="00222C32">
              <w:t>-</w:t>
            </w:r>
          </w:p>
        </w:tc>
        <w:tc>
          <w:tcPr>
            <w:tcW w:w="850" w:type="dxa"/>
            <w:shd w:val="clear" w:color="auto" w:fill="E6F2FF"/>
            <w:vAlign w:val="bottom"/>
          </w:tcPr>
          <w:p w14:paraId="6B082BDE" w14:textId="77777777" w:rsidR="00BB2CB4" w:rsidRPr="00222C32" w:rsidRDefault="000674DA">
            <w:pPr>
              <w:pStyle w:val="Summarytabletextrightaligned"/>
            </w:pPr>
            <w:r w:rsidRPr="00222C32">
              <w:t>3.6</w:t>
            </w:r>
          </w:p>
        </w:tc>
        <w:tc>
          <w:tcPr>
            <w:tcW w:w="850" w:type="dxa"/>
            <w:vAlign w:val="bottom"/>
          </w:tcPr>
          <w:p w14:paraId="3387E221" w14:textId="77777777" w:rsidR="00BB2CB4" w:rsidRPr="00222C32" w:rsidRDefault="000674DA">
            <w:pPr>
              <w:pStyle w:val="Summarytabletextrightaligned"/>
            </w:pPr>
            <w:r w:rsidRPr="00222C32">
              <w:t>7.1</w:t>
            </w:r>
          </w:p>
        </w:tc>
        <w:tc>
          <w:tcPr>
            <w:tcW w:w="850" w:type="dxa"/>
            <w:vAlign w:val="bottom"/>
          </w:tcPr>
          <w:p w14:paraId="7EFAEDEB" w14:textId="77777777" w:rsidR="00BB2CB4" w:rsidRPr="00222C32" w:rsidRDefault="000674DA">
            <w:pPr>
              <w:pStyle w:val="Summarytabletextrightaligned"/>
            </w:pPr>
            <w:r w:rsidRPr="00222C32">
              <w:t>7.2</w:t>
            </w:r>
          </w:p>
        </w:tc>
        <w:tc>
          <w:tcPr>
            <w:tcW w:w="850" w:type="dxa"/>
            <w:vAlign w:val="bottom"/>
          </w:tcPr>
          <w:p w14:paraId="7B8639B8" w14:textId="77777777" w:rsidR="00BB2CB4" w:rsidRPr="00222C32" w:rsidRDefault="000674DA">
            <w:pPr>
              <w:pStyle w:val="Summarytabletextrightaligned"/>
            </w:pPr>
            <w:r w:rsidRPr="00222C32">
              <w:t>7.3</w:t>
            </w:r>
          </w:p>
        </w:tc>
      </w:tr>
      <w:tr w:rsidR="00BB2CB4" w:rsidRPr="00222C32" w14:paraId="4C20CA89" w14:textId="77777777" w:rsidTr="00825163">
        <w:tc>
          <w:tcPr>
            <w:tcW w:w="3471" w:type="dxa"/>
            <w:vAlign w:val="bottom"/>
          </w:tcPr>
          <w:p w14:paraId="1694EE75" w14:textId="77777777" w:rsidR="00BB2CB4" w:rsidRPr="00222C32" w:rsidRDefault="000674DA">
            <w:pPr>
              <w:pStyle w:val="SummaryAgencyTitle-BP2"/>
            </w:pPr>
            <w:r w:rsidRPr="00222C32">
              <w:t>National Indigenous Australians Agency</w:t>
            </w:r>
          </w:p>
        </w:tc>
        <w:tc>
          <w:tcPr>
            <w:tcW w:w="850" w:type="dxa"/>
          </w:tcPr>
          <w:p w14:paraId="6A8CCC47" w14:textId="77777777" w:rsidR="00BB2CB4" w:rsidRPr="00222C32" w:rsidRDefault="00BB2CB4">
            <w:pPr>
              <w:pStyle w:val="SummaryAgencyTitle-BP2"/>
            </w:pPr>
          </w:p>
        </w:tc>
        <w:tc>
          <w:tcPr>
            <w:tcW w:w="850" w:type="dxa"/>
            <w:shd w:val="clear" w:color="auto" w:fill="E6F2FF"/>
          </w:tcPr>
          <w:p w14:paraId="3685AE77" w14:textId="77777777" w:rsidR="00BB2CB4" w:rsidRPr="00222C32" w:rsidRDefault="00BB2CB4">
            <w:pPr>
              <w:pStyle w:val="SummaryAgencyTitle-BP2"/>
            </w:pPr>
          </w:p>
        </w:tc>
        <w:tc>
          <w:tcPr>
            <w:tcW w:w="850" w:type="dxa"/>
          </w:tcPr>
          <w:p w14:paraId="4182C992" w14:textId="77777777" w:rsidR="00BB2CB4" w:rsidRPr="00222C32" w:rsidRDefault="00BB2CB4">
            <w:pPr>
              <w:pStyle w:val="SummaryAgencyTitle-BP2"/>
            </w:pPr>
          </w:p>
        </w:tc>
        <w:tc>
          <w:tcPr>
            <w:tcW w:w="850" w:type="dxa"/>
          </w:tcPr>
          <w:p w14:paraId="517BC4AC" w14:textId="77777777" w:rsidR="00BB2CB4" w:rsidRPr="00222C32" w:rsidRDefault="00BB2CB4">
            <w:pPr>
              <w:pStyle w:val="SummaryAgencyTitle-BP2"/>
            </w:pPr>
          </w:p>
        </w:tc>
        <w:tc>
          <w:tcPr>
            <w:tcW w:w="850" w:type="dxa"/>
          </w:tcPr>
          <w:p w14:paraId="1434E423" w14:textId="77777777" w:rsidR="00BB2CB4" w:rsidRPr="00222C32" w:rsidRDefault="00BB2CB4">
            <w:pPr>
              <w:pStyle w:val="SummaryAgencyTitle-BP2"/>
            </w:pPr>
          </w:p>
        </w:tc>
      </w:tr>
      <w:tr w:rsidR="00BB2CB4" w:rsidRPr="00222C32" w14:paraId="28D6BC0B" w14:textId="77777777" w:rsidTr="00825163">
        <w:tc>
          <w:tcPr>
            <w:tcW w:w="3471" w:type="dxa"/>
            <w:vAlign w:val="bottom"/>
          </w:tcPr>
          <w:p w14:paraId="2106CFF9" w14:textId="77777777" w:rsidR="00BB2CB4" w:rsidRPr="00222C32" w:rsidRDefault="000674DA">
            <w:pPr>
              <w:pStyle w:val="SummaryMeasureTitlewithTheme"/>
            </w:pPr>
            <w:r w:rsidRPr="00222C32">
              <w:t>Payments to Support Ongoing Rehabilitation of Ranger Uranium Mine</w:t>
            </w:r>
          </w:p>
        </w:tc>
        <w:tc>
          <w:tcPr>
            <w:tcW w:w="850" w:type="dxa"/>
            <w:vAlign w:val="bottom"/>
          </w:tcPr>
          <w:p w14:paraId="1D655402" w14:textId="77777777" w:rsidR="00BB2CB4" w:rsidRPr="00222C32" w:rsidRDefault="000674DA">
            <w:pPr>
              <w:pStyle w:val="Summarytabletextrightaligned"/>
            </w:pPr>
            <w:r w:rsidRPr="00222C32">
              <w:t>-</w:t>
            </w:r>
          </w:p>
        </w:tc>
        <w:tc>
          <w:tcPr>
            <w:tcW w:w="850" w:type="dxa"/>
            <w:shd w:val="clear" w:color="auto" w:fill="E6F2FF"/>
            <w:vAlign w:val="bottom"/>
          </w:tcPr>
          <w:p w14:paraId="53548E51" w14:textId="77777777" w:rsidR="00BB2CB4" w:rsidRPr="00222C32" w:rsidRDefault="000674DA">
            <w:pPr>
              <w:pStyle w:val="Summarytabletextrightaligned"/>
            </w:pPr>
            <w:r w:rsidRPr="00222C32">
              <w:t>0.8</w:t>
            </w:r>
          </w:p>
        </w:tc>
        <w:tc>
          <w:tcPr>
            <w:tcW w:w="850" w:type="dxa"/>
            <w:vAlign w:val="bottom"/>
          </w:tcPr>
          <w:p w14:paraId="6DE49F1A" w14:textId="77777777" w:rsidR="00BB2CB4" w:rsidRPr="00222C32" w:rsidRDefault="000674DA">
            <w:pPr>
              <w:pStyle w:val="Summarytabletextrightaligned"/>
              <w:rPr>
                <w:lang w:val="en-US"/>
              </w:rPr>
            </w:pPr>
            <w:r w:rsidRPr="00222C32">
              <w:rPr>
                <w:lang w:val="en-US"/>
              </w:rPr>
              <w:t>nfp</w:t>
            </w:r>
          </w:p>
        </w:tc>
        <w:tc>
          <w:tcPr>
            <w:tcW w:w="850" w:type="dxa"/>
            <w:vAlign w:val="bottom"/>
          </w:tcPr>
          <w:p w14:paraId="76B894F0" w14:textId="77777777" w:rsidR="00BB2CB4" w:rsidRPr="00222C32" w:rsidRDefault="000674DA">
            <w:pPr>
              <w:pStyle w:val="Summarytabletextrightaligned"/>
              <w:rPr>
                <w:lang w:val="en-US"/>
              </w:rPr>
            </w:pPr>
            <w:r w:rsidRPr="00222C32">
              <w:rPr>
                <w:lang w:val="en-US"/>
              </w:rPr>
              <w:t>nfp</w:t>
            </w:r>
          </w:p>
        </w:tc>
        <w:tc>
          <w:tcPr>
            <w:tcW w:w="850" w:type="dxa"/>
            <w:vAlign w:val="bottom"/>
          </w:tcPr>
          <w:p w14:paraId="2236BBFE" w14:textId="77777777" w:rsidR="00BB2CB4" w:rsidRPr="00222C32" w:rsidRDefault="000674DA">
            <w:pPr>
              <w:pStyle w:val="Summarytabletextrightaligned"/>
              <w:rPr>
                <w:lang w:val="en-US"/>
              </w:rPr>
            </w:pPr>
            <w:r w:rsidRPr="00222C32">
              <w:rPr>
                <w:lang w:val="en-US"/>
              </w:rPr>
              <w:t>nfp</w:t>
            </w:r>
          </w:p>
        </w:tc>
      </w:tr>
      <w:tr w:rsidR="00BB2CB4" w:rsidRPr="00222C32" w14:paraId="704DD99E" w14:textId="77777777" w:rsidTr="00825163">
        <w:tc>
          <w:tcPr>
            <w:tcW w:w="3471" w:type="dxa"/>
            <w:vAlign w:val="bottom"/>
          </w:tcPr>
          <w:p w14:paraId="50F8B162" w14:textId="77777777" w:rsidR="00BB2CB4" w:rsidRPr="00222C32" w:rsidRDefault="000674DA">
            <w:pPr>
              <w:pStyle w:val="SummaryAgencyTitle-BP2"/>
            </w:pPr>
            <w:r w:rsidRPr="00222C32">
              <w:t>Office of the Official Secretary to the Governor‑General</w:t>
            </w:r>
          </w:p>
        </w:tc>
        <w:tc>
          <w:tcPr>
            <w:tcW w:w="850" w:type="dxa"/>
          </w:tcPr>
          <w:p w14:paraId="6FB9F010" w14:textId="77777777" w:rsidR="00BB2CB4" w:rsidRPr="00222C32" w:rsidRDefault="00BB2CB4">
            <w:pPr>
              <w:pStyle w:val="SummaryAgencyTitle-BP2"/>
            </w:pPr>
          </w:p>
        </w:tc>
        <w:tc>
          <w:tcPr>
            <w:tcW w:w="850" w:type="dxa"/>
            <w:shd w:val="clear" w:color="auto" w:fill="E6F2FF"/>
          </w:tcPr>
          <w:p w14:paraId="4B3B927E" w14:textId="77777777" w:rsidR="00BB2CB4" w:rsidRPr="00222C32" w:rsidRDefault="00BB2CB4">
            <w:pPr>
              <w:pStyle w:val="SummaryAgencyTitle-BP2"/>
            </w:pPr>
          </w:p>
        </w:tc>
        <w:tc>
          <w:tcPr>
            <w:tcW w:w="850" w:type="dxa"/>
          </w:tcPr>
          <w:p w14:paraId="476FCF34" w14:textId="77777777" w:rsidR="00BB2CB4" w:rsidRPr="00222C32" w:rsidRDefault="00BB2CB4">
            <w:pPr>
              <w:pStyle w:val="SummaryAgencyTitle-BP2"/>
            </w:pPr>
          </w:p>
        </w:tc>
        <w:tc>
          <w:tcPr>
            <w:tcW w:w="850" w:type="dxa"/>
          </w:tcPr>
          <w:p w14:paraId="276CD928" w14:textId="77777777" w:rsidR="00BB2CB4" w:rsidRPr="00222C32" w:rsidRDefault="00BB2CB4">
            <w:pPr>
              <w:pStyle w:val="SummaryAgencyTitle-BP2"/>
            </w:pPr>
          </w:p>
        </w:tc>
        <w:tc>
          <w:tcPr>
            <w:tcW w:w="850" w:type="dxa"/>
          </w:tcPr>
          <w:p w14:paraId="15D39027" w14:textId="77777777" w:rsidR="00BB2CB4" w:rsidRPr="00222C32" w:rsidRDefault="00BB2CB4">
            <w:pPr>
              <w:pStyle w:val="SummaryAgencyTitle-BP2"/>
            </w:pPr>
          </w:p>
        </w:tc>
      </w:tr>
      <w:tr w:rsidR="00BB2CB4" w:rsidRPr="00222C32" w14:paraId="3E474A7F" w14:textId="77777777" w:rsidTr="00825163">
        <w:tc>
          <w:tcPr>
            <w:tcW w:w="3471" w:type="dxa"/>
            <w:vAlign w:val="bottom"/>
          </w:tcPr>
          <w:p w14:paraId="75A27E1A" w14:textId="77777777" w:rsidR="00BB2CB4" w:rsidRPr="00222C32" w:rsidRDefault="000674DA">
            <w:pPr>
              <w:pStyle w:val="SummaryMeasureTitlewithTheme"/>
            </w:pPr>
            <w:r w:rsidRPr="00222C32">
              <w:t>Prime Minister and Cabinet – additional resourcing</w:t>
            </w:r>
          </w:p>
        </w:tc>
        <w:tc>
          <w:tcPr>
            <w:tcW w:w="850" w:type="dxa"/>
            <w:tcBorders>
              <w:bottom w:val="single" w:sz="4" w:space="0" w:color="293F5B"/>
            </w:tcBorders>
            <w:vAlign w:val="bottom"/>
          </w:tcPr>
          <w:p w14:paraId="75CCA77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4740D84B" w14:textId="77777777" w:rsidR="00BB2CB4" w:rsidRPr="00222C32" w:rsidRDefault="000674DA">
            <w:pPr>
              <w:pStyle w:val="Summarytabletextrightaligned"/>
            </w:pPr>
            <w:r w:rsidRPr="00222C32">
              <w:t>4.6</w:t>
            </w:r>
          </w:p>
        </w:tc>
        <w:tc>
          <w:tcPr>
            <w:tcW w:w="850" w:type="dxa"/>
            <w:tcBorders>
              <w:bottom w:val="single" w:sz="4" w:space="0" w:color="293F5B"/>
            </w:tcBorders>
            <w:vAlign w:val="bottom"/>
          </w:tcPr>
          <w:p w14:paraId="1DB69648" w14:textId="77777777" w:rsidR="00BB2CB4" w:rsidRPr="00222C32" w:rsidRDefault="000674DA">
            <w:pPr>
              <w:pStyle w:val="Summarytabletextrightaligned"/>
            </w:pPr>
            <w:r w:rsidRPr="00222C32">
              <w:t>2.0</w:t>
            </w:r>
          </w:p>
        </w:tc>
        <w:tc>
          <w:tcPr>
            <w:tcW w:w="850" w:type="dxa"/>
            <w:tcBorders>
              <w:bottom w:val="single" w:sz="4" w:space="0" w:color="293F5B"/>
            </w:tcBorders>
            <w:vAlign w:val="bottom"/>
          </w:tcPr>
          <w:p w14:paraId="00B00441"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7B9FD8A6" w14:textId="77777777" w:rsidR="00BB2CB4" w:rsidRPr="00222C32" w:rsidRDefault="000674DA">
            <w:pPr>
              <w:pStyle w:val="Summarytabletextrightaligned"/>
            </w:pPr>
            <w:r w:rsidRPr="00222C32">
              <w:t>-</w:t>
            </w:r>
          </w:p>
        </w:tc>
      </w:tr>
      <w:tr w:rsidR="00BB2CB4" w:rsidRPr="00222C32" w14:paraId="466F2570" w14:textId="77777777" w:rsidTr="00825163">
        <w:tc>
          <w:tcPr>
            <w:tcW w:w="3471" w:type="dxa"/>
            <w:vAlign w:val="bottom"/>
          </w:tcPr>
          <w:p w14:paraId="5001C89F"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6F7A5779"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37AA362" w14:textId="77777777" w:rsidR="00BB2CB4" w:rsidRPr="00222C32" w:rsidRDefault="000674DA">
            <w:pPr>
              <w:pStyle w:val="Summarytabletextrightalignedbold"/>
            </w:pPr>
            <w:r w:rsidRPr="00222C32">
              <w:t>19.7</w:t>
            </w:r>
          </w:p>
        </w:tc>
        <w:tc>
          <w:tcPr>
            <w:tcW w:w="850" w:type="dxa"/>
            <w:tcBorders>
              <w:top w:val="single" w:sz="4" w:space="0" w:color="293F5B"/>
              <w:bottom w:val="single" w:sz="4" w:space="0" w:color="293F5B"/>
            </w:tcBorders>
            <w:vAlign w:val="bottom"/>
          </w:tcPr>
          <w:p w14:paraId="52DACC21" w14:textId="77777777" w:rsidR="00BB2CB4" w:rsidRPr="00222C32" w:rsidRDefault="000674DA">
            <w:pPr>
              <w:pStyle w:val="Summarytabletextrightalignedbold"/>
            </w:pPr>
            <w:r w:rsidRPr="00222C32">
              <w:t>9.1</w:t>
            </w:r>
          </w:p>
        </w:tc>
        <w:tc>
          <w:tcPr>
            <w:tcW w:w="850" w:type="dxa"/>
            <w:tcBorders>
              <w:top w:val="single" w:sz="4" w:space="0" w:color="293F5B"/>
              <w:bottom w:val="single" w:sz="4" w:space="0" w:color="293F5B"/>
            </w:tcBorders>
            <w:vAlign w:val="bottom"/>
          </w:tcPr>
          <w:p w14:paraId="2ED5EC8D" w14:textId="77777777" w:rsidR="00BB2CB4" w:rsidRPr="00222C32" w:rsidRDefault="000674DA">
            <w:pPr>
              <w:pStyle w:val="Summarytabletextrightalignedbold"/>
            </w:pPr>
            <w:r w:rsidRPr="00222C32">
              <w:t>7.2</w:t>
            </w:r>
          </w:p>
        </w:tc>
        <w:tc>
          <w:tcPr>
            <w:tcW w:w="850" w:type="dxa"/>
            <w:tcBorders>
              <w:top w:val="single" w:sz="4" w:space="0" w:color="293F5B"/>
              <w:bottom w:val="single" w:sz="4" w:space="0" w:color="293F5B"/>
            </w:tcBorders>
            <w:vAlign w:val="bottom"/>
          </w:tcPr>
          <w:p w14:paraId="5FE0998A" w14:textId="77777777" w:rsidR="00BB2CB4" w:rsidRPr="00222C32" w:rsidRDefault="000674DA">
            <w:pPr>
              <w:pStyle w:val="Summarytabletextrightalignedbold"/>
            </w:pPr>
            <w:r w:rsidRPr="00222C32">
              <w:t>7.3</w:t>
            </w:r>
          </w:p>
        </w:tc>
      </w:tr>
      <w:tr w:rsidR="00BB2CB4" w:rsidRPr="00222C32" w14:paraId="6A69B924" w14:textId="77777777" w:rsidTr="00825163">
        <w:tc>
          <w:tcPr>
            <w:tcW w:w="3471" w:type="dxa"/>
            <w:vAlign w:val="bottom"/>
          </w:tcPr>
          <w:p w14:paraId="30FC1F84" w14:textId="77777777" w:rsidR="00BB2CB4" w:rsidRPr="00222C32" w:rsidRDefault="000674DA">
            <w:pPr>
              <w:pStyle w:val="SummaryPortfolioTitle-BP2"/>
            </w:pPr>
            <w:r w:rsidRPr="00222C32">
              <w:t>SOCIAL SERVICES</w:t>
            </w:r>
          </w:p>
        </w:tc>
        <w:tc>
          <w:tcPr>
            <w:tcW w:w="850" w:type="dxa"/>
            <w:tcBorders>
              <w:top w:val="single" w:sz="4" w:space="0" w:color="293F5B"/>
            </w:tcBorders>
          </w:tcPr>
          <w:p w14:paraId="5351DF06"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06E5BB61" w14:textId="77777777" w:rsidR="00BB2CB4" w:rsidRPr="00222C32" w:rsidRDefault="00BB2CB4">
            <w:pPr>
              <w:pStyle w:val="MeasureTableTextRightAlignedBefore6ptAfter1pt"/>
            </w:pPr>
          </w:p>
        </w:tc>
        <w:tc>
          <w:tcPr>
            <w:tcW w:w="850" w:type="dxa"/>
            <w:tcBorders>
              <w:top w:val="single" w:sz="4" w:space="0" w:color="293F5B"/>
            </w:tcBorders>
          </w:tcPr>
          <w:p w14:paraId="365235AE" w14:textId="77777777" w:rsidR="00BB2CB4" w:rsidRPr="00222C32" w:rsidRDefault="00BB2CB4">
            <w:pPr>
              <w:pStyle w:val="MeasureTableTextRightAlignedBefore6ptAfter1pt"/>
            </w:pPr>
          </w:p>
        </w:tc>
        <w:tc>
          <w:tcPr>
            <w:tcW w:w="850" w:type="dxa"/>
            <w:tcBorders>
              <w:top w:val="single" w:sz="4" w:space="0" w:color="293F5B"/>
            </w:tcBorders>
          </w:tcPr>
          <w:p w14:paraId="0AE22BF5" w14:textId="77777777" w:rsidR="00BB2CB4" w:rsidRPr="00222C32" w:rsidRDefault="00BB2CB4">
            <w:pPr>
              <w:pStyle w:val="MeasureTableTextRightAlignedBefore6ptAfter1pt"/>
            </w:pPr>
          </w:p>
        </w:tc>
        <w:tc>
          <w:tcPr>
            <w:tcW w:w="850" w:type="dxa"/>
            <w:tcBorders>
              <w:top w:val="single" w:sz="4" w:space="0" w:color="293F5B"/>
            </w:tcBorders>
          </w:tcPr>
          <w:p w14:paraId="21BCFE05" w14:textId="77777777" w:rsidR="00BB2CB4" w:rsidRPr="00222C32" w:rsidRDefault="00BB2CB4">
            <w:pPr>
              <w:pStyle w:val="MeasureTableTextRightAlignedBefore6ptAfter1pt"/>
            </w:pPr>
          </w:p>
        </w:tc>
      </w:tr>
      <w:tr w:rsidR="00BB2CB4" w:rsidRPr="00222C32" w14:paraId="4DCC0315" w14:textId="77777777" w:rsidTr="00825163">
        <w:tc>
          <w:tcPr>
            <w:tcW w:w="3471" w:type="dxa"/>
            <w:vAlign w:val="bottom"/>
          </w:tcPr>
          <w:p w14:paraId="74F0842C" w14:textId="77777777" w:rsidR="00BB2CB4" w:rsidRPr="00222C32" w:rsidRDefault="000674DA">
            <w:pPr>
              <w:pStyle w:val="SummaryAgencyTitle-BP2"/>
            </w:pPr>
            <w:r w:rsidRPr="00222C32">
              <w:t>Department of Social Services</w:t>
            </w:r>
          </w:p>
        </w:tc>
        <w:tc>
          <w:tcPr>
            <w:tcW w:w="850" w:type="dxa"/>
          </w:tcPr>
          <w:p w14:paraId="4A0B93FB" w14:textId="77777777" w:rsidR="00BB2CB4" w:rsidRPr="00222C32" w:rsidRDefault="00BB2CB4">
            <w:pPr>
              <w:pStyle w:val="SummaryAgencyTitle-BP2"/>
            </w:pPr>
          </w:p>
        </w:tc>
        <w:tc>
          <w:tcPr>
            <w:tcW w:w="850" w:type="dxa"/>
            <w:shd w:val="clear" w:color="auto" w:fill="E6F2FF"/>
          </w:tcPr>
          <w:p w14:paraId="3938D1BC" w14:textId="77777777" w:rsidR="00BB2CB4" w:rsidRPr="00222C32" w:rsidRDefault="00BB2CB4">
            <w:pPr>
              <w:pStyle w:val="SummaryAgencyTitle-BP2"/>
            </w:pPr>
          </w:p>
        </w:tc>
        <w:tc>
          <w:tcPr>
            <w:tcW w:w="850" w:type="dxa"/>
          </w:tcPr>
          <w:p w14:paraId="53D2F30F" w14:textId="77777777" w:rsidR="00BB2CB4" w:rsidRPr="00222C32" w:rsidRDefault="00BB2CB4">
            <w:pPr>
              <w:pStyle w:val="SummaryAgencyTitle-BP2"/>
            </w:pPr>
          </w:p>
        </w:tc>
        <w:tc>
          <w:tcPr>
            <w:tcW w:w="850" w:type="dxa"/>
          </w:tcPr>
          <w:p w14:paraId="5EC37784" w14:textId="77777777" w:rsidR="00BB2CB4" w:rsidRPr="00222C32" w:rsidRDefault="00BB2CB4">
            <w:pPr>
              <w:pStyle w:val="SummaryAgencyTitle-BP2"/>
            </w:pPr>
          </w:p>
        </w:tc>
        <w:tc>
          <w:tcPr>
            <w:tcW w:w="850" w:type="dxa"/>
          </w:tcPr>
          <w:p w14:paraId="0BCCE078" w14:textId="77777777" w:rsidR="00BB2CB4" w:rsidRPr="00222C32" w:rsidRDefault="00BB2CB4">
            <w:pPr>
              <w:pStyle w:val="SummaryAgencyTitle-BP2"/>
            </w:pPr>
          </w:p>
        </w:tc>
      </w:tr>
      <w:tr w:rsidR="00BB2CB4" w:rsidRPr="00222C32" w14:paraId="23CE4E14" w14:textId="77777777" w:rsidTr="00825163">
        <w:tc>
          <w:tcPr>
            <w:tcW w:w="3471" w:type="dxa"/>
            <w:vAlign w:val="bottom"/>
          </w:tcPr>
          <w:p w14:paraId="269F0BE8" w14:textId="77777777" w:rsidR="00BB2CB4" w:rsidRPr="00222C32" w:rsidRDefault="000674DA">
            <w:pPr>
              <w:pStyle w:val="SummaryMeasureTitlewithTheme"/>
            </w:pPr>
            <w:r w:rsidRPr="00222C32">
              <w:t>A Fairer More Efficient Social Security System(b)</w:t>
            </w:r>
          </w:p>
        </w:tc>
        <w:tc>
          <w:tcPr>
            <w:tcW w:w="850" w:type="dxa"/>
            <w:vAlign w:val="bottom"/>
          </w:tcPr>
          <w:p w14:paraId="3E987D80" w14:textId="77777777" w:rsidR="00BB2CB4" w:rsidRPr="00222C32" w:rsidRDefault="000674DA">
            <w:pPr>
              <w:pStyle w:val="Summarytabletextrightaligned"/>
            </w:pPr>
            <w:r w:rsidRPr="00222C32">
              <w:t>-</w:t>
            </w:r>
          </w:p>
        </w:tc>
        <w:tc>
          <w:tcPr>
            <w:tcW w:w="850" w:type="dxa"/>
            <w:shd w:val="clear" w:color="auto" w:fill="E6F2FF"/>
            <w:vAlign w:val="bottom"/>
          </w:tcPr>
          <w:p w14:paraId="7B137681" w14:textId="77777777" w:rsidR="00BB2CB4" w:rsidRPr="00222C32" w:rsidRDefault="000674DA">
            <w:pPr>
              <w:pStyle w:val="Summarytabletextrightaligned"/>
            </w:pPr>
            <w:r w:rsidRPr="00222C32">
              <w:t>6.3</w:t>
            </w:r>
          </w:p>
        </w:tc>
        <w:tc>
          <w:tcPr>
            <w:tcW w:w="850" w:type="dxa"/>
            <w:vAlign w:val="bottom"/>
          </w:tcPr>
          <w:p w14:paraId="34B63F5B" w14:textId="77777777" w:rsidR="00BB2CB4" w:rsidRPr="00222C32" w:rsidRDefault="000674DA">
            <w:pPr>
              <w:pStyle w:val="Summarytabletextrightaligned"/>
            </w:pPr>
            <w:r w:rsidRPr="00222C32">
              <w:t>35.5</w:t>
            </w:r>
          </w:p>
        </w:tc>
        <w:tc>
          <w:tcPr>
            <w:tcW w:w="850" w:type="dxa"/>
            <w:vAlign w:val="bottom"/>
          </w:tcPr>
          <w:p w14:paraId="4EA94FB6" w14:textId="77777777" w:rsidR="00BB2CB4" w:rsidRPr="00222C32" w:rsidRDefault="000674DA">
            <w:pPr>
              <w:pStyle w:val="Summarytabletextrightaligned"/>
            </w:pPr>
            <w:r w:rsidRPr="00222C32">
              <w:t>-</w:t>
            </w:r>
          </w:p>
        </w:tc>
        <w:tc>
          <w:tcPr>
            <w:tcW w:w="850" w:type="dxa"/>
            <w:vAlign w:val="bottom"/>
          </w:tcPr>
          <w:p w14:paraId="5063E829" w14:textId="77777777" w:rsidR="00BB2CB4" w:rsidRPr="00222C32" w:rsidRDefault="000674DA">
            <w:pPr>
              <w:pStyle w:val="Summarytabletextrightaligned"/>
            </w:pPr>
            <w:r w:rsidRPr="00222C32">
              <w:t>-</w:t>
            </w:r>
          </w:p>
        </w:tc>
      </w:tr>
      <w:tr w:rsidR="00BB2CB4" w:rsidRPr="00222C32" w14:paraId="27B0314B" w14:textId="77777777" w:rsidTr="00825163">
        <w:tc>
          <w:tcPr>
            <w:tcW w:w="3471" w:type="dxa"/>
            <w:vAlign w:val="bottom"/>
          </w:tcPr>
          <w:p w14:paraId="3C961F4C" w14:textId="77777777" w:rsidR="00BB2CB4" w:rsidRPr="00222C32" w:rsidRDefault="000674DA">
            <w:pPr>
              <w:pStyle w:val="SummaryMeasureTitlewithTheme"/>
            </w:pPr>
            <w:r w:rsidRPr="00222C32">
              <w:t>Australian Orphanage Museum – additional funding</w:t>
            </w:r>
          </w:p>
        </w:tc>
        <w:tc>
          <w:tcPr>
            <w:tcW w:w="850" w:type="dxa"/>
            <w:vAlign w:val="bottom"/>
          </w:tcPr>
          <w:p w14:paraId="663B6BC4" w14:textId="77777777" w:rsidR="00BB2CB4" w:rsidRPr="00222C32" w:rsidRDefault="000674DA">
            <w:pPr>
              <w:pStyle w:val="Summarytabletextrightaligned"/>
            </w:pPr>
            <w:r w:rsidRPr="00222C32">
              <w:t>-</w:t>
            </w:r>
          </w:p>
        </w:tc>
        <w:tc>
          <w:tcPr>
            <w:tcW w:w="850" w:type="dxa"/>
            <w:shd w:val="clear" w:color="auto" w:fill="E6F2FF"/>
            <w:vAlign w:val="bottom"/>
          </w:tcPr>
          <w:p w14:paraId="10A23125" w14:textId="77777777" w:rsidR="00BB2CB4" w:rsidRPr="00222C32" w:rsidRDefault="000674DA">
            <w:pPr>
              <w:pStyle w:val="Summarytabletextrightaligned"/>
            </w:pPr>
            <w:r w:rsidRPr="00222C32">
              <w:t>-</w:t>
            </w:r>
          </w:p>
        </w:tc>
        <w:tc>
          <w:tcPr>
            <w:tcW w:w="850" w:type="dxa"/>
            <w:vAlign w:val="bottom"/>
          </w:tcPr>
          <w:p w14:paraId="39442458" w14:textId="77777777" w:rsidR="00BB2CB4" w:rsidRPr="00222C32" w:rsidRDefault="000674DA">
            <w:pPr>
              <w:pStyle w:val="Summarytabletextrightaligned"/>
            </w:pPr>
            <w:r w:rsidRPr="00222C32">
              <w:t>0.1</w:t>
            </w:r>
          </w:p>
        </w:tc>
        <w:tc>
          <w:tcPr>
            <w:tcW w:w="850" w:type="dxa"/>
            <w:vAlign w:val="bottom"/>
          </w:tcPr>
          <w:p w14:paraId="06331DE3" w14:textId="77777777" w:rsidR="00BB2CB4" w:rsidRPr="00222C32" w:rsidRDefault="000674DA">
            <w:pPr>
              <w:pStyle w:val="Summarytabletextrightaligned"/>
            </w:pPr>
            <w:r w:rsidRPr="00222C32">
              <w:t>0.1</w:t>
            </w:r>
          </w:p>
        </w:tc>
        <w:tc>
          <w:tcPr>
            <w:tcW w:w="850" w:type="dxa"/>
            <w:vAlign w:val="bottom"/>
          </w:tcPr>
          <w:p w14:paraId="720E3FBD" w14:textId="77777777" w:rsidR="00BB2CB4" w:rsidRPr="00222C32" w:rsidRDefault="000674DA">
            <w:pPr>
              <w:pStyle w:val="Summarytabletextrightaligned"/>
            </w:pPr>
            <w:r w:rsidRPr="00222C32">
              <w:t>0.1</w:t>
            </w:r>
          </w:p>
        </w:tc>
      </w:tr>
      <w:tr w:rsidR="00BB2CB4" w:rsidRPr="00222C32" w14:paraId="62F11788" w14:textId="77777777" w:rsidTr="00825163">
        <w:tc>
          <w:tcPr>
            <w:tcW w:w="3471" w:type="dxa"/>
            <w:vAlign w:val="bottom"/>
          </w:tcPr>
          <w:p w14:paraId="2D5FD8FF" w14:textId="77777777" w:rsidR="00BB2CB4" w:rsidRPr="00222C32" w:rsidRDefault="000674DA">
            <w:pPr>
              <w:pStyle w:val="SummaryMeasureTitlewithTheme"/>
            </w:pPr>
            <w:r w:rsidRPr="00222C32">
              <w:t>Delivering Social Services Election Commitments</w:t>
            </w:r>
          </w:p>
        </w:tc>
        <w:tc>
          <w:tcPr>
            <w:tcW w:w="850" w:type="dxa"/>
            <w:vAlign w:val="bottom"/>
          </w:tcPr>
          <w:p w14:paraId="511484CE" w14:textId="77777777" w:rsidR="00BB2CB4" w:rsidRPr="00222C32" w:rsidRDefault="000674DA">
            <w:pPr>
              <w:pStyle w:val="Summarytabletextrightaligned"/>
            </w:pPr>
            <w:r w:rsidRPr="00222C32">
              <w:t>-</w:t>
            </w:r>
          </w:p>
        </w:tc>
        <w:tc>
          <w:tcPr>
            <w:tcW w:w="850" w:type="dxa"/>
            <w:shd w:val="clear" w:color="auto" w:fill="E6F2FF"/>
            <w:vAlign w:val="bottom"/>
          </w:tcPr>
          <w:p w14:paraId="1B37A855" w14:textId="77777777" w:rsidR="00BB2CB4" w:rsidRPr="00222C32" w:rsidRDefault="000674DA">
            <w:pPr>
              <w:pStyle w:val="Summarytabletextrightaligned"/>
            </w:pPr>
            <w:r w:rsidRPr="00222C32">
              <w:t>10.0</w:t>
            </w:r>
          </w:p>
        </w:tc>
        <w:tc>
          <w:tcPr>
            <w:tcW w:w="850" w:type="dxa"/>
            <w:vAlign w:val="bottom"/>
          </w:tcPr>
          <w:p w14:paraId="41418205" w14:textId="77777777" w:rsidR="00BB2CB4" w:rsidRPr="00222C32" w:rsidRDefault="000674DA">
            <w:pPr>
              <w:pStyle w:val="Summarytabletextrightaligned"/>
            </w:pPr>
            <w:r w:rsidRPr="00222C32">
              <w:t>-</w:t>
            </w:r>
          </w:p>
        </w:tc>
        <w:tc>
          <w:tcPr>
            <w:tcW w:w="850" w:type="dxa"/>
            <w:vAlign w:val="bottom"/>
          </w:tcPr>
          <w:p w14:paraId="0925DC0D" w14:textId="77777777" w:rsidR="00BB2CB4" w:rsidRPr="00222C32" w:rsidRDefault="000674DA">
            <w:pPr>
              <w:pStyle w:val="Summarytabletextrightaligned"/>
            </w:pPr>
            <w:r w:rsidRPr="00222C32">
              <w:t>-</w:t>
            </w:r>
          </w:p>
        </w:tc>
        <w:tc>
          <w:tcPr>
            <w:tcW w:w="850" w:type="dxa"/>
            <w:vAlign w:val="bottom"/>
          </w:tcPr>
          <w:p w14:paraId="0C779739" w14:textId="77777777" w:rsidR="00BB2CB4" w:rsidRPr="00222C32" w:rsidRDefault="000674DA">
            <w:pPr>
              <w:pStyle w:val="Summarytabletextrightaligned"/>
            </w:pPr>
            <w:r w:rsidRPr="00222C32">
              <w:t>-</w:t>
            </w:r>
          </w:p>
        </w:tc>
      </w:tr>
      <w:tr w:rsidR="00BB2CB4" w:rsidRPr="00222C32" w14:paraId="09A3E2F5" w14:textId="77777777" w:rsidTr="00825163">
        <w:tc>
          <w:tcPr>
            <w:tcW w:w="3471" w:type="dxa"/>
            <w:vAlign w:val="bottom"/>
          </w:tcPr>
          <w:p w14:paraId="5620B497" w14:textId="77777777" w:rsidR="00BB2CB4" w:rsidRPr="00222C32" w:rsidRDefault="000674DA">
            <w:pPr>
              <w:pStyle w:val="SummaryMeasureTitlewithTheme"/>
            </w:pPr>
            <w:r w:rsidRPr="00222C32">
              <w:t>Permanent Migration Program – 2025–26 planning levels(b)</w:t>
            </w:r>
          </w:p>
        </w:tc>
        <w:tc>
          <w:tcPr>
            <w:tcW w:w="850" w:type="dxa"/>
            <w:vAlign w:val="bottom"/>
          </w:tcPr>
          <w:p w14:paraId="3FBCEC2F" w14:textId="77777777" w:rsidR="00BB2CB4" w:rsidRPr="00222C32" w:rsidRDefault="000674DA">
            <w:pPr>
              <w:pStyle w:val="Summarytabletextrightaligned"/>
            </w:pPr>
            <w:r w:rsidRPr="00222C32">
              <w:t>-</w:t>
            </w:r>
          </w:p>
        </w:tc>
        <w:tc>
          <w:tcPr>
            <w:tcW w:w="850" w:type="dxa"/>
            <w:shd w:val="clear" w:color="auto" w:fill="E6F2FF"/>
            <w:vAlign w:val="bottom"/>
          </w:tcPr>
          <w:p w14:paraId="4DBD8D0F" w14:textId="77777777" w:rsidR="00BB2CB4" w:rsidRPr="00222C32" w:rsidRDefault="000674DA">
            <w:pPr>
              <w:pStyle w:val="Summarytabletextrightaligned"/>
            </w:pPr>
            <w:r w:rsidRPr="00222C32">
              <w:t>0.6</w:t>
            </w:r>
          </w:p>
        </w:tc>
        <w:tc>
          <w:tcPr>
            <w:tcW w:w="850" w:type="dxa"/>
            <w:vAlign w:val="bottom"/>
          </w:tcPr>
          <w:p w14:paraId="7BD944F3" w14:textId="77777777" w:rsidR="00BB2CB4" w:rsidRPr="00222C32" w:rsidRDefault="000674DA">
            <w:pPr>
              <w:pStyle w:val="Summarytabletextrightaligned"/>
            </w:pPr>
            <w:r w:rsidRPr="00222C32">
              <w:t>1.2</w:t>
            </w:r>
          </w:p>
        </w:tc>
        <w:tc>
          <w:tcPr>
            <w:tcW w:w="850" w:type="dxa"/>
            <w:vAlign w:val="bottom"/>
          </w:tcPr>
          <w:p w14:paraId="59370993" w14:textId="77777777" w:rsidR="00BB2CB4" w:rsidRPr="00222C32" w:rsidRDefault="000674DA">
            <w:pPr>
              <w:pStyle w:val="Summarytabletextrightaligned"/>
            </w:pPr>
            <w:r w:rsidRPr="00222C32">
              <w:t>1.6</w:t>
            </w:r>
          </w:p>
        </w:tc>
        <w:tc>
          <w:tcPr>
            <w:tcW w:w="850" w:type="dxa"/>
            <w:vAlign w:val="bottom"/>
          </w:tcPr>
          <w:p w14:paraId="2F772A70" w14:textId="77777777" w:rsidR="00BB2CB4" w:rsidRPr="00222C32" w:rsidRDefault="000674DA">
            <w:pPr>
              <w:pStyle w:val="Summarytabletextrightaligned"/>
            </w:pPr>
            <w:r w:rsidRPr="00222C32">
              <w:t>1.8</w:t>
            </w:r>
          </w:p>
        </w:tc>
      </w:tr>
      <w:tr w:rsidR="00BB2CB4" w:rsidRPr="00222C32" w14:paraId="63B12030" w14:textId="77777777" w:rsidTr="00825163">
        <w:tc>
          <w:tcPr>
            <w:tcW w:w="3471" w:type="dxa"/>
            <w:vAlign w:val="bottom"/>
          </w:tcPr>
          <w:p w14:paraId="6F46836E" w14:textId="77777777" w:rsidR="00BB2CB4" w:rsidRPr="00222C32" w:rsidRDefault="000674DA">
            <w:pPr>
              <w:pStyle w:val="SummaryMeasureTitlewithTheme"/>
            </w:pPr>
            <w:r w:rsidRPr="00222C32">
              <w:t>Resetting Social Security Deeming Rates(b)</w:t>
            </w:r>
          </w:p>
        </w:tc>
        <w:tc>
          <w:tcPr>
            <w:tcW w:w="850" w:type="dxa"/>
            <w:vAlign w:val="bottom"/>
          </w:tcPr>
          <w:p w14:paraId="7F2CF62A" w14:textId="77777777" w:rsidR="00BB2CB4" w:rsidRPr="00222C32" w:rsidRDefault="000674DA">
            <w:pPr>
              <w:pStyle w:val="Summarytabletextrightaligned"/>
            </w:pPr>
            <w:r w:rsidRPr="00222C32">
              <w:t>-</w:t>
            </w:r>
          </w:p>
        </w:tc>
        <w:tc>
          <w:tcPr>
            <w:tcW w:w="850" w:type="dxa"/>
            <w:shd w:val="clear" w:color="auto" w:fill="E6F2FF"/>
            <w:vAlign w:val="bottom"/>
          </w:tcPr>
          <w:p w14:paraId="7AEC95FA" w14:textId="77777777" w:rsidR="00BB2CB4" w:rsidRPr="00222C32" w:rsidRDefault="000674DA">
            <w:pPr>
              <w:pStyle w:val="Summarytabletextrightaligned"/>
            </w:pPr>
            <w:r w:rsidRPr="00222C32">
              <w:t>-215.2</w:t>
            </w:r>
          </w:p>
        </w:tc>
        <w:tc>
          <w:tcPr>
            <w:tcW w:w="850" w:type="dxa"/>
            <w:vAlign w:val="bottom"/>
          </w:tcPr>
          <w:p w14:paraId="6142873D" w14:textId="77777777" w:rsidR="00BB2CB4" w:rsidRPr="00222C32" w:rsidRDefault="000674DA">
            <w:pPr>
              <w:pStyle w:val="Summarytabletextrightaligned"/>
            </w:pPr>
            <w:r w:rsidRPr="00222C32">
              <w:t>-462.5</w:t>
            </w:r>
          </w:p>
        </w:tc>
        <w:tc>
          <w:tcPr>
            <w:tcW w:w="850" w:type="dxa"/>
            <w:vAlign w:val="bottom"/>
          </w:tcPr>
          <w:p w14:paraId="504B0CE5" w14:textId="77777777" w:rsidR="00BB2CB4" w:rsidRPr="00222C32" w:rsidRDefault="000674DA">
            <w:pPr>
              <w:pStyle w:val="Summarytabletextrightaligned"/>
            </w:pPr>
            <w:r w:rsidRPr="00222C32">
              <w:t>-487.1</w:t>
            </w:r>
          </w:p>
        </w:tc>
        <w:tc>
          <w:tcPr>
            <w:tcW w:w="850" w:type="dxa"/>
            <w:vAlign w:val="bottom"/>
          </w:tcPr>
          <w:p w14:paraId="6A3A8FF2" w14:textId="77777777" w:rsidR="00BB2CB4" w:rsidRPr="00222C32" w:rsidRDefault="000674DA">
            <w:pPr>
              <w:pStyle w:val="Summarytabletextrightaligned"/>
            </w:pPr>
            <w:r w:rsidRPr="00222C32">
              <w:t>-510.5</w:t>
            </w:r>
          </w:p>
        </w:tc>
      </w:tr>
      <w:tr w:rsidR="00BB2CB4" w:rsidRPr="00222C32" w14:paraId="5BBF4265" w14:textId="77777777" w:rsidTr="00825163">
        <w:tc>
          <w:tcPr>
            <w:tcW w:w="3471" w:type="dxa"/>
            <w:vAlign w:val="bottom"/>
          </w:tcPr>
          <w:p w14:paraId="1D2CB325" w14:textId="77777777" w:rsidR="00BB2CB4" w:rsidRPr="00222C32" w:rsidRDefault="000674DA">
            <w:pPr>
              <w:pStyle w:val="SummaryMeasureTitlewithTheme"/>
            </w:pPr>
            <w:r w:rsidRPr="00222C32">
              <w:t>Support for People with Disability</w:t>
            </w:r>
          </w:p>
        </w:tc>
        <w:tc>
          <w:tcPr>
            <w:tcW w:w="850" w:type="dxa"/>
            <w:vAlign w:val="bottom"/>
          </w:tcPr>
          <w:p w14:paraId="56E166E2" w14:textId="77777777" w:rsidR="00BB2CB4" w:rsidRPr="00222C32" w:rsidRDefault="000674DA">
            <w:pPr>
              <w:pStyle w:val="Summarytabletextrightaligned"/>
            </w:pPr>
            <w:r w:rsidRPr="00222C32">
              <w:t>-</w:t>
            </w:r>
          </w:p>
        </w:tc>
        <w:tc>
          <w:tcPr>
            <w:tcW w:w="850" w:type="dxa"/>
            <w:shd w:val="clear" w:color="auto" w:fill="E6F2FF"/>
            <w:vAlign w:val="bottom"/>
          </w:tcPr>
          <w:p w14:paraId="2034E124" w14:textId="77777777" w:rsidR="00BB2CB4" w:rsidRPr="00222C32" w:rsidRDefault="000674DA">
            <w:pPr>
              <w:pStyle w:val="Summarytabletextrightaligned"/>
            </w:pPr>
            <w:r w:rsidRPr="00222C32">
              <w:t>-4.2</w:t>
            </w:r>
          </w:p>
        </w:tc>
        <w:tc>
          <w:tcPr>
            <w:tcW w:w="850" w:type="dxa"/>
            <w:vAlign w:val="bottom"/>
          </w:tcPr>
          <w:p w14:paraId="27ADF147" w14:textId="77777777" w:rsidR="00BB2CB4" w:rsidRPr="00222C32" w:rsidRDefault="000674DA">
            <w:pPr>
              <w:pStyle w:val="Summarytabletextrightaligned"/>
            </w:pPr>
            <w:r w:rsidRPr="00222C32">
              <w:t>-</w:t>
            </w:r>
          </w:p>
        </w:tc>
        <w:tc>
          <w:tcPr>
            <w:tcW w:w="850" w:type="dxa"/>
            <w:vAlign w:val="bottom"/>
          </w:tcPr>
          <w:p w14:paraId="570E0A68" w14:textId="77777777" w:rsidR="00BB2CB4" w:rsidRPr="00222C32" w:rsidRDefault="000674DA">
            <w:pPr>
              <w:pStyle w:val="Summarytabletextrightaligned"/>
            </w:pPr>
            <w:r w:rsidRPr="00222C32">
              <w:t>-</w:t>
            </w:r>
          </w:p>
        </w:tc>
        <w:tc>
          <w:tcPr>
            <w:tcW w:w="850" w:type="dxa"/>
            <w:vAlign w:val="bottom"/>
          </w:tcPr>
          <w:p w14:paraId="50B21AE9" w14:textId="77777777" w:rsidR="00BB2CB4" w:rsidRPr="00222C32" w:rsidRDefault="000674DA">
            <w:pPr>
              <w:pStyle w:val="Summarytabletextrightaligned"/>
            </w:pPr>
            <w:r w:rsidRPr="00222C32">
              <w:t>-</w:t>
            </w:r>
          </w:p>
        </w:tc>
      </w:tr>
      <w:tr w:rsidR="00BB2CB4" w:rsidRPr="00222C32" w14:paraId="1B2C505B" w14:textId="77777777" w:rsidTr="00825163">
        <w:tc>
          <w:tcPr>
            <w:tcW w:w="3471" w:type="dxa"/>
            <w:vAlign w:val="bottom"/>
          </w:tcPr>
          <w:p w14:paraId="53631028" w14:textId="77777777" w:rsidR="00BB2CB4" w:rsidRPr="00222C32" w:rsidRDefault="000674DA">
            <w:pPr>
              <w:pStyle w:val="SummaryMeasureTitlewithTheme"/>
            </w:pPr>
            <w:r w:rsidRPr="00222C32">
              <w:t>Supporting the Safety and Wellbeing of Children, Families and Communities</w:t>
            </w:r>
          </w:p>
        </w:tc>
        <w:tc>
          <w:tcPr>
            <w:tcW w:w="850" w:type="dxa"/>
            <w:vAlign w:val="bottom"/>
          </w:tcPr>
          <w:p w14:paraId="1A6FA4DA" w14:textId="77777777" w:rsidR="00BB2CB4" w:rsidRPr="00222C32" w:rsidRDefault="000674DA">
            <w:pPr>
              <w:pStyle w:val="Summarytabletextrightaligned"/>
            </w:pPr>
            <w:r w:rsidRPr="00222C32">
              <w:t>-</w:t>
            </w:r>
          </w:p>
        </w:tc>
        <w:tc>
          <w:tcPr>
            <w:tcW w:w="850" w:type="dxa"/>
            <w:shd w:val="clear" w:color="auto" w:fill="E6F2FF"/>
            <w:vAlign w:val="bottom"/>
          </w:tcPr>
          <w:p w14:paraId="4813FC43" w14:textId="77777777" w:rsidR="00BB2CB4" w:rsidRPr="00222C32" w:rsidRDefault="000674DA">
            <w:pPr>
              <w:pStyle w:val="Summarytabletextrightaligned"/>
            </w:pPr>
            <w:r w:rsidRPr="00222C32">
              <w:t>-6.2</w:t>
            </w:r>
          </w:p>
        </w:tc>
        <w:tc>
          <w:tcPr>
            <w:tcW w:w="850" w:type="dxa"/>
            <w:vAlign w:val="bottom"/>
          </w:tcPr>
          <w:p w14:paraId="41C1719A" w14:textId="77777777" w:rsidR="00BB2CB4" w:rsidRPr="00222C32" w:rsidRDefault="000674DA">
            <w:pPr>
              <w:pStyle w:val="Summarytabletextrightaligned"/>
            </w:pPr>
            <w:r w:rsidRPr="00222C32">
              <w:t>8.2</w:t>
            </w:r>
          </w:p>
        </w:tc>
        <w:tc>
          <w:tcPr>
            <w:tcW w:w="850" w:type="dxa"/>
            <w:vAlign w:val="bottom"/>
          </w:tcPr>
          <w:p w14:paraId="353003ED" w14:textId="77777777" w:rsidR="00BB2CB4" w:rsidRPr="00222C32" w:rsidRDefault="000674DA">
            <w:pPr>
              <w:pStyle w:val="Summarytabletextrightaligned"/>
            </w:pPr>
            <w:r w:rsidRPr="00222C32">
              <w:t>-0.2</w:t>
            </w:r>
          </w:p>
        </w:tc>
        <w:tc>
          <w:tcPr>
            <w:tcW w:w="850" w:type="dxa"/>
            <w:vAlign w:val="bottom"/>
          </w:tcPr>
          <w:p w14:paraId="0E1372EB" w14:textId="77777777" w:rsidR="00BB2CB4" w:rsidRPr="00222C32" w:rsidRDefault="000674DA">
            <w:pPr>
              <w:pStyle w:val="Summarytabletextrightaligned"/>
            </w:pPr>
            <w:r w:rsidRPr="00222C32">
              <w:t>-0.2</w:t>
            </w:r>
          </w:p>
        </w:tc>
      </w:tr>
      <w:tr w:rsidR="00BB2CB4" w:rsidRPr="00222C32" w14:paraId="589B5290" w14:textId="77777777" w:rsidTr="00825163">
        <w:tc>
          <w:tcPr>
            <w:tcW w:w="3471" w:type="dxa"/>
            <w:vAlign w:val="bottom"/>
          </w:tcPr>
          <w:p w14:paraId="0E136244" w14:textId="77777777" w:rsidR="00BB2CB4" w:rsidRPr="00222C32" w:rsidRDefault="000674DA">
            <w:pPr>
              <w:pStyle w:val="SummaryMeasureTitlewithTheme"/>
            </w:pPr>
            <w:r w:rsidRPr="00222C32">
              <w:t>Targeting Entrenched Community Disadvantage</w:t>
            </w:r>
          </w:p>
        </w:tc>
        <w:tc>
          <w:tcPr>
            <w:tcW w:w="850" w:type="dxa"/>
            <w:tcBorders>
              <w:bottom w:val="single" w:sz="4" w:space="0" w:color="293F5B"/>
            </w:tcBorders>
            <w:vAlign w:val="bottom"/>
          </w:tcPr>
          <w:p w14:paraId="18AD8ED1"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554C9FAC" w14:textId="77777777" w:rsidR="00BB2CB4" w:rsidRPr="00222C32" w:rsidRDefault="000674DA">
            <w:pPr>
              <w:pStyle w:val="Summarytabletextrightaligned"/>
            </w:pPr>
            <w:r w:rsidRPr="00222C32">
              <w:t>1.7</w:t>
            </w:r>
          </w:p>
        </w:tc>
        <w:tc>
          <w:tcPr>
            <w:tcW w:w="850" w:type="dxa"/>
            <w:tcBorders>
              <w:bottom w:val="single" w:sz="4" w:space="0" w:color="293F5B"/>
            </w:tcBorders>
            <w:vAlign w:val="bottom"/>
          </w:tcPr>
          <w:p w14:paraId="779668B7" w14:textId="77777777" w:rsidR="00BB2CB4" w:rsidRPr="00222C32" w:rsidRDefault="000674DA">
            <w:pPr>
              <w:pStyle w:val="Summarytabletextrightaligned"/>
            </w:pPr>
            <w:r w:rsidRPr="00222C32">
              <w:t>3.9</w:t>
            </w:r>
          </w:p>
        </w:tc>
        <w:tc>
          <w:tcPr>
            <w:tcW w:w="850" w:type="dxa"/>
            <w:tcBorders>
              <w:bottom w:val="single" w:sz="4" w:space="0" w:color="293F5B"/>
            </w:tcBorders>
            <w:vAlign w:val="bottom"/>
          </w:tcPr>
          <w:p w14:paraId="603C2F83"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7FF79851" w14:textId="77777777" w:rsidR="00BB2CB4" w:rsidRPr="00222C32" w:rsidRDefault="000674DA">
            <w:pPr>
              <w:pStyle w:val="Summarytabletextrightaligned"/>
            </w:pPr>
            <w:r w:rsidRPr="00222C32">
              <w:t>-</w:t>
            </w:r>
          </w:p>
        </w:tc>
      </w:tr>
      <w:tr w:rsidR="00BB2CB4" w:rsidRPr="00222C32" w14:paraId="28827581" w14:textId="77777777" w:rsidTr="00825163">
        <w:tc>
          <w:tcPr>
            <w:tcW w:w="3471" w:type="dxa"/>
            <w:tcBorders>
              <w:bottom w:val="single" w:sz="4" w:space="0" w:color="293F5B"/>
            </w:tcBorders>
            <w:vAlign w:val="bottom"/>
          </w:tcPr>
          <w:p w14:paraId="59BB30F5"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7D520E40"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4FF9B8FE" w14:textId="77777777" w:rsidR="00BB2CB4" w:rsidRPr="00222C32" w:rsidRDefault="000674DA">
            <w:pPr>
              <w:pStyle w:val="Summarytabletextrightalignedbold"/>
            </w:pPr>
            <w:r w:rsidRPr="00222C32">
              <w:t>-207.1</w:t>
            </w:r>
          </w:p>
        </w:tc>
        <w:tc>
          <w:tcPr>
            <w:tcW w:w="850" w:type="dxa"/>
            <w:tcBorders>
              <w:top w:val="single" w:sz="4" w:space="0" w:color="293F5B"/>
              <w:bottom w:val="single" w:sz="4" w:space="0" w:color="293F5B"/>
            </w:tcBorders>
            <w:vAlign w:val="bottom"/>
          </w:tcPr>
          <w:p w14:paraId="3A3AB8F9" w14:textId="77777777" w:rsidR="00BB2CB4" w:rsidRPr="00222C32" w:rsidRDefault="000674DA">
            <w:pPr>
              <w:pStyle w:val="Summarytabletextrightalignedbold"/>
            </w:pPr>
            <w:r w:rsidRPr="00222C32">
              <w:t>-413.6</w:t>
            </w:r>
          </w:p>
        </w:tc>
        <w:tc>
          <w:tcPr>
            <w:tcW w:w="850" w:type="dxa"/>
            <w:tcBorders>
              <w:top w:val="single" w:sz="4" w:space="0" w:color="293F5B"/>
              <w:bottom w:val="single" w:sz="4" w:space="0" w:color="293F5B"/>
            </w:tcBorders>
            <w:vAlign w:val="bottom"/>
          </w:tcPr>
          <w:p w14:paraId="79D6F3FB" w14:textId="77777777" w:rsidR="00BB2CB4" w:rsidRPr="00222C32" w:rsidRDefault="000674DA">
            <w:pPr>
              <w:pStyle w:val="Summarytabletextrightalignedbold"/>
            </w:pPr>
            <w:r w:rsidRPr="00222C32">
              <w:t>-485.6</w:t>
            </w:r>
          </w:p>
        </w:tc>
        <w:tc>
          <w:tcPr>
            <w:tcW w:w="850" w:type="dxa"/>
            <w:tcBorders>
              <w:top w:val="single" w:sz="4" w:space="0" w:color="293F5B"/>
              <w:bottom w:val="single" w:sz="4" w:space="0" w:color="293F5B"/>
            </w:tcBorders>
            <w:vAlign w:val="bottom"/>
          </w:tcPr>
          <w:p w14:paraId="465AE7FB" w14:textId="77777777" w:rsidR="00BB2CB4" w:rsidRPr="00222C32" w:rsidRDefault="000674DA">
            <w:pPr>
              <w:pStyle w:val="Summarytabletextrightalignedbold"/>
            </w:pPr>
            <w:r w:rsidRPr="00222C32">
              <w:t>-508.8</w:t>
            </w:r>
          </w:p>
        </w:tc>
      </w:tr>
    </w:tbl>
    <w:p w14:paraId="2FE2B03A"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268F7D29" w14:textId="53B6FBFA"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5BF96D36" w14:textId="77777777" w:rsidTr="00825163">
        <w:tc>
          <w:tcPr>
            <w:tcW w:w="3471" w:type="dxa"/>
            <w:tcBorders>
              <w:top w:val="single" w:sz="4" w:space="0" w:color="293F5B"/>
              <w:bottom w:val="nil"/>
            </w:tcBorders>
            <w:vAlign w:val="bottom"/>
          </w:tcPr>
          <w:p w14:paraId="69C14A6F" w14:textId="77777777" w:rsidR="000D63FB" w:rsidRPr="00222C32" w:rsidRDefault="000D63FB" w:rsidP="000D63FB"/>
        </w:tc>
        <w:tc>
          <w:tcPr>
            <w:tcW w:w="850" w:type="dxa"/>
            <w:tcBorders>
              <w:top w:val="single" w:sz="4" w:space="0" w:color="293F5B"/>
              <w:bottom w:val="nil"/>
            </w:tcBorders>
          </w:tcPr>
          <w:p w14:paraId="37517B89"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tcPr>
          <w:p w14:paraId="4BFD103C"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tcPr>
          <w:p w14:paraId="4664A2FE"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tcPr>
          <w:p w14:paraId="1DCDB1E8"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tcPr>
          <w:p w14:paraId="772EDDA1" w14:textId="77777777" w:rsidR="000D63FB" w:rsidRPr="00222C32" w:rsidRDefault="000D63FB" w:rsidP="000D63FB">
            <w:pPr>
              <w:pStyle w:val="Summarytabletextrightaligned"/>
            </w:pPr>
            <w:r w:rsidRPr="00222C32">
              <w:t>2028-29</w:t>
            </w:r>
          </w:p>
        </w:tc>
      </w:tr>
      <w:tr w:rsidR="000D63FB" w:rsidRPr="00222C32" w14:paraId="4C90977E" w14:textId="77777777" w:rsidTr="00825163">
        <w:tc>
          <w:tcPr>
            <w:tcW w:w="3471" w:type="dxa"/>
            <w:tcBorders>
              <w:top w:val="nil"/>
            </w:tcBorders>
            <w:vAlign w:val="bottom"/>
          </w:tcPr>
          <w:p w14:paraId="0ADF970C" w14:textId="77777777" w:rsidR="000D63FB" w:rsidRPr="00222C32" w:rsidRDefault="000D63FB" w:rsidP="000D63FB"/>
        </w:tc>
        <w:tc>
          <w:tcPr>
            <w:tcW w:w="850" w:type="dxa"/>
            <w:tcBorders>
              <w:top w:val="nil"/>
              <w:bottom w:val="single" w:sz="4" w:space="0" w:color="293F5B"/>
            </w:tcBorders>
          </w:tcPr>
          <w:p w14:paraId="3EB26673"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tcPr>
          <w:p w14:paraId="5D11215E"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7539F9F2"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4C36C135"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tcPr>
          <w:p w14:paraId="6B9EF7AD" w14:textId="77777777" w:rsidR="000D63FB" w:rsidRPr="00222C32" w:rsidRDefault="000D63FB" w:rsidP="000D63FB">
            <w:pPr>
              <w:pStyle w:val="Summarytabletextrightaligned"/>
            </w:pPr>
            <w:r w:rsidRPr="00222C32">
              <w:t>$m</w:t>
            </w:r>
          </w:p>
        </w:tc>
      </w:tr>
      <w:tr w:rsidR="00BB2CB4" w:rsidRPr="00222C32" w14:paraId="0ACB31C7" w14:textId="77777777" w:rsidTr="00825163">
        <w:tc>
          <w:tcPr>
            <w:tcW w:w="3471" w:type="dxa"/>
            <w:vAlign w:val="bottom"/>
          </w:tcPr>
          <w:p w14:paraId="62108920" w14:textId="77777777" w:rsidR="00BB2CB4" w:rsidRPr="00222C32" w:rsidRDefault="000674DA">
            <w:pPr>
              <w:pStyle w:val="SummaryPortfolioTitle-BP2"/>
            </w:pPr>
            <w:r w:rsidRPr="00222C32">
              <w:t>TREASURY</w:t>
            </w:r>
          </w:p>
        </w:tc>
        <w:tc>
          <w:tcPr>
            <w:tcW w:w="850" w:type="dxa"/>
            <w:tcBorders>
              <w:top w:val="single" w:sz="4" w:space="0" w:color="293F5B"/>
            </w:tcBorders>
          </w:tcPr>
          <w:p w14:paraId="2F696DFD" w14:textId="77777777" w:rsidR="00BB2CB4" w:rsidRPr="00222C32" w:rsidRDefault="00BB2CB4">
            <w:pPr>
              <w:pStyle w:val="MeasureTableTextRightAlignedBefore6ptAfter1pt"/>
            </w:pPr>
          </w:p>
        </w:tc>
        <w:tc>
          <w:tcPr>
            <w:tcW w:w="850" w:type="dxa"/>
            <w:tcBorders>
              <w:top w:val="single" w:sz="4" w:space="0" w:color="293F5B"/>
            </w:tcBorders>
            <w:shd w:val="clear" w:color="auto" w:fill="E6F2FF"/>
          </w:tcPr>
          <w:p w14:paraId="7AAD42D2" w14:textId="77777777" w:rsidR="00BB2CB4" w:rsidRPr="00222C32" w:rsidRDefault="00BB2CB4">
            <w:pPr>
              <w:pStyle w:val="MeasureTableTextRightAlignedBefore6ptAfter1pt"/>
            </w:pPr>
          </w:p>
        </w:tc>
        <w:tc>
          <w:tcPr>
            <w:tcW w:w="850" w:type="dxa"/>
            <w:tcBorders>
              <w:top w:val="single" w:sz="4" w:space="0" w:color="293F5B"/>
            </w:tcBorders>
          </w:tcPr>
          <w:p w14:paraId="63E9702B" w14:textId="77777777" w:rsidR="00BB2CB4" w:rsidRPr="00222C32" w:rsidRDefault="00BB2CB4">
            <w:pPr>
              <w:pStyle w:val="MeasureTableTextRightAlignedBefore6ptAfter1pt"/>
            </w:pPr>
          </w:p>
        </w:tc>
        <w:tc>
          <w:tcPr>
            <w:tcW w:w="850" w:type="dxa"/>
            <w:tcBorders>
              <w:top w:val="single" w:sz="4" w:space="0" w:color="293F5B"/>
            </w:tcBorders>
          </w:tcPr>
          <w:p w14:paraId="0D810175" w14:textId="77777777" w:rsidR="00BB2CB4" w:rsidRPr="00222C32" w:rsidRDefault="00BB2CB4">
            <w:pPr>
              <w:pStyle w:val="MeasureTableTextRightAlignedBefore6ptAfter1pt"/>
            </w:pPr>
          </w:p>
        </w:tc>
        <w:tc>
          <w:tcPr>
            <w:tcW w:w="850" w:type="dxa"/>
            <w:tcBorders>
              <w:top w:val="single" w:sz="4" w:space="0" w:color="293F5B"/>
            </w:tcBorders>
          </w:tcPr>
          <w:p w14:paraId="2921A532" w14:textId="77777777" w:rsidR="00BB2CB4" w:rsidRPr="00222C32" w:rsidRDefault="00BB2CB4">
            <w:pPr>
              <w:pStyle w:val="MeasureTableTextRightAlignedBefore6ptAfter1pt"/>
            </w:pPr>
          </w:p>
        </w:tc>
      </w:tr>
      <w:tr w:rsidR="00BB2CB4" w:rsidRPr="00222C32" w14:paraId="3CA91354" w14:textId="77777777" w:rsidTr="00825163">
        <w:tc>
          <w:tcPr>
            <w:tcW w:w="3471" w:type="dxa"/>
            <w:vAlign w:val="bottom"/>
          </w:tcPr>
          <w:p w14:paraId="30416521" w14:textId="77777777" w:rsidR="00BB2CB4" w:rsidRPr="00222C32" w:rsidRDefault="000674DA">
            <w:pPr>
              <w:pStyle w:val="SummaryAgencyTitle-BP2"/>
            </w:pPr>
            <w:r w:rsidRPr="00222C32">
              <w:t>Australian Competition and Consumer Commission</w:t>
            </w:r>
          </w:p>
        </w:tc>
        <w:tc>
          <w:tcPr>
            <w:tcW w:w="850" w:type="dxa"/>
          </w:tcPr>
          <w:p w14:paraId="57D1618D" w14:textId="77777777" w:rsidR="00BB2CB4" w:rsidRPr="00222C32" w:rsidRDefault="00BB2CB4">
            <w:pPr>
              <w:pStyle w:val="SummaryAgencyTitle-BP2"/>
            </w:pPr>
          </w:p>
        </w:tc>
        <w:tc>
          <w:tcPr>
            <w:tcW w:w="850" w:type="dxa"/>
            <w:shd w:val="clear" w:color="auto" w:fill="E6F2FF"/>
          </w:tcPr>
          <w:p w14:paraId="169851C4" w14:textId="77777777" w:rsidR="00BB2CB4" w:rsidRPr="00222C32" w:rsidRDefault="00BB2CB4">
            <w:pPr>
              <w:pStyle w:val="SummaryAgencyTitle-BP2"/>
            </w:pPr>
          </w:p>
        </w:tc>
        <w:tc>
          <w:tcPr>
            <w:tcW w:w="850" w:type="dxa"/>
          </w:tcPr>
          <w:p w14:paraId="6C858320" w14:textId="77777777" w:rsidR="00BB2CB4" w:rsidRPr="00222C32" w:rsidRDefault="00BB2CB4">
            <w:pPr>
              <w:pStyle w:val="SummaryAgencyTitle-BP2"/>
            </w:pPr>
          </w:p>
        </w:tc>
        <w:tc>
          <w:tcPr>
            <w:tcW w:w="850" w:type="dxa"/>
          </w:tcPr>
          <w:p w14:paraId="590441EF" w14:textId="77777777" w:rsidR="00BB2CB4" w:rsidRPr="00222C32" w:rsidRDefault="00BB2CB4">
            <w:pPr>
              <w:pStyle w:val="SummaryAgencyTitle-BP2"/>
            </w:pPr>
          </w:p>
        </w:tc>
        <w:tc>
          <w:tcPr>
            <w:tcW w:w="850" w:type="dxa"/>
          </w:tcPr>
          <w:p w14:paraId="13624977" w14:textId="77777777" w:rsidR="00BB2CB4" w:rsidRPr="00222C32" w:rsidRDefault="00BB2CB4">
            <w:pPr>
              <w:pStyle w:val="SummaryAgencyTitle-BP2"/>
            </w:pPr>
          </w:p>
        </w:tc>
      </w:tr>
      <w:tr w:rsidR="00BB2CB4" w:rsidRPr="00222C32" w14:paraId="5420D17C" w14:textId="77777777" w:rsidTr="00825163">
        <w:tc>
          <w:tcPr>
            <w:tcW w:w="3471" w:type="dxa"/>
            <w:vAlign w:val="bottom"/>
          </w:tcPr>
          <w:p w14:paraId="3D5740BA" w14:textId="77777777" w:rsidR="00BB2CB4" w:rsidRPr="00222C32" w:rsidRDefault="000674DA">
            <w:pPr>
              <w:pStyle w:val="SummaryMeasureTitlewithTheme"/>
            </w:pPr>
            <w:r w:rsidRPr="00222C32">
              <w:t>Australian Energy Regulator Uplift</w:t>
            </w:r>
          </w:p>
        </w:tc>
        <w:tc>
          <w:tcPr>
            <w:tcW w:w="850" w:type="dxa"/>
            <w:vAlign w:val="bottom"/>
          </w:tcPr>
          <w:p w14:paraId="575AF6C9" w14:textId="77777777" w:rsidR="00BB2CB4" w:rsidRPr="00222C32" w:rsidRDefault="000674DA">
            <w:pPr>
              <w:pStyle w:val="Summarytabletextrightaligned"/>
            </w:pPr>
            <w:r w:rsidRPr="00222C32">
              <w:t>-</w:t>
            </w:r>
          </w:p>
        </w:tc>
        <w:tc>
          <w:tcPr>
            <w:tcW w:w="850" w:type="dxa"/>
            <w:shd w:val="clear" w:color="auto" w:fill="E6F2FF"/>
            <w:vAlign w:val="bottom"/>
          </w:tcPr>
          <w:p w14:paraId="57BA6757" w14:textId="77777777" w:rsidR="00BB2CB4" w:rsidRPr="00222C32" w:rsidRDefault="000674DA">
            <w:pPr>
              <w:pStyle w:val="Summarytabletextrightaligned"/>
            </w:pPr>
            <w:r w:rsidRPr="00222C32">
              <w:t>6.4</w:t>
            </w:r>
          </w:p>
        </w:tc>
        <w:tc>
          <w:tcPr>
            <w:tcW w:w="850" w:type="dxa"/>
            <w:vAlign w:val="bottom"/>
          </w:tcPr>
          <w:p w14:paraId="251B6B25" w14:textId="77777777" w:rsidR="00BB2CB4" w:rsidRPr="00222C32" w:rsidRDefault="000674DA">
            <w:pPr>
              <w:pStyle w:val="Summarytabletextrightaligned"/>
            </w:pPr>
            <w:r w:rsidRPr="00222C32">
              <w:t>11.8</w:t>
            </w:r>
          </w:p>
        </w:tc>
        <w:tc>
          <w:tcPr>
            <w:tcW w:w="850" w:type="dxa"/>
            <w:vAlign w:val="bottom"/>
          </w:tcPr>
          <w:p w14:paraId="27EA2B8E" w14:textId="77777777" w:rsidR="00BB2CB4" w:rsidRPr="00222C32" w:rsidRDefault="000674DA">
            <w:pPr>
              <w:pStyle w:val="Summarytabletextrightaligned"/>
            </w:pPr>
            <w:r w:rsidRPr="00222C32">
              <w:t>11.6</w:t>
            </w:r>
          </w:p>
        </w:tc>
        <w:tc>
          <w:tcPr>
            <w:tcW w:w="850" w:type="dxa"/>
            <w:vAlign w:val="bottom"/>
          </w:tcPr>
          <w:p w14:paraId="5D95BA81" w14:textId="77777777" w:rsidR="00BB2CB4" w:rsidRPr="00222C32" w:rsidRDefault="000674DA">
            <w:pPr>
              <w:pStyle w:val="Summarytabletextrightaligned"/>
            </w:pPr>
            <w:r w:rsidRPr="00222C32">
              <w:t>11.2</w:t>
            </w:r>
          </w:p>
        </w:tc>
      </w:tr>
      <w:tr w:rsidR="00BB2CB4" w:rsidRPr="00222C32" w14:paraId="37CED6F3" w14:textId="77777777" w:rsidTr="00825163">
        <w:tc>
          <w:tcPr>
            <w:tcW w:w="3471" w:type="dxa"/>
            <w:vAlign w:val="bottom"/>
          </w:tcPr>
          <w:p w14:paraId="0A116E19" w14:textId="77777777" w:rsidR="00BB2CB4" w:rsidRPr="00222C32" w:rsidRDefault="000674DA">
            <w:pPr>
              <w:pStyle w:val="SummaryMeasureTitlewithTheme"/>
            </w:pPr>
            <w:r w:rsidRPr="00222C32">
              <w:t>Supporting Consumers(b)</w:t>
            </w:r>
          </w:p>
        </w:tc>
        <w:tc>
          <w:tcPr>
            <w:tcW w:w="850" w:type="dxa"/>
            <w:vAlign w:val="bottom"/>
          </w:tcPr>
          <w:p w14:paraId="59B965B6" w14:textId="77777777" w:rsidR="00BB2CB4" w:rsidRPr="00222C32" w:rsidRDefault="000674DA">
            <w:pPr>
              <w:pStyle w:val="Summarytabletextrightaligned"/>
            </w:pPr>
            <w:r w:rsidRPr="00222C32">
              <w:t>-</w:t>
            </w:r>
          </w:p>
        </w:tc>
        <w:tc>
          <w:tcPr>
            <w:tcW w:w="850" w:type="dxa"/>
            <w:shd w:val="clear" w:color="auto" w:fill="E6F2FF"/>
            <w:vAlign w:val="bottom"/>
          </w:tcPr>
          <w:p w14:paraId="387FCC89" w14:textId="77777777" w:rsidR="00BB2CB4" w:rsidRPr="00222C32" w:rsidRDefault="000674DA">
            <w:pPr>
              <w:pStyle w:val="Summarytabletextrightaligned"/>
            </w:pPr>
            <w:r w:rsidRPr="00222C32">
              <w:t>37.3</w:t>
            </w:r>
          </w:p>
        </w:tc>
        <w:tc>
          <w:tcPr>
            <w:tcW w:w="850" w:type="dxa"/>
            <w:vAlign w:val="bottom"/>
          </w:tcPr>
          <w:p w14:paraId="19D6804F" w14:textId="77777777" w:rsidR="00BB2CB4" w:rsidRPr="00222C32" w:rsidRDefault="000674DA">
            <w:pPr>
              <w:pStyle w:val="Summarytabletextrightaligned"/>
            </w:pPr>
            <w:r w:rsidRPr="00222C32">
              <w:t>14.6</w:t>
            </w:r>
          </w:p>
        </w:tc>
        <w:tc>
          <w:tcPr>
            <w:tcW w:w="850" w:type="dxa"/>
            <w:vAlign w:val="bottom"/>
          </w:tcPr>
          <w:p w14:paraId="550516B0" w14:textId="77777777" w:rsidR="00BB2CB4" w:rsidRPr="00222C32" w:rsidRDefault="000674DA">
            <w:pPr>
              <w:pStyle w:val="Summarytabletextrightaligned"/>
            </w:pPr>
            <w:r w:rsidRPr="00222C32">
              <w:t>16.3</w:t>
            </w:r>
          </w:p>
        </w:tc>
        <w:tc>
          <w:tcPr>
            <w:tcW w:w="850" w:type="dxa"/>
            <w:vAlign w:val="bottom"/>
          </w:tcPr>
          <w:p w14:paraId="3F443C6C" w14:textId="77777777" w:rsidR="00BB2CB4" w:rsidRPr="00222C32" w:rsidRDefault="000674DA">
            <w:pPr>
              <w:pStyle w:val="Summarytabletextrightaligned"/>
            </w:pPr>
            <w:r w:rsidRPr="00222C32">
              <w:t>17.2</w:t>
            </w:r>
          </w:p>
        </w:tc>
      </w:tr>
      <w:tr w:rsidR="00BB2CB4" w:rsidRPr="00222C32" w14:paraId="2DFCC3BF" w14:textId="77777777" w:rsidTr="00825163">
        <w:tc>
          <w:tcPr>
            <w:tcW w:w="3471" w:type="dxa"/>
            <w:vAlign w:val="bottom"/>
          </w:tcPr>
          <w:p w14:paraId="1518E858" w14:textId="77777777" w:rsidR="00BB2CB4" w:rsidRPr="00222C32" w:rsidRDefault="000674DA">
            <w:pPr>
              <w:pStyle w:val="SummaryAgencyTitle-BP2"/>
            </w:pPr>
            <w:r w:rsidRPr="00222C32">
              <w:t>Australian Securities and Investments Commission</w:t>
            </w:r>
          </w:p>
        </w:tc>
        <w:tc>
          <w:tcPr>
            <w:tcW w:w="850" w:type="dxa"/>
          </w:tcPr>
          <w:p w14:paraId="7796370E" w14:textId="77777777" w:rsidR="00BB2CB4" w:rsidRPr="00222C32" w:rsidRDefault="00BB2CB4">
            <w:pPr>
              <w:pStyle w:val="SummaryAgencyTitle-BP2"/>
            </w:pPr>
          </w:p>
        </w:tc>
        <w:tc>
          <w:tcPr>
            <w:tcW w:w="850" w:type="dxa"/>
            <w:shd w:val="clear" w:color="auto" w:fill="E6F2FF"/>
          </w:tcPr>
          <w:p w14:paraId="58CB120A" w14:textId="77777777" w:rsidR="00BB2CB4" w:rsidRPr="00222C32" w:rsidRDefault="00BB2CB4">
            <w:pPr>
              <w:pStyle w:val="SummaryAgencyTitle-BP2"/>
            </w:pPr>
          </w:p>
        </w:tc>
        <w:tc>
          <w:tcPr>
            <w:tcW w:w="850" w:type="dxa"/>
          </w:tcPr>
          <w:p w14:paraId="017FF083" w14:textId="77777777" w:rsidR="00BB2CB4" w:rsidRPr="00222C32" w:rsidRDefault="00BB2CB4">
            <w:pPr>
              <w:pStyle w:val="SummaryAgencyTitle-BP2"/>
            </w:pPr>
          </w:p>
        </w:tc>
        <w:tc>
          <w:tcPr>
            <w:tcW w:w="850" w:type="dxa"/>
          </w:tcPr>
          <w:p w14:paraId="243A9421" w14:textId="77777777" w:rsidR="00BB2CB4" w:rsidRPr="00222C32" w:rsidRDefault="00BB2CB4">
            <w:pPr>
              <w:pStyle w:val="SummaryAgencyTitle-BP2"/>
            </w:pPr>
          </w:p>
        </w:tc>
        <w:tc>
          <w:tcPr>
            <w:tcW w:w="850" w:type="dxa"/>
          </w:tcPr>
          <w:p w14:paraId="765174DA" w14:textId="77777777" w:rsidR="00BB2CB4" w:rsidRPr="00222C32" w:rsidRDefault="00BB2CB4">
            <w:pPr>
              <w:pStyle w:val="SummaryAgencyTitle-BP2"/>
            </w:pPr>
          </w:p>
        </w:tc>
      </w:tr>
      <w:tr w:rsidR="00BB2CB4" w:rsidRPr="00222C32" w14:paraId="6EBF553D" w14:textId="77777777" w:rsidTr="00825163">
        <w:tc>
          <w:tcPr>
            <w:tcW w:w="3471" w:type="dxa"/>
            <w:vAlign w:val="bottom"/>
          </w:tcPr>
          <w:p w14:paraId="54EE51E0" w14:textId="77777777" w:rsidR="00BB2CB4" w:rsidRPr="00222C32" w:rsidRDefault="000674DA">
            <w:pPr>
              <w:pStyle w:val="SummaryMeasureTitlewithTheme"/>
            </w:pPr>
            <w:r w:rsidRPr="00222C32">
              <w:t>Treasury Portfolio – additional resourcing(b)</w:t>
            </w:r>
          </w:p>
        </w:tc>
        <w:tc>
          <w:tcPr>
            <w:tcW w:w="850" w:type="dxa"/>
            <w:vAlign w:val="bottom"/>
          </w:tcPr>
          <w:p w14:paraId="55C7CFE5" w14:textId="77777777" w:rsidR="00BB2CB4" w:rsidRPr="00222C32" w:rsidRDefault="000674DA">
            <w:pPr>
              <w:pStyle w:val="Summarytabletextrightaligned"/>
            </w:pPr>
            <w:r w:rsidRPr="00222C32">
              <w:t>-</w:t>
            </w:r>
          </w:p>
        </w:tc>
        <w:tc>
          <w:tcPr>
            <w:tcW w:w="850" w:type="dxa"/>
            <w:shd w:val="clear" w:color="auto" w:fill="E6F2FF"/>
            <w:vAlign w:val="bottom"/>
          </w:tcPr>
          <w:p w14:paraId="6D7F7601" w14:textId="77777777" w:rsidR="00BB2CB4" w:rsidRPr="00222C32" w:rsidRDefault="000674DA">
            <w:pPr>
              <w:pStyle w:val="Summarytabletextrightaligned"/>
            </w:pPr>
            <w:r w:rsidRPr="00222C32">
              <w:t>-</w:t>
            </w:r>
          </w:p>
        </w:tc>
        <w:tc>
          <w:tcPr>
            <w:tcW w:w="850" w:type="dxa"/>
            <w:vAlign w:val="bottom"/>
          </w:tcPr>
          <w:p w14:paraId="4DDF0131" w14:textId="77777777" w:rsidR="00BB2CB4" w:rsidRPr="00222C32" w:rsidRDefault="000674DA">
            <w:pPr>
              <w:pStyle w:val="Summarytabletextrightaligned"/>
            </w:pPr>
            <w:r w:rsidRPr="00222C32">
              <w:t>10.7</w:t>
            </w:r>
          </w:p>
        </w:tc>
        <w:tc>
          <w:tcPr>
            <w:tcW w:w="850" w:type="dxa"/>
            <w:vAlign w:val="bottom"/>
          </w:tcPr>
          <w:p w14:paraId="7F3DA650" w14:textId="77777777" w:rsidR="00BB2CB4" w:rsidRPr="00222C32" w:rsidRDefault="000674DA">
            <w:pPr>
              <w:pStyle w:val="Summarytabletextrightaligned"/>
            </w:pPr>
            <w:r w:rsidRPr="00222C32">
              <w:t>6.0</w:t>
            </w:r>
          </w:p>
        </w:tc>
        <w:tc>
          <w:tcPr>
            <w:tcW w:w="850" w:type="dxa"/>
            <w:vAlign w:val="bottom"/>
          </w:tcPr>
          <w:p w14:paraId="7B225261" w14:textId="77777777" w:rsidR="00BB2CB4" w:rsidRPr="00222C32" w:rsidRDefault="000674DA">
            <w:pPr>
              <w:pStyle w:val="Summarytabletextrightaligned"/>
            </w:pPr>
            <w:r w:rsidRPr="00222C32">
              <w:t>-</w:t>
            </w:r>
          </w:p>
        </w:tc>
      </w:tr>
      <w:tr w:rsidR="00BB2CB4" w:rsidRPr="00222C32" w14:paraId="18D51DE5" w14:textId="77777777" w:rsidTr="00825163">
        <w:tc>
          <w:tcPr>
            <w:tcW w:w="3471" w:type="dxa"/>
            <w:vAlign w:val="bottom"/>
          </w:tcPr>
          <w:p w14:paraId="3D35E4B2" w14:textId="77777777" w:rsidR="00BB2CB4" w:rsidRPr="00222C32" w:rsidRDefault="000674DA">
            <w:pPr>
              <w:pStyle w:val="SummaryAgencyTitle-BP2"/>
            </w:pPr>
            <w:r w:rsidRPr="00222C32">
              <w:t>Australian Taxation Office</w:t>
            </w:r>
          </w:p>
        </w:tc>
        <w:tc>
          <w:tcPr>
            <w:tcW w:w="850" w:type="dxa"/>
          </w:tcPr>
          <w:p w14:paraId="57934AEB" w14:textId="77777777" w:rsidR="00BB2CB4" w:rsidRPr="00222C32" w:rsidRDefault="00BB2CB4">
            <w:pPr>
              <w:pStyle w:val="SummaryAgencyTitle-BP2"/>
            </w:pPr>
          </w:p>
        </w:tc>
        <w:tc>
          <w:tcPr>
            <w:tcW w:w="850" w:type="dxa"/>
            <w:shd w:val="clear" w:color="auto" w:fill="E6F2FF"/>
          </w:tcPr>
          <w:p w14:paraId="48ADF36F" w14:textId="77777777" w:rsidR="00BB2CB4" w:rsidRPr="00222C32" w:rsidRDefault="00BB2CB4">
            <w:pPr>
              <w:pStyle w:val="SummaryAgencyTitle-BP2"/>
            </w:pPr>
          </w:p>
        </w:tc>
        <w:tc>
          <w:tcPr>
            <w:tcW w:w="850" w:type="dxa"/>
          </w:tcPr>
          <w:p w14:paraId="5460CFE6" w14:textId="77777777" w:rsidR="00BB2CB4" w:rsidRPr="00222C32" w:rsidRDefault="00BB2CB4">
            <w:pPr>
              <w:pStyle w:val="SummaryAgencyTitle-BP2"/>
            </w:pPr>
          </w:p>
        </w:tc>
        <w:tc>
          <w:tcPr>
            <w:tcW w:w="850" w:type="dxa"/>
          </w:tcPr>
          <w:p w14:paraId="21149DF2" w14:textId="77777777" w:rsidR="00BB2CB4" w:rsidRPr="00222C32" w:rsidRDefault="00BB2CB4">
            <w:pPr>
              <w:pStyle w:val="SummaryAgencyTitle-BP2"/>
            </w:pPr>
          </w:p>
        </w:tc>
        <w:tc>
          <w:tcPr>
            <w:tcW w:w="850" w:type="dxa"/>
          </w:tcPr>
          <w:p w14:paraId="2EFC1C44" w14:textId="77777777" w:rsidR="00BB2CB4" w:rsidRPr="00222C32" w:rsidRDefault="00BB2CB4">
            <w:pPr>
              <w:pStyle w:val="SummaryAgencyTitle-BP2"/>
            </w:pPr>
          </w:p>
        </w:tc>
      </w:tr>
      <w:tr w:rsidR="00BB2CB4" w:rsidRPr="00222C32" w14:paraId="43E9A04F" w14:textId="77777777" w:rsidTr="00825163">
        <w:tc>
          <w:tcPr>
            <w:tcW w:w="3471" w:type="dxa"/>
            <w:vAlign w:val="bottom"/>
          </w:tcPr>
          <w:p w14:paraId="42E88EB7" w14:textId="77777777" w:rsidR="00BB2CB4" w:rsidRPr="00222C32" w:rsidRDefault="000674DA">
            <w:pPr>
              <w:pStyle w:val="SummaryMeasureTitlewithTheme"/>
            </w:pPr>
            <w:r w:rsidRPr="00222C32">
              <w:t>OECD Crypto Asset Reporting Framework and domestic reporting(b)</w:t>
            </w:r>
          </w:p>
        </w:tc>
        <w:tc>
          <w:tcPr>
            <w:tcW w:w="850" w:type="dxa"/>
            <w:vAlign w:val="bottom"/>
          </w:tcPr>
          <w:p w14:paraId="6EB7E8FB" w14:textId="77777777" w:rsidR="00BB2CB4" w:rsidRPr="00222C32" w:rsidRDefault="000674DA">
            <w:pPr>
              <w:pStyle w:val="Summarytabletextrightaligned"/>
            </w:pPr>
            <w:r w:rsidRPr="00222C32">
              <w:t>-</w:t>
            </w:r>
          </w:p>
        </w:tc>
        <w:tc>
          <w:tcPr>
            <w:tcW w:w="850" w:type="dxa"/>
            <w:shd w:val="clear" w:color="auto" w:fill="E6F2FF"/>
            <w:vAlign w:val="bottom"/>
          </w:tcPr>
          <w:p w14:paraId="2071D19B" w14:textId="77777777" w:rsidR="00BB2CB4" w:rsidRPr="00222C32" w:rsidRDefault="000674DA">
            <w:pPr>
              <w:pStyle w:val="Summarytabletextrightaligned"/>
            </w:pPr>
            <w:r w:rsidRPr="00222C32">
              <w:t>7.0</w:t>
            </w:r>
          </w:p>
        </w:tc>
        <w:tc>
          <w:tcPr>
            <w:tcW w:w="850" w:type="dxa"/>
            <w:vAlign w:val="bottom"/>
          </w:tcPr>
          <w:p w14:paraId="4982FADA" w14:textId="77777777" w:rsidR="00BB2CB4" w:rsidRPr="00222C32" w:rsidRDefault="000674DA">
            <w:pPr>
              <w:pStyle w:val="Summarytabletextrightaligned"/>
            </w:pPr>
            <w:r w:rsidRPr="00222C32">
              <w:t>21.3</w:t>
            </w:r>
          </w:p>
        </w:tc>
        <w:tc>
          <w:tcPr>
            <w:tcW w:w="850" w:type="dxa"/>
            <w:vAlign w:val="bottom"/>
          </w:tcPr>
          <w:p w14:paraId="40DE6B57" w14:textId="77777777" w:rsidR="00BB2CB4" w:rsidRPr="00222C32" w:rsidRDefault="000674DA">
            <w:pPr>
              <w:pStyle w:val="Summarytabletextrightaligned"/>
            </w:pPr>
            <w:r w:rsidRPr="00222C32">
              <w:t>17.0</w:t>
            </w:r>
          </w:p>
        </w:tc>
        <w:tc>
          <w:tcPr>
            <w:tcW w:w="850" w:type="dxa"/>
            <w:vAlign w:val="bottom"/>
          </w:tcPr>
          <w:p w14:paraId="2FC8C2E5" w14:textId="77777777" w:rsidR="00BB2CB4" w:rsidRPr="00222C32" w:rsidRDefault="000674DA">
            <w:pPr>
              <w:pStyle w:val="Summarytabletextrightaligned"/>
            </w:pPr>
            <w:r w:rsidRPr="00222C32">
              <w:t>11.8</w:t>
            </w:r>
          </w:p>
        </w:tc>
      </w:tr>
      <w:tr w:rsidR="00BB2CB4" w:rsidRPr="00222C32" w14:paraId="666E4FA4" w14:textId="77777777" w:rsidTr="00825163">
        <w:tc>
          <w:tcPr>
            <w:tcW w:w="3471" w:type="dxa"/>
            <w:vAlign w:val="bottom"/>
          </w:tcPr>
          <w:p w14:paraId="74B7DDB9" w14:textId="77777777" w:rsidR="00BB2CB4" w:rsidRPr="00222C32" w:rsidRDefault="000674DA">
            <w:pPr>
              <w:pStyle w:val="SummaryMeasureTitlewithTheme"/>
            </w:pPr>
            <w:r w:rsidRPr="00222C32">
              <w:t>Superannuation reforms – Boosting the Low Income Superannuation Tax Offset and practical changes to Better Targeted Superannuation Concessions(b)</w:t>
            </w:r>
          </w:p>
        </w:tc>
        <w:tc>
          <w:tcPr>
            <w:tcW w:w="850" w:type="dxa"/>
            <w:vAlign w:val="bottom"/>
          </w:tcPr>
          <w:p w14:paraId="4CC1F90B" w14:textId="77777777" w:rsidR="00BB2CB4" w:rsidRPr="00222C32" w:rsidRDefault="000674DA">
            <w:pPr>
              <w:pStyle w:val="Summarytabletextrightaligned"/>
            </w:pPr>
            <w:r w:rsidRPr="00222C32">
              <w:t>-</w:t>
            </w:r>
          </w:p>
        </w:tc>
        <w:tc>
          <w:tcPr>
            <w:tcW w:w="850" w:type="dxa"/>
            <w:shd w:val="clear" w:color="auto" w:fill="E6F2FF"/>
            <w:vAlign w:val="bottom"/>
          </w:tcPr>
          <w:p w14:paraId="487BF822" w14:textId="77777777" w:rsidR="00BB2CB4" w:rsidRPr="00222C32" w:rsidRDefault="000674DA">
            <w:pPr>
              <w:pStyle w:val="Summarytabletextrightaligned"/>
            </w:pPr>
            <w:r w:rsidRPr="00222C32">
              <w:t>-7.1</w:t>
            </w:r>
          </w:p>
        </w:tc>
        <w:tc>
          <w:tcPr>
            <w:tcW w:w="850" w:type="dxa"/>
            <w:vAlign w:val="bottom"/>
          </w:tcPr>
          <w:p w14:paraId="56EB01B9" w14:textId="77777777" w:rsidR="00BB2CB4" w:rsidRPr="00222C32" w:rsidRDefault="000674DA">
            <w:pPr>
              <w:pStyle w:val="Summarytabletextrightaligned"/>
            </w:pPr>
            <w:r w:rsidRPr="00222C32">
              <w:t>16.9</w:t>
            </w:r>
          </w:p>
        </w:tc>
        <w:tc>
          <w:tcPr>
            <w:tcW w:w="850" w:type="dxa"/>
            <w:vAlign w:val="bottom"/>
          </w:tcPr>
          <w:p w14:paraId="10ADFA17" w14:textId="77777777" w:rsidR="00BB2CB4" w:rsidRPr="00222C32" w:rsidRDefault="000674DA">
            <w:pPr>
              <w:pStyle w:val="Summarytabletextrightaligned"/>
            </w:pPr>
            <w:r w:rsidRPr="00222C32">
              <w:t>23.3</w:t>
            </w:r>
          </w:p>
        </w:tc>
        <w:tc>
          <w:tcPr>
            <w:tcW w:w="850" w:type="dxa"/>
            <w:vAlign w:val="bottom"/>
          </w:tcPr>
          <w:p w14:paraId="7D5FFCB3" w14:textId="77777777" w:rsidR="00BB2CB4" w:rsidRPr="00222C32" w:rsidRDefault="000674DA">
            <w:pPr>
              <w:pStyle w:val="Summarytabletextrightaligned"/>
            </w:pPr>
            <w:r w:rsidRPr="00222C32">
              <w:t>442.3</w:t>
            </w:r>
          </w:p>
        </w:tc>
      </w:tr>
      <w:tr w:rsidR="00BB2CB4" w:rsidRPr="00222C32" w14:paraId="5F397265" w14:textId="77777777" w:rsidTr="00825163">
        <w:tc>
          <w:tcPr>
            <w:tcW w:w="3471" w:type="dxa"/>
            <w:vAlign w:val="bottom"/>
          </w:tcPr>
          <w:p w14:paraId="30F24715" w14:textId="77777777" w:rsidR="00BB2CB4" w:rsidRPr="00222C32" w:rsidRDefault="000674DA">
            <w:pPr>
              <w:pStyle w:val="SummaryMeasureTitlewithTheme"/>
            </w:pPr>
            <w:r w:rsidRPr="00222C32">
              <w:t>Treasury Portfolio – additional resourcing(b)</w:t>
            </w:r>
          </w:p>
        </w:tc>
        <w:tc>
          <w:tcPr>
            <w:tcW w:w="850" w:type="dxa"/>
            <w:vAlign w:val="bottom"/>
          </w:tcPr>
          <w:p w14:paraId="599DB7CF" w14:textId="77777777" w:rsidR="00BB2CB4" w:rsidRPr="00222C32" w:rsidRDefault="000674DA">
            <w:pPr>
              <w:pStyle w:val="Summarytabletextrightaligned"/>
            </w:pPr>
            <w:r w:rsidRPr="00222C32">
              <w:t>-</w:t>
            </w:r>
          </w:p>
        </w:tc>
        <w:tc>
          <w:tcPr>
            <w:tcW w:w="850" w:type="dxa"/>
            <w:shd w:val="clear" w:color="auto" w:fill="E6F2FF"/>
            <w:vAlign w:val="bottom"/>
          </w:tcPr>
          <w:p w14:paraId="12A16F79" w14:textId="77777777" w:rsidR="00BB2CB4" w:rsidRPr="00222C32" w:rsidRDefault="000674DA">
            <w:pPr>
              <w:pStyle w:val="Summarytabletextrightaligned"/>
            </w:pPr>
            <w:r w:rsidRPr="00222C32">
              <w:t>2.4</w:t>
            </w:r>
          </w:p>
        </w:tc>
        <w:tc>
          <w:tcPr>
            <w:tcW w:w="850" w:type="dxa"/>
            <w:vAlign w:val="bottom"/>
          </w:tcPr>
          <w:p w14:paraId="563E1E51" w14:textId="77777777" w:rsidR="00BB2CB4" w:rsidRPr="00222C32" w:rsidRDefault="000674DA">
            <w:pPr>
              <w:pStyle w:val="Summarytabletextrightaligned"/>
            </w:pPr>
            <w:r w:rsidRPr="00222C32">
              <w:t>10.5</w:t>
            </w:r>
          </w:p>
        </w:tc>
        <w:tc>
          <w:tcPr>
            <w:tcW w:w="850" w:type="dxa"/>
            <w:vAlign w:val="bottom"/>
          </w:tcPr>
          <w:p w14:paraId="281DED75" w14:textId="77777777" w:rsidR="00BB2CB4" w:rsidRPr="00222C32" w:rsidRDefault="000674DA">
            <w:pPr>
              <w:pStyle w:val="Summarytabletextrightaligned"/>
            </w:pPr>
            <w:r w:rsidRPr="00222C32">
              <w:t>5.9</w:t>
            </w:r>
          </w:p>
        </w:tc>
        <w:tc>
          <w:tcPr>
            <w:tcW w:w="850" w:type="dxa"/>
            <w:vAlign w:val="bottom"/>
          </w:tcPr>
          <w:p w14:paraId="1F2B67CA" w14:textId="77777777" w:rsidR="00BB2CB4" w:rsidRPr="00222C32" w:rsidRDefault="000674DA">
            <w:pPr>
              <w:pStyle w:val="Summarytabletextrightaligned"/>
            </w:pPr>
            <w:r w:rsidRPr="00222C32">
              <w:t>0.3</w:t>
            </w:r>
          </w:p>
        </w:tc>
      </w:tr>
      <w:tr w:rsidR="00BB2CB4" w:rsidRPr="00222C32" w14:paraId="6B574D88" w14:textId="77777777" w:rsidTr="00825163">
        <w:tc>
          <w:tcPr>
            <w:tcW w:w="3471" w:type="dxa"/>
            <w:vAlign w:val="bottom"/>
          </w:tcPr>
          <w:p w14:paraId="39E66781" w14:textId="77777777" w:rsidR="00BB2CB4" w:rsidRPr="00222C32" w:rsidRDefault="000674DA">
            <w:pPr>
              <w:pStyle w:val="SummaryAgencyTitle-BP2"/>
            </w:pPr>
            <w:r w:rsidRPr="00222C32">
              <w:t>Department of the Treasury</w:t>
            </w:r>
          </w:p>
        </w:tc>
        <w:tc>
          <w:tcPr>
            <w:tcW w:w="850" w:type="dxa"/>
          </w:tcPr>
          <w:p w14:paraId="571D9F65" w14:textId="77777777" w:rsidR="00BB2CB4" w:rsidRPr="00222C32" w:rsidRDefault="00BB2CB4">
            <w:pPr>
              <w:pStyle w:val="SummaryAgencyTitle-BP2"/>
            </w:pPr>
          </w:p>
        </w:tc>
        <w:tc>
          <w:tcPr>
            <w:tcW w:w="850" w:type="dxa"/>
            <w:shd w:val="clear" w:color="auto" w:fill="E6F2FF"/>
          </w:tcPr>
          <w:p w14:paraId="2678D63C" w14:textId="77777777" w:rsidR="00BB2CB4" w:rsidRPr="00222C32" w:rsidRDefault="00BB2CB4">
            <w:pPr>
              <w:pStyle w:val="SummaryAgencyTitle-BP2"/>
            </w:pPr>
          </w:p>
        </w:tc>
        <w:tc>
          <w:tcPr>
            <w:tcW w:w="850" w:type="dxa"/>
          </w:tcPr>
          <w:p w14:paraId="04BF8EE5" w14:textId="77777777" w:rsidR="00BB2CB4" w:rsidRPr="00222C32" w:rsidRDefault="00BB2CB4">
            <w:pPr>
              <w:pStyle w:val="SummaryAgencyTitle-BP2"/>
            </w:pPr>
          </w:p>
        </w:tc>
        <w:tc>
          <w:tcPr>
            <w:tcW w:w="850" w:type="dxa"/>
          </w:tcPr>
          <w:p w14:paraId="43D9AB87" w14:textId="77777777" w:rsidR="00BB2CB4" w:rsidRPr="00222C32" w:rsidRDefault="00BB2CB4">
            <w:pPr>
              <w:pStyle w:val="SummaryAgencyTitle-BP2"/>
            </w:pPr>
          </w:p>
        </w:tc>
        <w:tc>
          <w:tcPr>
            <w:tcW w:w="850" w:type="dxa"/>
          </w:tcPr>
          <w:p w14:paraId="109626B3" w14:textId="77777777" w:rsidR="00BB2CB4" w:rsidRPr="00222C32" w:rsidRDefault="00BB2CB4">
            <w:pPr>
              <w:pStyle w:val="SummaryAgencyTitle-BP2"/>
            </w:pPr>
          </w:p>
        </w:tc>
      </w:tr>
      <w:tr w:rsidR="00BB2CB4" w:rsidRPr="00222C32" w14:paraId="08625C0D" w14:textId="77777777" w:rsidTr="00825163">
        <w:tc>
          <w:tcPr>
            <w:tcW w:w="3471" w:type="dxa"/>
            <w:vAlign w:val="bottom"/>
          </w:tcPr>
          <w:p w14:paraId="0F465691" w14:textId="77777777" w:rsidR="00BB2CB4" w:rsidRPr="00222C32" w:rsidRDefault="000674DA">
            <w:pPr>
              <w:pStyle w:val="SummaryMeasureTitlewithTheme"/>
            </w:pPr>
            <w:r w:rsidRPr="00222C32">
              <w:t>A Rapidly Transforming Energy System(b)</w:t>
            </w:r>
          </w:p>
        </w:tc>
        <w:tc>
          <w:tcPr>
            <w:tcW w:w="850" w:type="dxa"/>
            <w:vAlign w:val="bottom"/>
          </w:tcPr>
          <w:p w14:paraId="1873AB68" w14:textId="77777777" w:rsidR="00BB2CB4" w:rsidRPr="00222C32" w:rsidRDefault="000674DA">
            <w:pPr>
              <w:pStyle w:val="Summarytabletextrightaligned"/>
            </w:pPr>
            <w:r w:rsidRPr="00222C32">
              <w:t>-</w:t>
            </w:r>
          </w:p>
        </w:tc>
        <w:tc>
          <w:tcPr>
            <w:tcW w:w="850" w:type="dxa"/>
            <w:shd w:val="clear" w:color="auto" w:fill="E6F2FF"/>
            <w:vAlign w:val="bottom"/>
          </w:tcPr>
          <w:p w14:paraId="28836723" w14:textId="77777777" w:rsidR="00BB2CB4" w:rsidRPr="00222C32" w:rsidRDefault="000674DA">
            <w:pPr>
              <w:pStyle w:val="Summarytabletextrightaligned"/>
            </w:pPr>
            <w:r w:rsidRPr="00222C32">
              <w:t>96.6</w:t>
            </w:r>
          </w:p>
        </w:tc>
        <w:tc>
          <w:tcPr>
            <w:tcW w:w="850" w:type="dxa"/>
            <w:vAlign w:val="bottom"/>
          </w:tcPr>
          <w:p w14:paraId="54185F96" w14:textId="77777777" w:rsidR="00BB2CB4" w:rsidRPr="00222C32" w:rsidRDefault="000674DA">
            <w:pPr>
              <w:pStyle w:val="Summarytabletextrightaligned"/>
            </w:pPr>
            <w:r w:rsidRPr="00222C32">
              <w:t>4.4</w:t>
            </w:r>
          </w:p>
        </w:tc>
        <w:tc>
          <w:tcPr>
            <w:tcW w:w="850" w:type="dxa"/>
            <w:vAlign w:val="bottom"/>
          </w:tcPr>
          <w:p w14:paraId="4617EE56" w14:textId="77777777" w:rsidR="00BB2CB4" w:rsidRPr="00222C32" w:rsidRDefault="000674DA">
            <w:pPr>
              <w:pStyle w:val="Summarytabletextrightaligned"/>
            </w:pPr>
            <w:r w:rsidRPr="00222C32">
              <w:t>-</w:t>
            </w:r>
          </w:p>
        </w:tc>
        <w:tc>
          <w:tcPr>
            <w:tcW w:w="850" w:type="dxa"/>
            <w:vAlign w:val="bottom"/>
          </w:tcPr>
          <w:p w14:paraId="1F1F21DA" w14:textId="77777777" w:rsidR="00BB2CB4" w:rsidRPr="00222C32" w:rsidRDefault="000674DA">
            <w:pPr>
              <w:pStyle w:val="Summarytabletextrightaligned"/>
            </w:pPr>
            <w:r w:rsidRPr="00222C32">
              <w:t>-</w:t>
            </w:r>
          </w:p>
        </w:tc>
      </w:tr>
      <w:tr w:rsidR="00BB2CB4" w:rsidRPr="00222C32" w14:paraId="40E67755" w14:textId="77777777" w:rsidTr="00825163">
        <w:tc>
          <w:tcPr>
            <w:tcW w:w="3471" w:type="dxa"/>
            <w:vAlign w:val="bottom"/>
          </w:tcPr>
          <w:p w14:paraId="40720683" w14:textId="77777777" w:rsidR="00BB2CB4" w:rsidRPr="00222C32" w:rsidRDefault="000674DA">
            <w:pPr>
              <w:pStyle w:val="SummaryMeasureTitlewithTheme"/>
            </w:pPr>
            <w:r w:rsidRPr="00222C32">
              <w:t>Building a Better Future Through Considered Infrastructure Investment</w:t>
            </w:r>
          </w:p>
        </w:tc>
        <w:tc>
          <w:tcPr>
            <w:tcW w:w="850" w:type="dxa"/>
            <w:vAlign w:val="bottom"/>
          </w:tcPr>
          <w:p w14:paraId="7170945F" w14:textId="77777777" w:rsidR="00BB2CB4" w:rsidRPr="00222C32" w:rsidRDefault="000674DA">
            <w:pPr>
              <w:pStyle w:val="Summarytabletextrightaligned"/>
            </w:pPr>
            <w:r w:rsidRPr="00222C32">
              <w:t>-</w:t>
            </w:r>
          </w:p>
        </w:tc>
        <w:tc>
          <w:tcPr>
            <w:tcW w:w="850" w:type="dxa"/>
            <w:shd w:val="clear" w:color="auto" w:fill="E6F2FF"/>
            <w:vAlign w:val="bottom"/>
          </w:tcPr>
          <w:p w14:paraId="06F8F6FA" w14:textId="77777777" w:rsidR="00BB2CB4" w:rsidRPr="00222C32" w:rsidRDefault="000674DA">
            <w:pPr>
              <w:pStyle w:val="Summarytabletextrightaligned"/>
            </w:pPr>
            <w:r w:rsidRPr="00222C32">
              <w:t>147.9</w:t>
            </w:r>
          </w:p>
        </w:tc>
        <w:tc>
          <w:tcPr>
            <w:tcW w:w="850" w:type="dxa"/>
            <w:vAlign w:val="bottom"/>
          </w:tcPr>
          <w:p w14:paraId="18278F0B" w14:textId="77777777" w:rsidR="00BB2CB4" w:rsidRPr="00222C32" w:rsidRDefault="000674DA">
            <w:pPr>
              <w:pStyle w:val="Summarytabletextrightaligned"/>
            </w:pPr>
            <w:r w:rsidRPr="00222C32">
              <w:t>87.5</w:t>
            </w:r>
          </w:p>
        </w:tc>
        <w:tc>
          <w:tcPr>
            <w:tcW w:w="850" w:type="dxa"/>
            <w:vAlign w:val="bottom"/>
          </w:tcPr>
          <w:p w14:paraId="40A751A4" w14:textId="77777777" w:rsidR="00BB2CB4" w:rsidRPr="00222C32" w:rsidRDefault="000674DA">
            <w:pPr>
              <w:pStyle w:val="Summarytabletextrightaligned"/>
            </w:pPr>
            <w:r w:rsidRPr="00222C32">
              <w:t>175.3</w:t>
            </w:r>
          </w:p>
        </w:tc>
        <w:tc>
          <w:tcPr>
            <w:tcW w:w="850" w:type="dxa"/>
            <w:vAlign w:val="bottom"/>
          </w:tcPr>
          <w:p w14:paraId="6DF3E6B4" w14:textId="77777777" w:rsidR="00BB2CB4" w:rsidRPr="00222C32" w:rsidRDefault="000674DA">
            <w:pPr>
              <w:pStyle w:val="Summarytabletextrightaligned"/>
            </w:pPr>
            <w:r w:rsidRPr="00222C32">
              <w:t>160.6</w:t>
            </w:r>
          </w:p>
        </w:tc>
      </w:tr>
      <w:tr w:rsidR="00BB2CB4" w:rsidRPr="00222C32" w14:paraId="4A9120DF" w14:textId="77777777" w:rsidTr="00825163">
        <w:tc>
          <w:tcPr>
            <w:tcW w:w="3471" w:type="dxa"/>
            <w:vAlign w:val="bottom"/>
          </w:tcPr>
          <w:p w14:paraId="647CE01A" w14:textId="77777777" w:rsidR="00BB2CB4" w:rsidRPr="00222C32" w:rsidRDefault="000674DA">
            <w:pPr>
              <w:pStyle w:val="SummaryMeasureTitlewithTheme"/>
            </w:pPr>
            <w:r w:rsidRPr="00222C32">
              <w:t>Building a Future Made in Australia(b)</w:t>
            </w:r>
          </w:p>
        </w:tc>
        <w:tc>
          <w:tcPr>
            <w:tcW w:w="850" w:type="dxa"/>
            <w:vAlign w:val="bottom"/>
          </w:tcPr>
          <w:p w14:paraId="25AE38B0" w14:textId="77777777" w:rsidR="00BB2CB4" w:rsidRPr="00222C32" w:rsidRDefault="000674DA">
            <w:pPr>
              <w:pStyle w:val="Summarytabletextrightaligned"/>
            </w:pPr>
            <w:r w:rsidRPr="00222C32">
              <w:t>-</w:t>
            </w:r>
          </w:p>
        </w:tc>
        <w:tc>
          <w:tcPr>
            <w:tcW w:w="850" w:type="dxa"/>
            <w:shd w:val="clear" w:color="auto" w:fill="E6F2FF"/>
            <w:vAlign w:val="bottom"/>
          </w:tcPr>
          <w:p w14:paraId="27C1795A" w14:textId="77777777" w:rsidR="00BB2CB4" w:rsidRPr="00222C32" w:rsidRDefault="000674DA">
            <w:pPr>
              <w:pStyle w:val="Summarytabletextrightaligned"/>
            </w:pPr>
            <w:r w:rsidRPr="00222C32">
              <w:t>4.0</w:t>
            </w:r>
          </w:p>
        </w:tc>
        <w:tc>
          <w:tcPr>
            <w:tcW w:w="850" w:type="dxa"/>
            <w:vAlign w:val="bottom"/>
          </w:tcPr>
          <w:p w14:paraId="44593B20" w14:textId="77777777" w:rsidR="00BB2CB4" w:rsidRPr="00222C32" w:rsidRDefault="000674DA">
            <w:pPr>
              <w:pStyle w:val="Summarytabletextrightaligned"/>
            </w:pPr>
            <w:r w:rsidRPr="00222C32">
              <w:t>1.0</w:t>
            </w:r>
          </w:p>
        </w:tc>
        <w:tc>
          <w:tcPr>
            <w:tcW w:w="850" w:type="dxa"/>
            <w:vAlign w:val="bottom"/>
          </w:tcPr>
          <w:p w14:paraId="2E3E14C4" w14:textId="77777777" w:rsidR="00BB2CB4" w:rsidRPr="00222C32" w:rsidRDefault="000674DA">
            <w:pPr>
              <w:pStyle w:val="Summarytabletextrightaligned"/>
            </w:pPr>
            <w:r w:rsidRPr="00222C32">
              <w:t>-</w:t>
            </w:r>
          </w:p>
        </w:tc>
        <w:tc>
          <w:tcPr>
            <w:tcW w:w="850" w:type="dxa"/>
            <w:vAlign w:val="bottom"/>
          </w:tcPr>
          <w:p w14:paraId="1EAF6A63" w14:textId="77777777" w:rsidR="00BB2CB4" w:rsidRPr="00222C32" w:rsidRDefault="000674DA">
            <w:pPr>
              <w:pStyle w:val="Summarytabletextrightaligned"/>
            </w:pPr>
            <w:r w:rsidRPr="00222C32">
              <w:t>-</w:t>
            </w:r>
          </w:p>
        </w:tc>
      </w:tr>
      <w:tr w:rsidR="00BB2CB4" w:rsidRPr="00222C32" w14:paraId="676143AF" w14:textId="77777777" w:rsidTr="00825163">
        <w:tc>
          <w:tcPr>
            <w:tcW w:w="3471" w:type="dxa"/>
            <w:vAlign w:val="bottom"/>
          </w:tcPr>
          <w:p w14:paraId="3CA6DABC" w14:textId="2825BB17" w:rsidR="00BB2CB4" w:rsidRPr="00222C32" w:rsidRDefault="000674DA">
            <w:pPr>
              <w:pStyle w:val="SummaryMeasureTitlewithTheme"/>
            </w:pPr>
            <w:r w:rsidRPr="00222C32">
              <w:t>Building Australia</w:t>
            </w:r>
            <w:r w:rsidR="00A67A30">
              <w:t>’</w:t>
            </w:r>
            <w:r w:rsidRPr="00222C32">
              <w:t>s Future – delivering priority housing and energy sector training(b)</w:t>
            </w:r>
          </w:p>
        </w:tc>
        <w:tc>
          <w:tcPr>
            <w:tcW w:w="850" w:type="dxa"/>
            <w:vAlign w:val="bottom"/>
          </w:tcPr>
          <w:p w14:paraId="68224253" w14:textId="77777777" w:rsidR="00BB2CB4" w:rsidRPr="00222C32" w:rsidRDefault="000674DA">
            <w:pPr>
              <w:pStyle w:val="Summarytabletextrightaligned"/>
            </w:pPr>
            <w:r w:rsidRPr="00222C32">
              <w:t>-</w:t>
            </w:r>
          </w:p>
        </w:tc>
        <w:tc>
          <w:tcPr>
            <w:tcW w:w="850" w:type="dxa"/>
            <w:shd w:val="clear" w:color="auto" w:fill="E6F2FF"/>
            <w:vAlign w:val="bottom"/>
          </w:tcPr>
          <w:p w14:paraId="055756CD" w14:textId="77777777" w:rsidR="00BB2CB4" w:rsidRPr="00222C32" w:rsidRDefault="000674DA">
            <w:pPr>
              <w:pStyle w:val="Summarytabletextrightaligned"/>
            </w:pPr>
            <w:r w:rsidRPr="00222C32">
              <w:t>22.0</w:t>
            </w:r>
          </w:p>
        </w:tc>
        <w:tc>
          <w:tcPr>
            <w:tcW w:w="850" w:type="dxa"/>
            <w:vAlign w:val="bottom"/>
          </w:tcPr>
          <w:p w14:paraId="02A9B87D" w14:textId="77777777" w:rsidR="00BB2CB4" w:rsidRPr="00222C32" w:rsidRDefault="000674DA">
            <w:pPr>
              <w:pStyle w:val="Summarytabletextrightaligned"/>
            </w:pPr>
            <w:r w:rsidRPr="00222C32">
              <w:t>36.5</w:t>
            </w:r>
          </w:p>
        </w:tc>
        <w:tc>
          <w:tcPr>
            <w:tcW w:w="850" w:type="dxa"/>
            <w:vAlign w:val="bottom"/>
          </w:tcPr>
          <w:p w14:paraId="441747DC" w14:textId="77777777" w:rsidR="00BB2CB4" w:rsidRPr="00222C32" w:rsidRDefault="000674DA">
            <w:pPr>
              <w:pStyle w:val="Summarytabletextrightaligned"/>
            </w:pPr>
            <w:r w:rsidRPr="00222C32">
              <w:t>24.5</w:t>
            </w:r>
          </w:p>
        </w:tc>
        <w:tc>
          <w:tcPr>
            <w:tcW w:w="850" w:type="dxa"/>
            <w:vAlign w:val="bottom"/>
          </w:tcPr>
          <w:p w14:paraId="4C2CA275" w14:textId="77777777" w:rsidR="00BB2CB4" w:rsidRPr="00222C32" w:rsidRDefault="000674DA">
            <w:pPr>
              <w:pStyle w:val="Summarytabletextrightaligned"/>
            </w:pPr>
            <w:r w:rsidRPr="00222C32">
              <w:t>-</w:t>
            </w:r>
          </w:p>
        </w:tc>
      </w:tr>
      <w:tr w:rsidR="00BB2CB4" w:rsidRPr="00222C32" w14:paraId="44CFE4FB" w14:textId="77777777" w:rsidTr="00825163">
        <w:tc>
          <w:tcPr>
            <w:tcW w:w="3471" w:type="dxa"/>
            <w:vAlign w:val="bottom"/>
          </w:tcPr>
          <w:p w14:paraId="196E80F8" w14:textId="77777777" w:rsidR="00BB2CB4" w:rsidRPr="00222C32" w:rsidRDefault="000674DA">
            <w:pPr>
              <w:pStyle w:val="SummaryMeasureTitlewithTheme"/>
            </w:pPr>
            <w:r w:rsidRPr="00222C32">
              <w:t>Climate Change, Energy, the Environment and Water – reprioritisation</w:t>
            </w:r>
          </w:p>
        </w:tc>
        <w:tc>
          <w:tcPr>
            <w:tcW w:w="850" w:type="dxa"/>
            <w:vAlign w:val="bottom"/>
          </w:tcPr>
          <w:p w14:paraId="3F566F41" w14:textId="77777777" w:rsidR="00BB2CB4" w:rsidRPr="00222C32" w:rsidRDefault="000674DA">
            <w:pPr>
              <w:pStyle w:val="Summarytabletextrightaligned"/>
            </w:pPr>
            <w:r w:rsidRPr="00222C32">
              <w:t>-</w:t>
            </w:r>
          </w:p>
        </w:tc>
        <w:tc>
          <w:tcPr>
            <w:tcW w:w="850" w:type="dxa"/>
            <w:shd w:val="clear" w:color="auto" w:fill="E6F2FF"/>
            <w:vAlign w:val="bottom"/>
          </w:tcPr>
          <w:p w14:paraId="71F6DD30" w14:textId="77777777" w:rsidR="00BB2CB4" w:rsidRPr="00222C32" w:rsidRDefault="000674DA">
            <w:pPr>
              <w:pStyle w:val="Summarytabletextrightaligned"/>
            </w:pPr>
            <w:r w:rsidRPr="00222C32">
              <w:t>-25.1</w:t>
            </w:r>
          </w:p>
        </w:tc>
        <w:tc>
          <w:tcPr>
            <w:tcW w:w="850" w:type="dxa"/>
            <w:vAlign w:val="bottom"/>
          </w:tcPr>
          <w:p w14:paraId="26906CB4" w14:textId="77777777" w:rsidR="00BB2CB4" w:rsidRPr="00222C32" w:rsidRDefault="000674DA">
            <w:pPr>
              <w:pStyle w:val="Summarytabletextrightaligned"/>
            </w:pPr>
            <w:r w:rsidRPr="00222C32">
              <w:t>-</w:t>
            </w:r>
          </w:p>
        </w:tc>
        <w:tc>
          <w:tcPr>
            <w:tcW w:w="850" w:type="dxa"/>
            <w:vAlign w:val="bottom"/>
          </w:tcPr>
          <w:p w14:paraId="0DA70F62" w14:textId="77777777" w:rsidR="00BB2CB4" w:rsidRPr="00222C32" w:rsidRDefault="000674DA">
            <w:pPr>
              <w:pStyle w:val="Summarytabletextrightaligned"/>
            </w:pPr>
            <w:r w:rsidRPr="00222C32">
              <w:t>-</w:t>
            </w:r>
          </w:p>
        </w:tc>
        <w:tc>
          <w:tcPr>
            <w:tcW w:w="850" w:type="dxa"/>
            <w:vAlign w:val="bottom"/>
          </w:tcPr>
          <w:p w14:paraId="5D05DBD8" w14:textId="77777777" w:rsidR="00BB2CB4" w:rsidRPr="00222C32" w:rsidRDefault="000674DA">
            <w:pPr>
              <w:pStyle w:val="Summarytabletextrightaligned"/>
            </w:pPr>
            <w:r w:rsidRPr="00222C32">
              <w:t>-</w:t>
            </w:r>
          </w:p>
        </w:tc>
      </w:tr>
      <w:tr w:rsidR="00BB2CB4" w:rsidRPr="00222C32" w14:paraId="0EDD3CCF" w14:textId="77777777" w:rsidTr="00825163">
        <w:tc>
          <w:tcPr>
            <w:tcW w:w="3471" w:type="dxa"/>
            <w:vAlign w:val="bottom"/>
          </w:tcPr>
          <w:p w14:paraId="76904028" w14:textId="77777777" w:rsidR="00BB2CB4" w:rsidRPr="00222C32" w:rsidRDefault="000674DA">
            <w:pPr>
              <w:pStyle w:val="SummaryMeasureTitlewithTheme"/>
            </w:pPr>
            <w:r w:rsidRPr="00222C32">
              <w:t>Competition Reforms(b)</w:t>
            </w:r>
          </w:p>
        </w:tc>
        <w:tc>
          <w:tcPr>
            <w:tcW w:w="850" w:type="dxa"/>
            <w:vAlign w:val="bottom"/>
          </w:tcPr>
          <w:p w14:paraId="16FA299B" w14:textId="77777777" w:rsidR="00BB2CB4" w:rsidRPr="00222C32" w:rsidRDefault="000674DA">
            <w:pPr>
              <w:pStyle w:val="Summarytabletextrightaligned"/>
            </w:pPr>
            <w:r w:rsidRPr="00222C32">
              <w:t>-</w:t>
            </w:r>
          </w:p>
        </w:tc>
        <w:tc>
          <w:tcPr>
            <w:tcW w:w="850" w:type="dxa"/>
            <w:shd w:val="clear" w:color="auto" w:fill="E6F2FF"/>
            <w:vAlign w:val="bottom"/>
          </w:tcPr>
          <w:p w14:paraId="161AE884" w14:textId="77777777" w:rsidR="00BB2CB4" w:rsidRPr="00222C32" w:rsidRDefault="000674DA">
            <w:pPr>
              <w:pStyle w:val="Summarytabletextrightaligned"/>
            </w:pPr>
            <w:r w:rsidRPr="00222C32">
              <w:t>0.6</w:t>
            </w:r>
          </w:p>
        </w:tc>
        <w:tc>
          <w:tcPr>
            <w:tcW w:w="850" w:type="dxa"/>
            <w:vAlign w:val="bottom"/>
          </w:tcPr>
          <w:p w14:paraId="2156D530" w14:textId="77777777" w:rsidR="00BB2CB4" w:rsidRPr="00222C32" w:rsidRDefault="000674DA">
            <w:pPr>
              <w:pStyle w:val="Summarytabletextrightaligned"/>
            </w:pPr>
            <w:r w:rsidRPr="00222C32">
              <w:t>6.3</w:t>
            </w:r>
          </w:p>
        </w:tc>
        <w:tc>
          <w:tcPr>
            <w:tcW w:w="850" w:type="dxa"/>
            <w:vAlign w:val="bottom"/>
          </w:tcPr>
          <w:p w14:paraId="1B3D65FC" w14:textId="77777777" w:rsidR="00BB2CB4" w:rsidRPr="00222C32" w:rsidRDefault="000674DA">
            <w:pPr>
              <w:pStyle w:val="Summarytabletextrightaligned"/>
            </w:pPr>
            <w:r w:rsidRPr="00222C32">
              <w:t>5.3</w:t>
            </w:r>
          </w:p>
        </w:tc>
        <w:tc>
          <w:tcPr>
            <w:tcW w:w="850" w:type="dxa"/>
            <w:vAlign w:val="bottom"/>
          </w:tcPr>
          <w:p w14:paraId="1D7E3C55" w14:textId="77777777" w:rsidR="00BB2CB4" w:rsidRPr="00222C32" w:rsidRDefault="000674DA">
            <w:pPr>
              <w:pStyle w:val="Summarytabletextrightaligned"/>
            </w:pPr>
            <w:r w:rsidRPr="00222C32">
              <w:t>3.8</w:t>
            </w:r>
          </w:p>
        </w:tc>
      </w:tr>
      <w:tr w:rsidR="00BB2CB4" w:rsidRPr="00222C32" w14:paraId="5A94437C" w14:textId="77777777" w:rsidTr="00825163">
        <w:tc>
          <w:tcPr>
            <w:tcW w:w="3471" w:type="dxa"/>
            <w:vAlign w:val="bottom"/>
          </w:tcPr>
          <w:p w14:paraId="58727FF4" w14:textId="77777777" w:rsidR="00BB2CB4" w:rsidRPr="00222C32" w:rsidRDefault="000674DA">
            <w:pPr>
              <w:pStyle w:val="SummaryMeasureTitlewithTheme"/>
            </w:pPr>
            <w:r w:rsidRPr="00222C32">
              <w:t>Delivering Place‑based Employment Services</w:t>
            </w:r>
          </w:p>
        </w:tc>
        <w:tc>
          <w:tcPr>
            <w:tcW w:w="850" w:type="dxa"/>
            <w:vAlign w:val="bottom"/>
          </w:tcPr>
          <w:p w14:paraId="3BA39AAB" w14:textId="77777777" w:rsidR="00BB2CB4" w:rsidRPr="00222C32" w:rsidRDefault="000674DA">
            <w:pPr>
              <w:pStyle w:val="Summarytabletextrightaligned"/>
            </w:pPr>
            <w:r w:rsidRPr="00222C32">
              <w:t>-</w:t>
            </w:r>
          </w:p>
        </w:tc>
        <w:tc>
          <w:tcPr>
            <w:tcW w:w="850" w:type="dxa"/>
            <w:shd w:val="clear" w:color="auto" w:fill="E6F2FF"/>
            <w:vAlign w:val="bottom"/>
          </w:tcPr>
          <w:p w14:paraId="0E716299" w14:textId="77777777" w:rsidR="00BB2CB4" w:rsidRPr="00222C32" w:rsidRDefault="000674DA">
            <w:pPr>
              <w:pStyle w:val="Summarytabletextrightaligned"/>
            </w:pPr>
            <w:r w:rsidRPr="00222C32">
              <w:t>1.4</w:t>
            </w:r>
          </w:p>
        </w:tc>
        <w:tc>
          <w:tcPr>
            <w:tcW w:w="850" w:type="dxa"/>
            <w:vAlign w:val="bottom"/>
          </w:tcPr>
          <w:p w14:paraId="2EE03E35" w14:textId="77777777" w:rsidR="00BB2CB4" w:rsidRPr="00222C32" w:rsidRDefault="000674DA">
            <w:pPr>
              <w:pStyle w:val="Summarytabletextrightaligned"/>
            </w:pPr>
            <w:r w:rsidRPr="00222C32">
              <w:t>1.0</w:t>
            </w:r>
          </w:p>
        </w:tc>
        <w:tc>
          <w:tcPr>
            <w:tcW w:w="850" w:type="dxa"/>
            <w:vAlign w:val="bottom"/>
          </w:tcPr>
          <w:p w14:paraId="6BBF3AB0" w14:textId="77777777" w:rsidR="00BB2CB4" w:rsidRPr="00222C32" w:rsidRDefault="000674DA">
            <w:pPr>
              <w:pStyle w:val="Summarytabletextrightaligned"/>
            </w:pPr>
            <w:r w:rsidRPr="00222C32">
              <w:t>0.2</w:t>
            </w:r>
          </w:p>
        </w:tc>
        <w:tc>
          <w:tcPr>
            <w:tcW w:w="850" w:type="dxa"/>
            <w:vAlign w:val="bottom"/>
          </w:tcPr>
          <w:p w14:paraId="223B5E10" w14:textId="77777777" w:rsidR="00BB2CB4" w:rsidRPr="00222C32" w:rsidRDefault="000674DA">
            <w:pPr>
              <w:pStyle w:val="Summarytabletextrightaligned"/>
            </w:pPr>
            <w:r w:rsidRPr="00222C32">
              <w:t>-</w:t>
            </w:r>
          </w:p>
        </w:tc>
      </w:tr>
      <w:tr w:rsidR="00BB2CB4" w:rsidRPr="00222C32" w14:paraId="720F082B" w14:textId="77777777" w:rsidTr="00825163">
        <w:tc>
          <w:tcPr>
            <w:tcW w:w="3471" w:type="dxa"/>
            <w:vAlign w:val="bottom"/>
          </w:tcPr>
          <w:p w14:paraId="04EDC451" w14:textId="77777777" w:rsidR="00BB2CB4" w:rsidRPr="00222C32" w:rsidRDefault="000674DA">
            <w:pPr>
              <w:pStyle w:val="SummaryMeasureTitlewithTheme"/>
            </w:pPr>
            <w:r w:rsidRPr="00222C32">
              <w:t>Disaster Support</w:t>
            </w:r>
          </w:p>
        </w:tc>
        <w:tc>
          <w:tcPr>
            <w:tcW w:w="850" w:type="dxa"/>
            <w:vAlign w:val="bottom"/>
          </w:tcPr>
          <w:p w14:paraId="309109DB" w14:textId="77777777" w:rsidR="00BB2CB4" w:rsidRPr="00222C32" w:rsidRDefault="000674DA">
            <w:pPr>
              <w:pStyle w:val="Summarytabletextrightaligned"/>
            </w:pPr>
            <w:r w:rsidRPr="00222C32">
              <w:t>-</w:t>
            </w:r>
          </w:p>
        </w:tc>
        <w:tc>
          <w:tcPr>
            <w:tcW w:w="850" w:type="dxa"/>
            <w:shd w:val="clear" w:color="auto" w:fill="E6F2FF"/>
            <w:vAlign w:val="bottom"/>
          </w:tcPr>
          <w:p w14:paraId="4733D366" w14:textId="77777777" w:rsidR="00BB2CB4" w:rsidRPr="00222C32" w:rsidRDefault="000674DA">
            <w:pPr>
              <w:pStyle w:val="Summarytabletextrightaligned"/>
            </w:pPr>
            <w:r w:rsidRPr="00222C32">
              <w:t>1.9</w:t>
            </w:r>
          </w:p>
        </w:tc>
        <w:tc>
          <w:tcPr>
            <w:tcW w:w="850" w:type="dxa"/>
            <w:vAlign w:val="bottom"/>
          </w:tcPr>
          <w:p w14:paraId="2A41DCC7" w14:textId="77777777" w:rsidR="00BB2CB4" w:rsidRPr="00222C32" w:rsidRDefault="000674DA">
            <w:pPr>
              <w:pStyle w:val="Summarytabletextrightaligned"/>
            </w:pPr>
            <w:r w:rsidRPr="00222C32">
              <w:t>1.5</w:t>
            </w:r>
          </w:p>
        </w:tc>
        <w:tc>
          <w:tcPr>
            <w:tcW w:w="850" w:type="dxa"/>
            <w:vAlign w:val="bottom"/>
          </w:tcPr>
          <w:p w14:paraId="3BBF8746" w14:textId="77777777" w:rsidR="00BB2CB4" w:rsidRPr="00222C32" w:rsidRDefault="000674DA">
            <w:pPr>
              <w:pStyle w:val="Summarytabletextrightaligned"/>
            </w:pPr>
            <w:r w:rsidRPr="00222C32">
              <w:t>0.5</w:t>
            </w:r>
          </w:p>
        </w:tc>
        <w:tc>
          <w:tcPr>
            <w:tcW w:w="850" w:type="dxa"/>
            <w:vAlign w:val="bottom"/>
          </w:tcPr>
          <w:p w14:paraId="3DB55F1F" w14:textId="77777777" w:rsidR="00BB2CB4" w:rsidRPr="00222C32" w:rsidRDefault="000674DA">
            <w:pPr>
              <w:pStyle w:val="Summarytabletextrightaligned"/>
            </w:pPr>
            <w:r w:rsidRPr="00222C32">
              <w:t>-</w:t>
            </w:r>
          </w:p>
        </w:tc>
      </w:tr>
      <w:tr w:rsidR="00BB2CB4" w:rsidRPr="00222C32" w14:paraId="1CC5F9B3" w14:textId="77777777" w:rsidTr="00825163">
        <w:tc>
          <w:tcPr>
            <w:tcW w:w="3471" w:type="dxa"/>
            <w:vAlign w:val="bottom"/>
          </w:tcPr>
          <w:p w14:paraId="45B946A4" w14:textId="77777777" w:rsidR="00BB2CB4" w:rsidRPr="00222C32" w:rsidRDefault="000674DA">
            <w:pPr>
              <w:pStyle w:val="SummaryMeasureTitlewithTheme"/>
            </w:pPr>
            <w:r w:rsidRPr="00222C32">
              <w:t>Employment and Workplace Relations – reprioritisation</w:t>
            </w:r>
          </w:p>
        </w:tc>
        <w:tc>
          <w:tcPr>
            <w:tcW w:w="850" w:type="dxa"/>
            <w:vAlign w:val="bottom"/>
          </w:tcPr>
          <w:p w14:paraId="6FD7E681" w14:textId="77777777" w:rsidR="00BB2CB4" w:rsidRPr="00222C32" w:rsidRDefault="000674DA">
            <w:pPr>
              <w:pStyle w:val="Summarytabletextrightaligned"/>
            </w:pPr>
            <w:r w:rsidRPr="00222C32">
              <w:t>-</w:t>
            </w:r>
          </w:p>
        </w:tc>
        <w:tc>
          <w:tcPr>
            <w:tcW w:w="850" w:type="dxa"/>
            <w:shd w:val="clear" w:color="auto" w:fill="E6F2FF"/>
            <w:vAlign w:val="bottom"/>
          </w:tcPr>
          <w:p w14:paraId="48B2D667" w14:textId="77777777" w:rsidR="00BB2CB4" w:rsidRPr="00222C32" w:rsidRDefault="000674DA">
            <w:pPr>
              <w:pStyle w:val="Summarytabletextrightaligned"/>
            </w:pPr>
            <w:r w:rsidRPr="00222C32">
              <w:t>-3.0</w:t>
            </w:r>
          </w:p>
        </w:tc>
        <w:tc>
          <w:tcPr>
            <w:tcW w:w="850" w:type="dxa"/>
            <w:vAlign w:val="bottom"/>
          </w:tcPr>
          <w:p w14:paraId="0FD80ADB" w14:textId="77777777" w:rsidR="00BB2CB4" w:rsidRPr="00222C32" w:rsidRDefault="000674DA">
            <w:pPr>
              <w:pStyle w:val="Summarytabletextrightaligned"/>
            </w:pPr>
            <w:r w:rsidRPr="00222C32">
              <w:t>-</w:t>
            </w:r>
          </w:p>
        </w:tc>
        <w:tc>
          <w:tcPr>
            <w:tcW w:w="850" w:type="dxa"/>
            <w:vAlign w:val="bottom"/>
          </w:tcPr>
          <w:p w14:paraId="6E253A70" w14:textId="77777777" w:rsidR="00BB2CB4" w:rsidRPr="00222C32" w:rsidRDefault="000674DA">
            <w:pPr>
              <w:pStyle w:val="Summarytabletextrightaligned"/>
            </w:pPr>
            <w:r w:rsidRPr="00222C32">
              <w:t>-</w:t>
            </w:r>
          </w:p>
        </w:tc>
        <w:tc>
          <w:tcPr>
            <w:tcW w:w="850" w:type="dxa"/>
            <w:vAlign w:val="bottom"/>
          </w:tcPr>
          <w:p w14:paraId="253FD473" w14:textId="77777777" w:rsidR="00BB2CB4" w:rsidRPr="00222C32" w:rsidRDefault="000674DA">
            <w:pPr>
              <w:pStyle w:val="Summarytabletextrightaligned"/>
            </w:pPr>
            <w:r w:rsidRPr="00222C32">
              <w:t>-</w:t>
            </w:r>
          </w:p>
        </w:tc>
      </w:tr>
      <w:tr w:rsidR="00BB2CB4" w:rsidRPr="00222C32" w14:paraId="13A31F7F" w14:textId="77777777" w:rsidTr="00825163">
        <w:tc>
          <w:tcPr>
            <w:tcW w:w="3471" w:type="dxa"/>
            <w:vAlign w:val="bottom"/>
          </w:tcPr>
          <w:p w14:paraId="72090B29" w14:textId="77777777" w:rsidR="00BB2CB4" w:rsidRPr="00222C32" w:rsidRDefault="000674DA">
            <w:pPr>
              <w:pStyle w:val="SummaryMeasureTitlewithTheme"/>
            </w:pPr>
            <w:r w:rsidRPr="00222C32">
              <w:t>Funding for Mid‑Year Reception in South Australian Non‑Government Schools</w:t>
            </w:r>
          </w:p>
        </w:tc>
        <w:tc>
          <w:tcPr>
            <w:tcW w:w="850" w:type="dxa"/>
            <w:vAlign w:val="bottom"/>
          </w:tcPr>
          <w:p w14:paraId="5FFE1A81" w14:textId="77777777" w:rsidR="00BB2CB4" w:rsidRPr="00222C32" w:rsidRDefault="000674DA">
            <w:pPr>
              <w:pStyle w:val="Summarytabletextrightaligned"/>
            </w:pPr>
            <w:r w:rsidRPr="00222C32">
              <w:t>-</w:t>
            </w:r>
          </w:p>
        </w:tc>
        <w:tc>
          <w:tcPr>
            <w:tcW w:w="850" w:type="dxa"/>
            <w:shd w:val="clear" w:color="auto" w:fill="E6F2FF"/>
            <w:vAlign w:val="bottom"/>
          </w:tcPr>
          <w:p w14:paraId="324BB562" w14:textId="77777777" w:rsidR="00BB2CB4" w:rsidRPr="00222C32" w:rsidRDefault="000674DA">
            <w:pPr>
              <w:pStyle w:val="Summarytabletextrightaligned"/>
            </w:pPr>
            <w:r w:rsidRPr="00222C32">
              <w:t>13.3</w:t>
            </w:r>
          </w:p>
        </w:tc>
        <w:tc>
          <w:tcPr>
            <w:tcW w:w="850" w:type="dxa"/>
            <w:vAlign w:val="bottom"/>
          </w:tcPr>
          <w:p w14:paraId="1D7A475F" w14:textId="77777777" w:rsidR="00BB2CB4" w:rsidRPr="00222C32" w:rsidRDefault="000674DA">
            <w:pPr>
              <w:pStyle w:val="Summarytabletextrightaligned"/>
            </w:pPr>
            <w:r w:rsidRPr="00222C32">
              <w:t>8.7</w:t>
            </w:r>
          </w:p>
        </w:tc>
        <w:tc>
          <w:tcPr>
            <w:tcW w:w="850" w:type="dxa"/>
            <w:vAlign w:val="bottom"/>
          </w:tcPr>
          <w:p w14:paraId="7710C806" w14:textId="77777777" w:rsidR="00BB2CB4" w:rsidRPr="00222C32" w:rsidRDefault="000674DA">
            <w:pPr>
              <w:pStyle w:val="Summarytabletextrightaligned"/>
            </w:pPr>
            <w:r w:rsidRPr="00222C32">
              <w:t>-</w:t>
            </w:r>
          </w:p>
        </w:tc>
        <w:tc>
          <w:tcPr>
            <w:tcW w:w="850" w:type="dxa"/>
            <w:vAlign w:val="bottom"/>
          </w:tcPr>
          <w:p w14:paraId="59D67714" w14:textId="77777777" w:rsidR="00BB2CB4" w:rsidRPr="00222C32" w:rsidRDefault="000674DA">
            <w:pPr>
              <w:pStyle w:val="Summarytabletextrightaligned"/>
            </w:pPr>
            <w:r w:rsidRPr="00222C32">
              <w:t>-</w:t>
            </w:r>
          </w:p>
        </w:tc>
      </w:tr>
      <w:tr w:rsidR="00BB2CB4" w:rsidRPr="00222C32" w14:paraId="41F4AC4D" w14:textId="77777777" w:rsidTr="00825163">
        <w:tc>
          <w:tcPr>
            <w:tcW w:w="3471" w:type="dxa"/>
            <w:vAlign w:val="bottom"/>
          </w:tcPr>
          <w:p w14:paraId="73FC0DD2" w14:textId="77777777" w:rsidR="00BB2CB4" w:rsidRPr="00222C32" w:rsidRDefault="000674DA">
            <w:pPr>
              <w:pStyle w:val="SummaryMeasureTitlewithTheme"/>
            </w:pPr>
            <w:r w:rsidRPr="00222C32">
              <w:t>Funding for Sikh Grammar School – early education and care service</w:t>
            </w:r>
          </w:p>
        </w:tc>
        <w:tc>
          <w:tcPr>
            <w:tcW w:w="850" w:type="dxa"/>
            <w:vAlign w:val="bottom"/>
          </w:tcPr>
          <w:p w14:paraId="27AB2475" w14:textId="77777777" w:rsidR="00BB2CB4" w:rsidRPr="00222C32" w:rsidRDefault="000674DA">
            <w:pPr>
              <w:pStyle w:val="Summarytabletextrightaligned"/>
            </w:pPr>
            <w:r w:rsidRPr="00222C32">
              <w:t>-</w:t>
            </w:r>
          </w:p>
        </w:tc>
        <w:tc>
          <w:tcPr>
            <w:tcW w:w="850" w:type="dxa"/>
            <w:shd w:val="clear" w:color="auto" w:fill="E6F2FF"/>
            <w:vAlign w:val="bottom"/>
          </w:tcPr>
          <w:p w14:paraId="6BA25705" w14:textId="77777777" w:rsidR="00BB2CB4" w:rsidRPr="00222C32" w:rsidRDefault="000674DA">
            <w:pPr>
              <w:pStyle w:val="Summarytabletextrightaligned"/>
            </w:pPr>
            <w:r w:rsidRPr="00222C32">
              <w:t>3.9</w:t>
            </w:r>
          </w:p>
        </w:tc>
        <w:tc>
          <w:tcPr>
            <w:tcW w:w="850" w:type="dxa"/>
            <w:vAlign w:val="bottom"/>
          </w:tcPr>
          <w:p w14:paraId="4DF155B3" w14:textId="77777777" w:rsidR="00BB2CB4" w:rsidRPr="00222C32" w:rsidRDefault="000674DA">
            <w:pPr>
              <w:pStyle w:val="Summarytabletextrightaligned"/>
            </w:pPr>
            <w:r w:rsidRPr="00222C32">
              <w:t>1.4</w:t>
            </w:r>
          </w:p>
        </w:tc>
        <w:tc>
          <w:tcPr>
            <w:tcW w:w="850" w:type="dxa"/>
            <w:vAlign w:val="bottom"/>
          </w:tcPr>
          <w:p w14:paraId="3E7189AC" w14:textId="77777777" w:rsidR="00BB2CB4" w:rsidRPr="00222C32" w:rsidRDefault="000674DA">
            <w:pPr>
              <w:pStyle w:val="Summarytabletextrightaligned"/>
            </w:pPr>
            <w:r w:rsidRPr="00222C32">
              <w:t>-</w:t>
            </w:r>
          </w:p>
        </w:tc>
        <w:tc>
          <w:tcPr>
            <w:tcW w:w="850" w:type="dxa"/>
            <w:vAlign w:val="bottom"/>
          </w:tcPr>
          <w:p w14:paraId="24BB5691" w14:textId="77777777" w:rsidR="00BB2CB4" w:rsidRPr="00222C32" w:rsidRDefault="000674DA">
            <w:pPr>
              <w:pStyle w:val="Summarytabletextrightaligned"/>
            </w:pPr>
            <w:r w:rsidRPr="00222C32">
              <w:t>-</w:t>
            </w:r>
          </w:p>
        </w:tc>
      </w:tr>
      <w:tr w:rsidR="00BB2CB4" w:rsidRPr="00222C32" w14:paraId="2CC1AF74" w14:textId="77777777" w:rsidTr="00825163">
        <w:tc>
          <w:tcPr>
            <w:tcW w:w="3471" w:type="dxa"/>
            <w:vAlign w:val="bottom"/>
          </w:tcPr>
          <w:p w14:paraId="6282E594" w14:textId="77777777" w:rsidR="00BB2CB4" w:rsidRPr="00222C32" w:rsidRDefault="000674DA">
            <w:pPr>
              <w:pStyle w:val="SummaryMeasureTitlewithTheme"/>
            </w:pPr>
            <w:r w:rsidRPr="00222C32">
              <w:t>Further Commitments Under the National Cultural Policy – Revive</w:t>
            </w:r>
          </w:p>
        </w:tc>
        <w:tc>
          <w:tcPr>
            <w:tcW w:w="850" w:type="dxa"/>
            <w:vAlign w:val="bottom"/>
          </w:tcPr>
          <w:p w14:paraId="52AE5647" w14:textId="77777777" w:rsidR="00BB2CB4" w:rsidRPr="00222C32" w:rsidRDefault="000674DA">
            <w:pPr>
              <w:pStyle w:val="Summarytabletextrightaligned"/>
            </w:pPr>
            <w:r w:rsidRPr="00222C32">
              <w:t>-</w:t>
            </w:r>
          </w:p>
        </w:tc>
        <w:tc>
          <w:tcPr>
            <w:tcW w:w="850" w:type="dxa"/>
            <w:shd w:val="clear" w:color="auto" w:fill="E6F2FF"/>
            <w:vAlign w:val="bottom"/>
          </w:tcPr>
          <w:p w14:paraId="0530B0C5" w14:textId="77777777" w:rsidR="00BB2CB4" w:rsidRPr="00222C32" w:rsidRDefault="000674DA">
            <w:pPr>
              <w:pStyle w:val="Summarytabletextrightaligned"/>
            </w:pPr>
            <w:r w:rsidRPr="00222C32">
              <w:t>30.0</w:t>
            </w:r>
          </w:p>
        </w:tc>
        <w:tc>
          <w:tcPr>
            <w:tcW w:w="850" w:type="dxa"/>
            <w:vAlign w:val="bottom"/>
          </w:tcPr>
          <w:p w14:paraId="37FA3A47" w14:textId="77777777" w:rsidR="00BB2CB4" w:rsidRPr="00222C32" w:rsidRDefault="000674DA">
            <w:pPr>
              <w:pStyle w:val="Summarytabletextrightaligned"/>
            </w:pPr>
            <w:r w:rsidRPr="00222C32">
              <w:t>25.0</w:t>
            </w:r>
          </w:p>
        </w:tc>
        <w:tc>
          <w:tcPr>
            <w:tcW w:w="850" w:type="dxa"/>
            <w:vAlign w:val="bottom"/>
          </w:tcPr>
          <w:p w14:paraId="159A7EED" w14:textId="77777777" w:rsidR="00BB2CB4" w:rsidRPr="00222C32" w:rsidRDefault="000674DA">
            <w:pPr>
              <w:pStyle w:val="Summarytabletextrightaligned"/>
            </w:pPr>
            <w:r w:rsidRPr="00222C32">
              <w:t>25.0</w:t>
            </w:r>
          </w:p>
        </w:tc>
        <w:tc>
          <w:tcPr>
            <w:tcW w:w="850" w:type="dxa"/>
            <w:vAlign w:val="bottom"/>
          </w:tcPr>
          <w:p w14:paraId="6304085C" w14:textId="77777777" w:rsidR="00BB2CB4" w:rsidRPr="00222C32" w:rsidRDefault="000674DA">
            <w:pPr>
              <w:pStyle w:val="Summarytabletextrightaligned"/>
            </w:pPr>
            <w:r w:rsidRPr="00222C32">
              <w:t>15.0</w:t>
            </w:r>
          </w:p>
        </w:tc>
      </w:tr>
      <w:tr w:rsidR="00BB2CB4" w:rsidRPr="00222C32" w14:paraId="3ADD88C3" w14:textId="77777777" w:rsidTr="00825163">
        <w:tc>
          <w:tcPr>
            <w:tcW w:w="3471" w:type="dxa"/>
            <w:vAlign w:val="bottom"/>
          </w:tcPr>
          <w:p w14:paraId="1D74BC8D" w14:textId="77777777" w:rsidR="00BB2CB4" w:rsidRPr="00222C32" w:rsidRDefault="000674DA">
            <w:pPr>
              <w:pStyle w:val="SummaryMeasureTitlewithTheme"/>
            </w:pPr>
            <w:r w:rsidRPr="00222C32">
              <w:t>Guaranteeing Universal Access to Preschool</w:t>
            </w:r>
          </w:p>
        </w:tc>
        <w:tc>
          <w:tcPr>
            <w:tcW w:w="850" w:type="dxa"/>
            <w:vAlign w:val="bottom"/>
          </w:tcPr>
          <w:p w14:paraId="227224AC" w14:textId="77777777" w:rsidR="00BB2CB4" w:rsidRPr="00222C32" w:rsidRDefault="000674DA">
            <w:pPr>
              <w:pStyle w:val="Summarytabletextrightaligned"/>
            </w:pPr>
            <w:r w:rsidRPr="00222C32">
              <w:t>-</w:t>
            </w:r>
          </w:p>
        </w:tc>
        <w:tc>
          <w:tcPr>
            <w:tcW w:w="850" w:type="dxa"/>
            <w:shd w:val="clear" w:color="auto" w:fill="E6F2FF"/>
            <w:vAlign w:val="bottom"/>
          </w:tcPr>
          <w:p w14:paraId="0FF59DD9" w14:textId="77777777" w:rsidR="00BB2CB4" w:rsidRPr="00222C32" w:rsidRDefault="000674DA">
            <w:pPr>
              <w:pStyle w:val="Summarytabletextrightaligned"/>
            </w:pPr>
            <w:r w:rsidRPr="00222C32">
              <w:t>6.3</w:t>
            </w:r>
          </w:p>
        </w:tc>
        <w:tc>
          <w:tcPr>
            <w:tcW w:w="850" w:type="dxa"/>
            <w:vAlign w:val="bottom"/>
          </w:tcPr>
          <w:p w14:paraId="5CB54C9F" w14:textId="77777777" w:rsidR="00BB2CB4" w:rsidRPr="00222C32" w:rsidRDefault="000674DA">
            <w:pPr>
              <w:pStyle w:val="Summarytabletextrightaligned"/>
            </w:pPr>
            <w:r w:rsidRPr="00222C32">
              <w:t>5.6</w:t>
            </w:r>
          </w:p>
        </w:tc>
        <w:tc>
          <w:tcPr>
            <w:tcW w:w="850" w:type="dxa"/>
            <w:vAlign w:val="bottom"/>
          </w:tcPr>
          <w:p w14:paraId="324951D8" w14:textId="77777777" w:rsidR="00BB2CB4" w:rsidRPr="00222C32" w:rsidRDefault="000674DA">
            <w:pPr>
              <w:pStyle w:val="Summarytabletextrightaligned"/>
            </w:pPr>
            <w:r w:rsidRPr="00222C32">
              <w:t>-</w:t>
            </w:r>
          </w:p>
        </w:tc>
        <w:tc>
          <w:tcPr>
            <w:tcW w:w="850" w:type="dxa"/>
            <w:vAlign w:val="bottom"/>
          </w:tcPr>
          <w:p w14:paraId="41D59C64" w14:textId="77777777" w:rsidR="00BB2CB4" w:rsidRPr="00222C32" w:rsidRDefault="000674DA">
            <w:pPr>
              <w:pStyle w:val="Summarytabletextrightaligned"/>
            </w:pPr>
            <w:r w:rsidRPr="00222C32">
              <w:t>-</w:t>
            </w:r>
          </w:p>
        </w:tc>
      </w:tr>
      <w:tr w:rsidR="00BB2CB4" w:rsidRPr="00222C32" w14:paraId="3D73DAEE" w14:textId="77777777" w:rsidTr="00825163">
        <w:tc>
          <w:tcPr>
            <w:tcW w:w="3471" w:type="dxa"/>
            <w:vAlign w:val="bottom"/>
          </w:tcPr>
          <w:p w14:paraId="5FD471E9" w14:textId="77777777" w:rsidR="00BB2CB4" w:rsidRPr="00222C32" w:rsidRDefault="000674DA">
            <w:pPr>
              <w:pStyle w:val="SummaryMeasureTitlewithTheme"/>
            </w:pPr>
            <w:r w:rsidRPr="00222C32">
              <w:t>Health Research, Systems and Data</w:t>
            </w:r>
          </w:p>
        </w:tc>
        <w:tc>
          <w:tcPr>
            <w:tcW w:w="850" w:type="dxa"/>
            <w:vAlign w:val="bottom"/>
          </w:tcPr>
          <w:p w14:paraId="7422E603" w14:textId="77777777" w:rsidR="00BB2CB4" w:rsidRPr="00222C32" w:rsidRDefault="000674DA">
            <w:pPr>
              <w:pStyle w:val="Summarytabletextrightaligned"/>
            </w:pPr>
            <w:r w:rsidRPr="00222C32">
              <w:t>-</w:t>
            </w:r>
          </w:p>
        </w:tc>
        <w:tc>
          <w:tcPr>
            <w:tcW w:w="850" w:type="dxa"/>
            <w:shd w:val="clear" w:color="auto" w:fill="E6F2FF"/>
            <w:vAlign w:val="bottom"/>
          </w:tcPr>
          <w:p w14:paraId="79DEF048" w14:textId="77777777" w:rsidR="00BB2CB4" w:rsidRPr="00222C32" w:rsidRDefault="000674DA">
            <w:pPr>
              <w:pStyle w:val="Summarytabletextrightaligned"/>
            </w:pPr>
            <w:r w:rsidRPr="00222C32">
              <w:t>0.4</w:t>
            </w:r>
          </w:p>
        </w:tc>
        <w:tc>
          <w:tcPr>
            <w:tcW w:w="850" w:type="dxa"/>
            <w:vAlign w:val="bottom"/>
          </w:tcPr>
          <w:p w14:paraId="78B4E946" w14:textId="77777777" w:rsidR="00BB2CB4" w:rsidRPr="00222C32" w:rsidRDefault="000674DA">
            <w:pPr>
              <w:pStyle w:val="Summarytabletextrightaligned"/>
            </w:pPr>
            <w:r w:rsidRPr="00222C32">
              <w:t>0.5</w:t>
            </w:r>
          </w:p>
        </w:tc>
        <w:tc>
          <w:tcPr>
            <w:tcW w:w="850" w:type="dxa"/>
            <w:vAlign w:val="bottom"/>
          </w:tcPr>
          <w:p w14:paraId="4F660AA8" w14:textId="77777777" w:rsidR="00BB2CB4" w:rsidRPr="00222C32" w:rsidRDefault="000674DA">
            <w:pPr>
              <w:pStyle w:val="Summarytabletextrightaligned"/>
            </w:pPr>
            <w:r w:rsidRPr="00222C32">
              <w:t>0.5</w:t>
            </w:r>
          </w:p>
        </w:tc>
        <w:tc>
          <w:tcPr>
            <w:tcW w:w="850" w:type="dxa"/>
            <w:vAlign w:val="bottom"/>
          </w:tcPr>
          <w:p w14:paraId="18B39BFC" w14:textId="77777777" w:rsidR="00BB2CB4" w:rsidRPr="00222C32" w:rsidRDefault="000674DA">
            <w:pPr>
              <w:pStyle w:val="Summarytabletextrightaligned"/>
            </w:pPr>
            <w:r w:rsidRPr="00222C32">
              <w:t>0.5</w:t>
            </w:r>
          </w:p>
        </w:tc>
      </w:tr>
      <w:tr w:rsidR="00BB2CB4" w:rsidRPr="00222C32" w14:paraId="65A39B50" w14:textId="77777777" w:rsidTr="00825163">
        <w:tc>
          <w:tcPr>
            <w:tcW w:w="3471" w:type="dxa"/>
            <w:vAlign w:val="bottom"/>
          </w:tcPr>
          <w:p w14:paraId="20A2A1C6" w14:textId="77777777" w:rsidR="00BB2CB4" w:rsidRPr="00222C32" w:rsidRDefault="000674DA">
            <w:pPr>
              <w:pStyle w:val="SummaryMeasureTitlewithTheme"/>
            </w:pPr>
            <w:r w:rsidRPr="00222C32">
              <w:t>Housing Australia Future Fund Round 3(b)</w:t>
            </w:r>
          </w:p>
        </w:tc>
        <w:tc>
          <w:tcPr>
            <w:tcW w:w="850" w:type="dxa"/>
            <w:vAlign w:val="bottom"/>
          </w:tcPr>
          <w:p w14:paraId="1A24DD15" w14:textId="77777777" w:rsidR="00BB2CB4" w:rsidRPr="00222C32" w:rsidRDefault="000674DA">
            <w:pPr>
              <w:pStyle w:val="Summarytabletextrightaligned"/>
            </w:pPr>
            <w:r w:rsidRPr="00222C32">
              <w:t>-</w:t>
            </w:r>
          </w:p>
        </w:tc>
        <w:tc>
          <w:tcPr>
            <w:tcW w:w="850" w:type="dxa"/>
            <w:shd w:val="clear" w:color="auto" w:fill="E6F2FF"/>
            <w:vAlign w:val="bottom"/>
          </w:tcPr>
          <w:p w14:paraId="1342324B" w14:textId="77777777" w:rsidR="00BB2CB4" w:rsidRPr="00222C32" w:rsidRDefault="000674DA">
            <w:pPr>
              <w:pStyle w:val="Summarytabletextrightaligned"/>
            </w:pPr>
            <w:r w:rsidRPr="00222C32">
              <w:t>-</w:t>
            </w:r>
          </w:p>
        </w:tc>
        <w:tc>
          <w:tcPr>
            <w:tcW w:w="850" w:type="dxa"/>
            <w:vAlign w:val="bottom"/>
          </w:tcPr>
          <w:p w14:paraId="6D901B8B" w14:textId="77777777" w:rsidR="00BB2CB4" w:rsidRPr="00222C32" w:rsidRDefault="000674DA">
            <w:pPr>
              <w:pStyle w:val="Summarytabletextrightaligned"/>
            </w:pPr>
            <w:r w:rsidRPr="00222C32">
              <w:t>3.0</w:t>
            </w:r>
          </w:p>
        </w:tc>
        <w:tc>
          <w:tcPr>
            <w:tcW w:w="850" w:type="dxa"/>
            <w:vAlign w:val="bottom"/>
          </w:tcPr>
          <w:p w14:paraId="4C7D9B75" w14:textId="77777777" w:rsidR="00BB2CB4" w:rsidRPr="00222C32" w:rsidRDefault="000674DA">
            <w:pPr>
              <w:pStyle w:val="Summarytabletextrightaligned"/>
            </w:pPr>
            <w:r w:rsidRPr="00222C32">
              <w:t>3.0</w:t>
            </w:r>
          </w:p>
        </w:tc>
        <w:tc>
          <w:tcPr>
            <w:tcW w:w="850" w:type="dxa"/>
            <w:vAlign w:val="bottom"/>
          </w:tcPr>
          <w:p w14:paraId="09C1AA01" w14:textId="77777777" w:rsidR="00BB2CB4" w:rsidRPr="00222C32" w:rsidRDefault="000674DA">
            <w:pPr>
              <w:pStyle w:val="Summarytabletextrightaligned"/>
            </w:pPr>
            <w:r w:rsidRPr="00222C32">
              <w:t>-</w:t>
            </w:r>
          </w:p>
        </w:tc>
      </w:tr>
      <w:tr w:rsidR="00BB2CB4" w:rsidRPr="00222C32" w14:paraId="7A859494" w14:textId="77777777" w:rsidTr="00825163">
        <w:tc>
          <w:tcPr>
            <w:tcW w:w="3471" w:type="dxa"/>
            <w:vAlign w:val="bottom"/>
          </w:tcPr>
          <w:p w14:paraId="508A39AF" w14:textId="77777777" w:rsidR="00BB2CB4" w:rsidRPr="00222C32" w:rsidRDefault="000674DA">
            <w:pPr>
              <w:pStyle w:val="SummaryMeasureTitlewithTheme"/>
            </w:pPr>
            <w:r w:rsidRPr="00222C32">
              <w:t>Indirect Tax Concession Scheme – diplomatic and consular concessions(b)</w:t>
            </w:r>
          </w:p>
        </w:tc>
        <w:tc>
          <w:tcPr>
            <w:tcW w:w="850" w:type="dxa"/>
            <w:vAlign w:val="bottom"/>
          </w:tcPr>
          <w:p w14:paraId="61D3BE72" w14:textId="0EEB7275" w:rsidR="00BB2CB4" w:rsidRPr="00222C32" w:rsidRDefault="00F80D56">
            <w:pPr>
              <w:pStyle w:val="Summarytabletextrightaligned"/>
            </w:pPr>
            <w:r>
              <w:t>..</w:t>
            </w:r>
          </w:p>
        </w:tc>
        <w:tc>
          <w:tcPr>
            <w:tcW w:w="850" w:type="dxa"/>
            <w:shd w:val="clear" w:color="auto" w:fill="E6F2FF"/>
            <w:vAlign w:val="bottom"/>
          </w:tcPr>
          <w:p w14:paraId="133E0D62" w14:textId="77777777" w:rsidR="00BB2CB4" w:rsidRPr="00222C32" w:rsidRDefault="000674DA">
            <w:pPr>
              <w:pStyle w:val="Summarytabletextrightaligned"/>
            </w:pPr>
            <w:r w:rsidRPr="00222C32">
              <w:t>..</w:t>
            </w:r>
          </w:p>
        </w:tc>
        <w:tc>
          <w:tcPr>
            <w:tcW w:w="850" w:type="dxa"/>
            <w:vAlign w:val="bottom"/>
          </w:tcPr>
          <w:p w14:paraId="4E9426A4" w14:textId="77777777" w:rsidR="00BB2CB4" w:rsidRPr="00222C32" w:rsidRDefault="000674DA">
            <w:pPr>
              <w:pStyle w:val="Summarytabletextrightaligned"/>
            </w:pPr>
            <w:r w:rsidRPr="00222C32">
              <w:t>..</w:t>
            </w:r>
          </w:p>
        </w:tc>
        <w:tc>
          <w:tcPr>
            <w:tcW w:w="850" w:type="dxa"/>
            <w:vAlign w:val="bottom"/>
          </w:tcPr>
          <w:p w14:paraId="249B4AB4" w14:textId="77777777" w:rsidR="00BB2CB4" w:rsidRPr="00222C32" w:rsidRDefault="000674DA">
            <w:pPr>
              <w:pStyle w:val="Summarytabletextrightaligned"/>
            </w:pPr>
            <w:r w:rsidRPr="00222C32">
              <w:t>..</w:t>
            </w:r>
          </w:p>
        </w:tc>
        <w:tc>
          <w:tcPr>
            <w:tcW w:w="850" w:type="dxa"/>
            <w:vAlign w:val="bottom"/>
          </w:tcPr>
          <w:p w14:paraId="748DAF28" w14:textId="77777777" w:rsidR="00BB2CB4" w:rsidRPr="00222C32" w:rsidRDefault="000674DA">
            <w:pPr>
              <w:pStyle w:val="Summarytabletextrightaligned"/>
            </w:pPr>
            <w:r w:rsidRPr="00222C32">
              <w:t>..</w:t>
            </w:r>
          </w:p>
        </w:tc>
      </w:tr>
      <w:tr w:rsidR="00BB2CB4" w:rsidRPr="00222C32" w14:paraId="78E0656D" w14:textId="77777777" w:rsidTr="00825163">
        <w:tc>
          <w:tcPr>
            <w:tcW w:w="3471" w:type="dxa"/>
            <w:vAlign w:val="bottom"/>
          </w:tcPr>
          <w:p w14:paraId="71A1E620" w14:textId="77777777" w:rsidR="00BB2CB4" w:rsidRPr="00222C32" w:rsidRDefault="000674DA">
            <w:pPr>
              <w:pStyle w:val="SummaryMeasureTitlewithTheme"/>
            </w:pPr>
            <w:r w:rsidRPr="00222C32">
              <w:t>Investment in Sport</w:t>
            </w:r>
          </w:p>
        </w:tc>
        <w:tc>
          <w:tcPr>
            <w:tcW w:w="850" w:type="dxa"/>
            <w:vAlign w:val="bottom"/>
          </w:tcPr>
          <w:p w14:paraId="6B065D46" w14:textId="77777777" w:rsidR="00BB2CB4" w:rsidRPr="00222C32" w:rsidRDefault="000674DA">
            <w:pPr>
              <w:pStyle w:val="Summarytabletextrightaligned"/>
            </w:pPr>
            <w:r w:rsidRPr="00222C32">
              <w:t>-</w:t>
            </w:r>
          </w:p>
        </w:tc>
        <w:tc>
          <w:tcPr>
            <w:tcW w:w="850" w:type="dxa"/>
            <w:shd w:val="clear" w:color="auto" w:fill="E6F2FF"/>
            <w:vAlign w:val="bottom"/>
          </w:tcPr>
          <w:p w14:paraId="6E3525D0" w14:textId="77777777" w:rsidR="00BB2CB4" w:rsidRPr="00222C32" w:rsidRDefault="000674DA">
            <w:pPr>
              <w:pStyle w:val="Summarytabletextrightaligned"/>
            </w:pPr>
            <w:r w:rsidRPr="00222C32">
              <w:t>5.1</w:t>
            </w:r>
          </w:p>
        </w:tc>
        <w:tc>
          <w:tcPr>
            <w:tcW w:w="850" w:type="dxa"/>
            <w:vAlign w:val="bottom"/>
          </w:tcPr>
          <w:p w14:paraId="07F87F3F" w14:textId="77777777" w:rsidR="00BB2CB4" w:rsidRPr="00222C32" w:rsidRDefault="000674DA">
            <w:pPr>
              <w:pStyle w:val="Summarytabletextrightaligned"/>
            </w:pPr>
            <w:r w:rsidRPr="00222C32">
              <w:t>10.1</w:t>
            </w:r>
          </w:p>
        </w:tc>
        <w:tc>
          <w:tcPr>
            <w:tcW w:w="850" w:type="dxa"/>
            <w:vAlign w:val="bottom"/>
          </w:tcPr>
          <w:p w14:paraId="63364FE7" w14:textId="77777777" w:rsidR="00BB2CB4" w:rsidRPr="00222C32" w:rsidRDefault="000674DA">
            <w:pPr>
              <w:pStyle w:val="Summarytabletextrightaligned"/>
            </w:pPr>
            <w:r w:rsidRPr="00222C32">
              <w:t>0.1</w:t>
            </w:r>
          </w:p>
        </w:tc>
        <w:tc>
          <w:tcPr>
            <w:tcW w:w="850" w:type="dxa"/>
            <w:vAlign w:val="bottom"/>
          </w:tcPr>
          <w:p w14:paraId="35A43DB7" w14:textId="77777777" w:rsidR="00BB2CB4" w:rsidRPr="00222C32" w:rsidRDefault="000674DA">
            <w:pPr>
              <w:pStyle w:val="Summarytabletextrightaligned"/>
            </w:pPr>
            <w:r w:rsidRPr="00222C32">
              <w:t>0.1</w:t>
            </w:r>
          </w:p>
        </w:tc>
      </w:tr>
      <w:tr w:rsidR="00BB2CB4" w:rsidRPr="00222C32" w14:paraId="1CB162FD" w14:textId="77777777" w:rsidTr="00825163">
        <w:tc>
          <w:tcPr>
            <w:tcW w:w="3471" w:type="dxa"/>
            <w:tcBorders>
              <w:bottom w:val="nil"/>
            </w:tcBorders>
            <w:vAlign w:val="bottom"/>
          </w:tcPr>
          <w:p w14:paraId="539FFF88" w14:textId="77777777" w:rsidR="00BB2CB4" w:rsidRPr="00222C32" w:rsidRDefault="000674DA">
            <w:pPr>
              <w:pStyle w:val="SummaryMeasureTitlewithTheme"/>
            </w:pPr>
            <w:r w:rsidRPr="00222C32">
              <w:t>Local Environment Projects</w:t>
            </w:r>
          </w:p>
        </w:tc>
        <w:tc>
          <w:tcPr>
            <w:tcW w:w="850" w:type="dxa"/>
            <w:tcBorders>
              <w:bottom w:val="nil"/>
            </w:tcBorders>
            <w:vAlign w:val="bottom"/>
          </w:tcPr>
          <w:p w14:paraId="3C1AE4D7" w14:textId="77777777" w:rsidR="00BB2CB4" w:rsidRPr="00222C32" w:rsidRDefault="000674DA">
            <w:pPr>
              <w:pStyle w:val="Summarytabletextrightaligned"/>
            </w:pPr>
            <w:r w:rsidRPr="00222C32">
              <w:t>-</w:t>
            </w:r>
          </w:p>
        </w:tc>
        <w:tc>
          <w:tcPr>
            <w:tcW w:w="850" w:type="dxa"/>
            <w:tcBorders>
              <w:bottom w:val="nil"/>
            </w:tcBorders>
            <w:shd w:val="clear" w:color="auto" w:fill="E6F2FF"/>
            <w:vAlign w:val="bottom"/>
          </w:tcPr>
          <w:p w14:paraId="6EC9DD2D" w14:textId="77777777" w:rsidR="00BB2CB4" w:rsidRPr="00222C32" w:rsidRDefault="000674DA">
            <w:pPr>
              <w:pStyle w:val="Summarytabletextrightaligned"/>
            </w:pPr>
            <w:r w:rsidRPr="00222C32">
              <w:t>12.5</w:t>
            </w:r>
          </w:p>
        </w:tc>
        <w:tc>
          <w:tcPr>
            <w:tcW w:w="850" w:type="dxa"/>
            <w:tcBorders>
              <w:bottom w:val="nil"/>
            </w:tcBorders>
            <w:vAlign w:val="bottom"/>
          </w:tcPr>
          <w:p w14:paraId="5136F5B7" w14:textId="77777777" w:rsidR="00BB2CB4" w:rsidRPr="00222C32" w:rsidRDefault="000674DA">
            <w:pPr>
              <w:pStyle w:val="Summarytabletextrightaligned"/>
            </w:pPr>
            <w:r w:rsidRPr="00222C32">
              <w:t>4.5</w:t>
            </w:r>
          </w:p>
        </w:tc>
        <w:tc>
          <w:tcPr>
            <w:tcW w:w="850" w:type="dxa"/>
            <w:tcBorders>
              <w:bottom w:val="nil"/>
            </w:tcBorders>
            <w:vAlign w:val="bottom"/>
          </w:tcPr>
          <w:p w14:paraId="447D5CC0" w14:textId="77777777" w:rsidR="00BB2CB4" w:rsidRPr="00222C32" w:rsidRDefault="000674DA">
            <w:pPr>
              <w:pStyle w:val="Summarytabletextrightaligned"/>
            </w:pPr>
            <w:r w:rsidRPr="00222C32">
              <w:t>1.2</w:t>
            </w:r>
          </w:p>
        </w:tc>
        <w:tc>
          <w:tcPr>
            <w:tcW w:w="850" w:type="dxa"/>
            <w:tcBorders>
              <w:bottom w:val="nil"/>
            </w:tcBorders>
            <w:vAlign w:val="bottom"/>
          </w:tcPr>
          <w:p w14:paraId="185C017A" w14:textId="77777777" w:rsidR="00BB2CB4" w:rsidRPr="00222C32" w:rsidRDefault="000674DA">
            <w:pPr>
              <w:pStyle w:val="Summarytabletextrightaligned"/>
            </w:pPr>
            <w:r w:rsidRPr="00222C32">
              <w:t>-</w:t>
            </w:r>
          </w:p>
        </w:tc>
      </w:tr>
      <w:tr w:rsidR="00BB2CB4" w:rsidRPr="00222C32" w14:paraId="4F7DB193" w14:textId="77777777" w:rsidTr="00825163">
        <w:tc>
          <w:tcPr>
            <w:tcW w:w="3471" w:type="dxa"/>
            <w:tcBorders>
              <w:top w:val="nil"/>
              <w:bottom w:val="single" w:sz="4" w:space="0" w:color="293F5B"/>
            </w:tcBorders>
            <w:vAlign w:val="bottom"/>
          </w:tcPr>
          <w:p w14:paraId="5C2F4A31" w14:textId="77777777" w:rsidR="00BB2CB4" w:rsidRPr="00222C32" w:rsidRDefault="000674DA">
            <w:pPr>
              <w:pStyle w:val="SummaryMeasureTitlewithTheme"/>
            </w:pPr>
            <w:r w:rsidRPr="00222C32">
              <w:t>Major and Local Community Infrastructure</w:t>
            </w:r>
          </w:p>
        </w:tc>
        <w:tc>
          <w:tcPr>
            <w:tcW w:w="850" w:type="dxa"/>
            <w:tcBorders>
              <w:top w:val="nil"/>
              <w:bottom w:val="single" w:sz="4" w:space="0" w:color="293F5B"/>
            </w:tcBorders>
            <w:vAlign w:val="bottom"/>
          </w:tcPr>
          <w:p w14:paraId="1D3E222E" w14:textId="77777777" w:rsidR="00BB2CB4" w:rsidRPr="00222C32" w:rsidRDefault="000674DA">
            <w:pPr>
              <w:pStyle w:val="Summarytabletextrightaligned"/>
            </w:pPr>
            <w:r w:rsidRPr="00222C32">
              <w:t>-</w:t>
            </w:r>
          </w:p>
        </w:tc>
        <w:tc>
          <w:tcPr>
            <w:tcW w:w="850" w:type="dxa"/>
            <w:tcBorders>
              <w:top w:val="nil"/>
              <w:bottom w:val="single" w:sz="4" w:space="0" w:color="293F5B"/>
            </w:tcBorders>
            <w:shd w:val="clear" w:color="auto" w:fill="E6F2FF"/>
            <w:vAlign w:val="bottom"/>
          </w:tcPr>
          <w:p w14:paraId="73B1F328" w14:textId="77777777" w:rsidR="00BB2CB4" w:rsidRPr="00222C32" w:rsidRDefault="000674DA">
            <w:pPr>
              <w:pStyle w:val="Summarytabletextrightaligned"/>
            </w:pPr>
            <w:r w:rsidRPr="00222C32">
              <w:t>39.0</w:t>
            </w:r>
          </w:p>
        </w:tc>
        <w:tc>
          <w:tcPr>
            <w:tcW w:w="850" w:type="dxa"/>
            <w:tcBorders>
              <w:top w:val="nil"/>
              <w:bottom w:val="single" w:sz="4" w:space="0" w:color="293F5B"/>
            </w:tcBorders>
            <w:vAlign w:val="bottom"/>
          </w:tcPr>
          <w:p w14:paraId="0CCA4B6E" w14:textId="77777777" w:rsidR="00BB2CB4" w:rsidRPr="00222C32" w:rsidRDefault="000674DA">
            <w:pPr>
              <w:pStyle w:val="Summarytabletextrightaligned"/>
            </w:pPr>
            <w:r w:rsidRPr="00222C32">
              <w:t>30.0</w:t>
            </w:r>
          </w:p>
        </w:tc>
        <w:tc>
          <w:tcPr>
            <w:tcW w:w="850" w:type="dxa"/>
            <w:tcBorders>
              <w:top w:val="nil"/>
              <w:bottom w:val="single" w:sz="4" w:space="0" w:color="293F5B"/>
            </w:tcBorders>
            <w:vAlign w:val="bottom"/>
          </w:tcPr>
          <w:p w14:paraId="47BC8537" w14:textId="77777777" w:rsidR="00BB2CB4" w:rsidRPr="00222C32" w:rsidRDefault="000674DA">
            <w:pPr>
              <w:pStyle w:val="Summarytabletextrightaligned"/>
            </w:pPr>
            <w:r w:rsidRPr="00222C32">
              <w:t>21.5</w:t>
            </w:r>
          </w:p>
        </w:tc>
        <w:tc>
          <w:tcPr>
            <w:tcW w:w="850" w:type="dxa"/>
            <w:tcBorders>
              <w:top w:val="nil"/>
              <w:bottom w:val="single" w:sz="4" w:space="0" w:color="293F5B"/>
            </w:tcBorders>
            <w:vAlign w:val="bottom"/>
          </w:tcPr>
          <w:p w14:paraId="264F690C" w14:textId="77777777" w:rsidR="00BB2CB4" w:rsidRPr="00222C32" w:rsidRDefault="000674DA">
            <w:pPr>
              <w:pStyle w:val="Summarytabletextrightaligned"/>
            </w:pPr>
            <w:r w:rsidRPr="00222C32">
              <w:t>-</w:t>
            </w:r>
          </w:p>
        </w:tc>
      </w:tr>
    </w:tbl>
    <w:p w14:paraId="2412216E" w14:textId="77777777" w:rsidR="000D63FB" w:rsidRDefault="000D63FB" w:rsidP="000D63FB">
      <w:pPr>
        <w:sectPr w:rsidR="000D63FB" w:rsidSect="00301ACF">
          <w:pgSz w:w="11906" w:h="16838" w:code="9"/>
          <w:pgMar w:top="2835" w:right="2098" w:bottom="2466" w:left="2098" w:header="1814" w:footer="1814" w:gutter="0"/>
          <w:cols w:space="720"/>
          <w:docGrid w:linePitch="272"/>
        </w:sectPr>
      </w:pPr>
    </w:p>
    <w:p w14:paraId="6699484F" w14:textId="4F181B11" w:rsidR="000D63FB" w:rsidRDefault="000D63FB" w:rsidP="00B0077E">
      <w:pPr>
        <w:pStyle w:val="TableHeadingcontinued"/>
        <w:spacing w:before="0"/>
      </w:pPr>
      <w:r>
        <w:lastRenderedPageBreak/>
        <w:t xml:space="preserve">Table </w:t>
      </w:r>
      <w:r w:rsidR="00AD2875">
        <w:t xml:space="preserve">A.2: </w:t>
      </w:r>
      <w:r>
        <w:t>Payment measures since the 2025 PEFO</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0D63FB" w:rsidRPr="00222C32" w14:paraId="440469BB" w14:textId="77777777" w:rsidTr="00825163">
        <w:tc>
          <w:tcPr>
            <w:tcW w:w="3471" w:type="dxa"/>
            <w:tcBorders>
              <w:top w:val="single" w:sz="4" w:space="0" w:color="293F5B"/>
              <w:bottom w:val="nil"/>
            </w:tcBorders>
            <w:vAlign w:val="bottom"/>
          </w:tcPr>
          <w:p w14:paraId="2177E641" w14:textId="77777777" w:rsidR="000D63FB" w:rsidRPr="00222C32" w:rsidRDefault="000D63FB" w:rsidP="000D63FB"/>
        </w:tc>
        <w:tc>
          <w:tcPr>
            <w:tcW w:w="850" w:type="dxa"/>
            <w:tcBorders>
              <w:top w:val="single" w:sz="4" w:space="0" w:color="293F5B"/>
              <w:bottom w:val="nil"/>
            </w:tcBorders>
            <w:vAlign w:val="bottom"/>
          </w:tcPr>
          <w:p w14:paraId="0FC90024" w14:textId="77777777" w:rsidR="000D63FB" w:rsidRPr="00222C32" w:rsidRDefault="000D63FB" w:rsidP="000D63FB">
            <w:pPr>
              <w:pStyle w:val="Summarytabletextrightaligned"/>
            </w:pPr>
            <w:r w:rsidRPr="00222C32">
              <w:t>2024-25</w:t>
            </w:r>
          </w:p>
        </w:tc>
        <w:tc>
          <w:tcPr>
            <w:tcW w:w="850" w:type="dxa"/>
            <w:tcBorders>
              <w:top w:val="single" w:sz="4" w:space="0" w:color="293F5B"/>
              <w:bottom w:val="nil"/>
            </w:tcBorders>
            <w:shd w:val="clear" w:color="auto" w:fill="E6F2FF"/>
            <w:vAlign w:val="bottom"/>
          </w:tcPr>
          <w:p w14:paraId="2D172538" w14:textId="77777777" w:rsidR="000D63FB" w:rsidRPr="00222C32" w:rsidRDefault="000D63FB" w:rsidP="000D63FB">
            <w:pPr>
              <w:pStyle w:val="Summarytabletextrightaligned"/>
            </w:pPr>
            <w:r w:rsidRPr="00222C32">
              <w:t>2025-26</w:t>
            </w:r>
          </w:p>
        </w:tc>
        <w:tc>
          <w:tcPr>
            <w:tcW w:w="850" w:type="dxa"/>
            <w:tcBorders>
              <w:top w:val="single" w:sz="4" w:space="0" w:color="293F5B"/>
              <w:bottom w:val="nil"/>
            </w:tcBorders>
            <w:vAlign w:val="bottom"/>
          </w:tcPr>
          <w:p w14:paraId="6BFB9B66" w14:textId="77777777" w:rsidR="000D63FB" w:rsidRPr="00222C32" w:rsidRDefault="000D63FB" w:rsidP="000D63FB">
            <w:pPr>
              <w:pStyle w:val="Summarytabletextrightaligned"/>
            </w:pPr>
            <w:r w:rsidRPr="00222C32">
              <w:t>2026-27</w:t>
            </w:r>
          </w:p>
        </w:tc>
        <w:tc>
          <w:tcPr>
            <w:tcW w:w="850" w:type="dxa"/>
            <w:tcBorders>
              <w:top w:val="single" w:sz="4" w:space="0" w:color="293F5B"/>
              <w:bottom w:val="nil"/>
            </w:tcBorders>
            <w:vAlign w:val="bottom"/>
          </w:tcPr>
          <w:p w14:paraId="2E8591E4" w14:textId="77777777" w:rsidR="000D63FB" w:rsidRPr="00222C32" w:rsidRDefault="000D63FB" w:rsidP="000D63FB">
            <w:pPr>
              <w:pStyle w:val="Summarytabletextrightaligned"/>
            </w:pPr>
            <w:r w:rsidRPr="00222C32">
              <w:t>2027-28</w:t>
            </w:r>
          </w:p>
        </w:tc>
        <w:tc>
          <w:tcPr>
            <w:tcW w:w="850" w:type="dxa"/>
            <w:tcBorders>
              <w:top w:val="single" w:sz="4" w:space="0" w:color="293F5B"/>
              <w:bottom w:val="nil"/>
            </w:tcBorders>
            <w:vAlign w:val="bottom"/>
          </w:tcPr>
          <w:p w14:paraId="553A98CA" w14:textId="77777777" w:rsidR="000D63FB" w:rsidRPr="00222C32" w:rsidRDefault="000D63FB" w:rsidP="000D63FB">
            <w:pPr>
              <w:pStyle w:val="Summarytabletextrightaligned"/>
            </w:pPr>
            <w:r w:rsidRPr="00222C32">
              <w:t>2028-29</w:t>
            </w:r>
          </w:p>
        </w:tc>
      </w:tr>
      <w:tr w:rsidR="000D63FB" w:rsidRPr="00222C32" w14:paraId="6ED5C416" w14:textId="77777777" w:rsidTr="00825163">
        <w:tc>
          <w:tcPr>
            <w:tcW w:w="3471" w:type="dxa"/>
            <w:tcBorders>
              <w:top w:val="nil"/>
            </w:tcBorders>
            <w:vAlign w:val="bottom"/>
          </w:tcPr>
          <w:p w14:paraId="7858F76F" w14:textId="77777777" w:rsidR="000D63FB" w:rsidRPr="00222C32" w:rsidRDefault="000D63FB" w:rsidP="000D63FB"/>
        </w:tc>
        <w:tc>
          <w:tcPr>
            <w:tcW w:w="850" w:type="dxa"/>
            <w:tcBorders>
              <w:top w:val="nil"/>
              <w:bottom w:val="single" w:sz="4" w:space="0" w:color="293F5B"/>
            </w:tcBorders>
            <w:vAlign w:val="bottom"/>
          </w:tcPr>
          <w:p w14:paraId="081948A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shd w:val="clear" w:color="auto" w:fill="E6F2FF"/>
            <w:vAlign w:val="bottom"/>
          </w:tcPr>
          <w:p w14:paraId="4D03D9CC"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27C73F60"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21D71EAB" w14:textId="77777777" w:rsidR="000D63FB" w:rsidRPr="00222C32" w:rsidRDefault="000D63FB" w:rsidP="000D63FB">
            <w:pPr>
              <w:pStyle w:val="Summarytabletextrightaligned"/>
            </w:pPr>
            <w:r w:rsidRPr="00222C32">
              <w:t>$m</w:t>
            </w:r>
          </w:p>
        </w:tc>
        <w:tc>
          <w:tcPr>
            <w:tcW w:w="850" w:type="dxa"/>
            <w:tcBorders>
              <w:top w:val="nil"/>
              <w:bottom w:val="single" w:sz="4" w:space="0" w:color="293F5B"/>
            </w:tcBorders>
            <w:vAlign w:val="bottom"/>
          </w:tcPr>
          <w:p w14:paraId="54C042F6" w14:textId="77777777" w:rsidR="000D63FB" w:rsidRPr="00222C32" w:rsidRDefault="000D63FB" w:rsidP="000D63FB">
            <w:pPr>
              <w:pStyle w:val="Summarytabletextrightaligned"/>
            </w:pPr>
            <w:r w:rsidRPr="00222C32">
              <w:t>$m</w:t>
            </w:r>
          </w:p>
        </w:tc>
      </w:tr>
      <w:tr w:rsidR="000D63FB" w:rsidRPr="00222C32" w14:paraId="757A7097" w14:textId="77777777" w:rsidTr="00825163">
        <w:tc>
          <w:tcPr>
            <w:tcW w:w="3471" w:type="dxa"/>
            <w:tcBorders>
              <w:bottom w:val="nil"/>
            </w:tcBorders>
            <w:vAlign w:val="bottom"/>
          </w:tcPr>
          <w:p w14:paraId="19D06F57" w14:textId="77777777" w:rsidR="000D63FB" w:rsidRPr="00222C32" w:rsidRDefault="000D63FB" w:rsidP="00AB616A">
            <w:pPr>
              <w:pStyle w:val="SummaryMeasureTitlewithTheme"/>
              <w:ind w:left="0" w:firstLine="0"/>
              <w:rPr>
                <w:b/>
              </w:rPr>
            </w:pPr>
            <w:r w:rsidRPr="00222C32">
              <w:rPr>
                <w:b/>
              </w:rPr>
              <w:t>TREASURY (continued)</w:t>
            </w:r>
          </w:p>
        </w:tc>
        <w:tc>
          <w:tcPr>
            <w:tcW w:w="850" w:type="dxa"/>
            <w:tcBorders>
              <w:top w:val="single" w:sz="4" w:space="0" w:color="293F5B"/>
              <w:bottom w:val="nil"/>
            </w:tcBorders>
            <w:vAlign w:val="bottom"/>
          </w:tcPr>
          <w:p w14:paraId="6C4C0D15" w14:textId="77777777" w:rsidR="000D63FB" w:rsidRPr="00222C32" w:rsidRDefault="000D63FB">
            <w:pPr>
              <w:pStyle w:val="Summarytabletextrightaligned"/>
            </w:pPr>
          </w:p>
        </w:tc>
        <w:tc>
          <w:tcPr>
            <w:tcW w:w="850" w:type="dxa"/>
            <w:tcBorders>
              <w:top w:val="single" w:sz="4" w:space="0" w:color="293F5B"/>
              <w:bottom w:val="nil"/>
            </w:tcBorders>
            <w:shd w:val="clear" w:color="auto" w:fill="E6F2FF"/>
            <w:vAlign w:val="bottom"/>
          </w:tcPr>
          <w:p w14:paraId="3C9ECC79" w14:textId="77777777" w:rsidR="000D63FB" w:rsidRPr="00222C32" w:rsidRDefault="000D63FB">
            <w:pPr>
              <w:pStyle w:val="Summarytabletextrightaligned"/>
            </w:pPr>
          </w:p>
        </w:tc>
        <w:tc>
          <w:tcPr>
            <w:tcW w:w="850" w:type="dxa"/>
            <w:tcBorders>
              <w:top w:val="single" w:sz="4" w:space="0" w:color="293F5B"/>
              <w:bottom w:val="nil"/>
            </w:tcBorders>
            <w:vAlign w:val="bottom"/>
          </w:tcPr>
          <w:p w14:paraId="331722E3" w14:textId="77777777" w:rsidR="000D63FB" w:rsidRPr="00222C32" w:rsidRDefault="000D63FB">
            <w:pPr>
              <w:pStyle w:val="Summarytabletextrightaligned"/>
            </w:pPr>
          </w:p>
        </w:tc>
        <w:tc>
          <w:tcPr>
            <w:tcW w:w="850" w:type="dxa"/>
            <w:tcBorders>
              <w:top w:val="single" w:sz="4" w:space="0" w:color="293F5B"/>
              <w:bottom w:val="nil"/>
            </w:tcBorders>
            <w:vAlign w:val="bottom"/>
          </w:tcPr>
          <w:p w14:paraId="19A22BA5" w14:textId="77777777" w:rsidR="000D63FB" w:rsidRPr="00222C32" w:rsidRDefault="000D63FB">
            <w:pPr>
              <w:pStyle w:val="Summarytabletextrightaligned"/>
            </w:pPr>
          </w:p>
        </w:tc>
        <w:tc>
          <w:tcPr>
            <w:tcW w:w="850" w:type="dxa"/>
            <w:tcBorders>
              <w:top w:val="single" w:sz="4" w:space="0" w:color="293F5B"/>
              <w:bottom w:val="nil"/>
            </w:tcBorders>
            <w:vAlign w:val="bottom"/>
          </w:tcPr>
          <w:p w14:paraId="7D710FDC" w14:textId="77777777" w:rsidR="000D63FB" w:rsidRPr="00222C32" w:rsidRDefault="000D63FB">
            <w:pPr>
              <w:pStyle w:val="Summarytabletextrightaligned"/>
            </w:pPr>
          </w:p>
        </w:tc>
      </w:tr>
      <w:tr w:rsidR="00BB2CB4" w:rsidRPr="00222C32" w14:paraId="2F8ECD0C" w14:textId="77777777" w:rsidTr="00825163">
        <w:tc>
          <w:tcPr>
            <w:tcW w:w="3471" w:type="dxa"/>
            <w:tcBorders>
              <w:top w:val="nil"/>
            </w:tcBorders>
            <w:vAlign w:val="bottom"/>
          </w:tcPr>
          <w:p w14:paraId="753E52DA" w14:textId="77777777" w:rsidR="00BB2CB4" w:rsidRPr="00222C32" w:rsidRDefault="000674DA">
            <w:pPr>
              <w:pStyle w:val="SummaryMeasureTitlewithTheme"/>
            </w:pPr>
            <w:r w:rsidRPr="00222C32">
              <w:t>Migration – uplift of Visa Application Charge for student visas(b)</w:t>
            </w:r>
          </w:p>
        </w:tc>
        <w:tc>
          <w:tcPr>
            <w:tcW w:w="850" w:type="dxa"/>
            <w:tcBorders>
              <w:top w:val="nil"/>
            </w:tcBorders>
            <w:vAlign w:val="bottom"/>
          </w:tcPr>
          <w:p w14:paraId="72FD7B17" w14:textId="77777777" w:rsidR="00BB2CB4" w:rsidRPr="00222C32" w:rsidRDefault="000674DA">
            <w:pPr>
              <w:pStyle w:val="Summarytabletextrightaligned"/>
            </w:pPr>
            <w:r w:rsidRPr="00222C32">
              <w:t>-</w:t>
            </w:r>
          </w:p>
        </w:tc>
        <w:tc>
          <w:tcPr>
            <w:tcW w:w="850" w:type="dxa"/>
            <w:tcBorders>
              <w:top w:val="nil"/>
            </w:tcBorders>
            <w:shd w:val="clear" w:color="auto" w:fill="E6F2FF"/>
            <w:vAlign w:val="bottom"/>
          </w:tcPr>
          <w:p w14:paraId="016811FA" w14:textId="77777777" w:rsidR="00BB2CB4" w:rsidRPr="00222C32" w:rsidRDefault="000674DA">
            <w:pPr>
              <w:pStyle w:val="Summarytabletextrightaligned"/>
            </w:pPr>
            <w:r w:rsidRPr="00222C32">
              <w:t>..</w:t>
            </w:r>
          </w:p>
        </w:tc>
        <w:tc>
          <w:tcPr>
            <w:tcW w:w="850" w:type="dxa"/>
            <w:tcBorders>
              <w:top w:val="nil"/>
            </w:tcBorders>
            <w:vAlign w:val="bottom"/>
          </w:tcPr>
          <w:p w14:paraId="10865799" w14:textId="77777777" w:rsidR="00BB2CB4" w:rsidRPr="00222C32" w:rsidRDefault="000674DA">
            <w:pPr>
              <w:pStyle w:val="Summarytabletextrightaligned"/>
            </w:pPr>
            <w:r w:rsidRPr="00222C32">
              <w:t>-5.0</w:t>
            </w:r>
          </w:p>
        </w:tc>
        <w:tc>
          <w:tcPr>
            <w:tcW w:w="850" w:type="dxa"/>
            <w:tcBorders>
              <w:top w:val="nil"/>
            </w:tcBorders>
            <w:vAlign w:val="bottom"/>
          </w:tcPr>
          <w:p w14:paraId="0CDB4FC5" w14:textId="77777777" w:rsidR="00BB2CB4" w:rsidRPr="00222C32" w:rsidRDefault="000674DA">
            <w:pPr>
              <w:pStyle w:val="Summarytabletextrightaligned"/>
            </w:pPr>
            <w:r w:rsidRPr="00222C32">
              <w:t>-5.0</w:t>
            </w:r>
          </w:p>
        </w:tc>
        <w:tc>
          <w:tcPr>
            <w:tcW w:w="850" w:type="dxa"/>
            <w:tcBorders>
              <w:top w:val="nil"/>
            </w:tcBorders>
            <w:vAlign w:val="bottom"/>
          </w:tcPr>
          <w:p w14:paraId="548FE69C" w14:textId="77777777" w:rsidR="00BB2CB4" w:rsidRPr="00222C32" w:rsidRDefault="000674DA">
            <w:pPr>
              <w:pStyle w:val="Summarytabletextrightaligned"/>
            </w:pPr>
            <w:r w:rsidRPr="00222C32">
              <w:t>-10.0</w:t>
            </w:r>
          </w:p>
        </w:tc>
      </w:tr>
      <w:tr w:rsidR="00BB2CB4" w:rsidRPr="00222C32" w14:paraId="4CB10AEC" w14:textId="77777777" w:rsidTr="00825163">
        <w:tc>
          <w:tcPr>
            <w:tcW w:w="3471" w:type="dxa"/>
            <w:vAlign w:val="bottom"/>
          </w:tcPr>
          <w:p w14:paraId="145D0367" w14:textId="77777777" w:rsidR="00BB2CB4" w:rsidRPr="00222C32" w:rsidRDefault="000674DA">
            <w:pPr>
              <w:pStyle w:val="SummaryMeasureTitlewithTheme"/>
            </w:pPr>
            <w:r w:rsidRPr="00222C32">
              <w:t>National Cultural Policy – National Collecting Institutions</w:t>
            </w:r>
          </w:p>
        </w:tc>
        <w:tc>
          <w:tcPr>
            <w:tcW w:w="850" w:type="dxa"/>
            <w:vAlign w:val="bottom"/>
          </w:tcPr>
          <w:p w14:paraId="4F58492E" w14:textId="77777777" w:rsidR="00BB2CB4" w:rsidRPr="00222C32" w:rsidRDefault="000674DA">
            <w:pPr>
              <w:pStyle w:val="Summarytabletextrightaligned"/>
            </w:pPr>
            <w:r w:rsidRPr="00222C32">
              <w:t>-</w:t>
            </w:r>
          </w:p>
        </w:tc>
        <w:tc>
          <w:tcPr>
            <w:tcW w:w="850" w:type="dxa"/>
            <w:shd w:val="clear" w:color="auto" w:fill="E6F2FF"/>
            <w:vAlign w:val="bottom"/>
          </w:tcPr>
          <w:p w14:paraId="08FC3D7C" w14:textId="77777777" w:rsidR="00BB2CB4" w:rsidRPr="00222C32" w:rsidRDefault="000674DA">
            <w:pPr>
              <w:pStyle w:val="Summarytabletextrightaligned"/>
            </w:pPr>
            <w:r w:rsidRPr="00222C32">
              <w:t>-1.5</w:t>
            </w:r>
          </w:p>
        </w:tc>
        <w:tc>
          <w:tcPr>
            <w:tcW w:w="850" w:type="dxa"/>
            <w:vAlign w:val="bottom"/>
          </w:tcPr>
          <w:p w14:paraId="4FCF745F" w14:textId="77777777" w:rsidR="00BB2CB4" w:rsidRPr="00222C32" w:rsidRDefault="000674DA">
            <w:pPr>
              <w:pStyle w:val="Summarytabletextrightaligned"/>
            </w:pPr>
            <w:r w:rsidRPr="00222C32">
              <w:t>-</w:t>
            </w:r>
          </w:p>
        </w:tc>
        <w:tc>
          <w:tcPr>
            <w:tcW w:w="850" w:type="dxa"/>
            <w:vAlign w:val="bottom"/>
          </w:tcPr>
          <w:p w14:paraId="64B02E6F" w14:textId="77777777" w:rsidR="00BB2CB4" w:rsidRPr="00222C32" w:rsidRDefault="000674DA">
            <w:pPr>
              <w:pStyle w:val="Summarytabletextrightaligned"/>
            </w:pPr>
            <w:r w:rsidRPr="00222C32">
              <w:t>-</w:t>
            </w:r>
          </w:p>
        </w:tc>
        <w:tc>
          <w:tcPr>
            <w:tcW w:w="850" w:type="dxa"/>
            <w:vAlign w:val="bottom"/>
          </w:tcPr>
          <w:p w14:paraId="55F254EE" w14:textId="77777777" w:rsidR="00BB2CB4" w:rsidRPr="00222C32" w:rsidRDefault="000674DA">
            <w:pPr>
              <w:pStyle w:val="Summarytabletextrightaligned"/>
            </w:pPr>
            <w:r w:rsidRPr="00222C32">
              <w:t>-</w:t>
            </w:r>
          </w:p>
        </w:tc>
      </w:tr>
      <w:tr w:rsidR="00BB2CB4" w:rsidRPr="00222C32" w14:paraId="04AA4309" w14:textId="77777777" w:rsidTr="00825163">
        <w:tc>
          <w:tcPr>
            <w:tcW w:w="3471" w:type="dxa"/>
            <w:vAlign w:val="bottom"/>
          </w:tcPr>
          <w:p w14:paraId="3EFCDF1E" w14:textId="77777777" w:rsidR="00BB2CB4" w:rsidRPr="00222C32" w:rsidRDefault="000674DA">
            <w:pPr>
              <w:pStyle w:val="SummaryMeasureTitlewithTheme"/>
            </w:pPr>
            <w:r w:rsidRPr="00222C32">
              <w:t>National Water Grid Fund – responsible investment in First Nations water infrastructure</w:t>
            </w:r>
          </w:p>
        </w:tc>
        <w:tc>
          <w:tcPr>
            <w:tcW w:w="850" w:type="dxa"/>
            <w:vAlign w:val="bottom"/>
          </w:tcPr>
          <w:p w14:paraId="06086482" w14:textId="77777777" w:rsidR="00BB2CB4" w:rsidRPr="00222C32" w:rsidRDefault="000674DA">
            <w:pPr>
              <w:pStyle w:val="Summarytabletextrightaligned"/>
            </w:pPr>
            <w:r w:rsidRPr="00222C32">
              <w:t>-</w:t>
            </w:r>
          </w:p>
        </w:tc>
        <w:tc>
          <w:tcPr>
            <w:tcW w:w="850" w:type="dxa"/>
            <w:shd w:val="clear" w:color="auto" w:fill="E6F2FF"/>
            <w:vAlign w:val="bottom"/>
          </w:tcPr>
          <w:p w14:paraId="0B048434" w14:textId="77777777" w:rsidR="00BB2CB4" w:rsidRPr="00222C32" w:rsidRDefault="000674DA">
            <w:pPr>
              <w:pStyle w:val="Summarytabletextrightaligned"/>
            </w:pPr>
            <w:r w:rsidRPr="00222C32">
              <w:t>14.2</w:t>
            </w:r>
          </w:p>
        </w:tc>
        <w:tc>
          <w:tcPr>
            <w:tcW w:w="850" w:type="dxa"/>
            <w:vAlign w:val="bottom"/>
          </w:tcPr>
          <w:p w14:paraId="4750827A" w14:textId="77777777" w:rsidR="00BB2CB4" w:rsidRPr="00222C32" w:rsidRDefault="000674DA">
            <w:pPr>
              <w:pStyle w:val="Summarytabletextrightaligned"/>
            </w:pPr>
            <w:r w:rsidRPr="00222C32">
              <w:t>14.4</w:t>
            </w:r>
          </w:p>
        </w:tc>
        <w:tc>
          <w:tcPr>
            <w:tcW w:w="850" w:type="dxa"/>
            <w:vAlign w:val="bottom"/>
          </w:tcPr>
          <w:p w14:paraId="76AA5603" w14:textId="77777777" w:rsidR="00BB2CB4" w:rsidRPr="00222C32" w:rsidRDefault="000674DA">
            <w:pPr>
              <w:pStyle w:val="Summarytabletextrightaligned"/>
            </w:pPr>
            <w:r w:rsidRPr="00222C32">
              <w:t>11.0</w:t>
            </w:r>
          </w:p>
        </w:tc>
        <w:tc>
          <w:tcPr>
            <w:tcW w:w="850" w:type="dxa"/>
            <w:vAlign w:val="bottom"/>
          </w:tcPr>
          <w:p w14:paraId="7FB2AD2B" w14:textId="77777777" w:rsidR="00BB2CB4" w:rsidRPr="00222C32" w:rsidRDefault="000674DA">
            <w:pPr>
              <w:pStyle w:val="Summarytabletextrightaligned"/>
            </w:pPr>
            <w:r w:rsidRPr="00222C32">
              <w:t>-39.6</w:t>
            </w:r>
          </w:p>
        </w:tc>
      </w:tr>
      <w:tr w:rsidR="00BB2CB4" w:rsidRPr="00222C32" w14:paraId="7A35EDDD" w14:textId="77777777" w:rsidTr="00825163">
        <w:tc>
          <w:tcPr>
            <w:tcW w:w="3471" w:type="dxa"/>
            <w:vAlign w:val="bottom"/>
          </w:tcPr>
          <w:p w14:paraId="12DA5FDA" w14:textId="77777777" w:rsidR="00BB2CB4" w:rsidRPr="00222C32" w:rsidRDefault="000674DA">
            <w:pPr>
              <w:pStyle w:val="SummaryMeasureTitlewithTheme"/>
            </w:pPr>
            <w:r w:rsidRPr="00222C32">
              <w:t>Permanent Migration Program – 2025–26 planning levels(b)</w:t>
            </w:r>
          </w:p>
        </w:tc>
        <w:tc>
          <w:tcPr>
            <w:tcW w:w="850" w:type="dxa"/>
            <w:vAlign w:val="bottom"/>
          </w:tcPr>
          <w:p w14:paraId="5E9BEEC8" w14:textId="77777777" w:rsidR="00BB2CB4" w:rsidRPr="00222C32" w:rsidRDefault="000674DA">
            <w:pPr>
              <w:pStyle w:val="Summarytabletextrightaligned"/>
            </w:pPr>
            <w:r w:rsidRPr="00222C32">
              <w:t>-</w:t>
            </w:r>
          </w:p>
        </w:tc>
        <w:tc>
          <w:tcPr>
            <w:tcW w:w="850" w:type="dxa"/>
            <w:shd w:val="clear" w:color="auto" w:fill="E6F2FF"/>
            <w:vAlign w:val="bottom"/>
          </w:tcPr>
          <w:p w14:paraId="1F245E87" w14:textId="77777777" w:rsidR="00BB2CB4" w:rsidRPr="00222C32" w:rsidRDefault="000674DA">
            <w:pPr>
              <w:pStyle w:val="Summarytabletextrightaligned"/>
            </w:pPr>
            <w:r w:rsidRPr="00222C32">
              <w:t>..</w:t>
            </w:r>
          </w:p>
        </w:tc>
        <w:tc>
          <w:tcPr>
            <w:tcW w:w="850" w:type="dxa"/>
            <w:vAlign w:val="bottom"/>
          </w:tcPr>
          <w:p w14:paraId="514B1BC9" w14:textId="77777777" w:rsidR="00BB2CB4" w:rsidRPr="00222C32" w:rsidRDefault="000674DA">
            <w:pPr>
              <w:pStyle w:val="Summarytabletextrightaligned"/>
            </w:pPr>
            <w:r w:rsidRPr="00222C32">
              <w:t>..</w:t>
            </w:r>
          </w:p>
        </w:tc>
        <w:tc>
          <w:tcPr>
            <w:tcW w:w="850" w:type="dxa"/>
            <w:vAlign w:val="bottom"/>
          </w:tcPr>
          <w:p w14:paraId="4975D772" w14:textId="77777777" w:rsidR="00BB2CB4" w:rsidRPr="00222C32" w:rsidRDefault="000674DA">
            <w:pPr>
              <w:pStyle w:val="Summarytabletextrightaligned"/>
            </w:pPr>
            <w:r w:rsidRPr="00222C32">
              <w:t>..</w:t>
            </w:r>
          </w:p>
        </w:tc>
        <w:tc>
          <w:tcPr>
            <w:tcW w:w="850" w:type="dxa"/>
            <w:vAlign w:val="bottom"/>
          </w:tcPr>
          <w:p w14:paraId="48D6F9B2" w14:textId="77777777" w:rsidR="00BB2CB4" w:rsidRPr="00222C32" w:rsidRDefault="000674DA">
            <w:pPr>
              <w:pStyle w:val="Summarytabletextrightaligned"/>
            </w:pPr>
            <w:r w:rsidRPr="00222C32">
              <w:t>..</w:t>
            </w:r>
          </w:p>
        </w:tc>
      </w:tr>
      <w:tr w:rsidR="00BB2CB4" w:rsidRPr="00222C32" w14:paraId="09D9DC3C" w14:textId="77777777" w:rsidTr="00825163">
        <w:tc>
          <w:tcPr>
            <w:tcW w:w="3471" w:type="dxa"/>
            <w:vAlign w:val="bottom"/>
          </w:tcPr>
          <w:p w14:paraId="01F32D14" w14:textId="77777777" w:rsidR="00BB2CB4" w:rsidRPr="00222C32" w:rsidRDefault="000674DA">
            <w:pPr>
              <w:pStyle w:val="SummaryMeasureTitlewithTheme"/>
            </w:pPr>
            <w:r w:rsidRPr="00222C32">
              <w:t>Piloting the Investor Front Door</w:t>
            </w:r>
          </w:p>
        </w:tc>
        <w:tc>
          <w:tcPr>
            <w:tcW w:w="850" w:type="dxa"/>
            <w:vAlign w:val="bottom"/>
          </w:tcPr>
          <w:p w14:paraId="6914FA0E" w14:textId="77777777" w:rsidR="00BB2CB4" w:rsidRPr="00222C32" w:rsidRDefault="000674DA">
            <w:pPr>
              <w:pStyle w:val="Summarytabletextrightaligned"/>
            </w:pPr>
            <w:r w:rsidRPr="00222C32">
              <w:t>-</w:t>
            </w:r>
          </w:p>
        </w:tc>
        <w:tc>
          <w:tcPr>
            <w:tcW w:w="850" w:type="dxa"/>
            <w:shd w:val="clear" w:color="auto" w:fill="E6F2FF"/>
            <w:vAlign w:val="bottom"/>
          </w:tcPr>
          <w:p w14:paraId="64C9E837" w14:textId="77777777" w:rsidR="00BB2CB4" w:rsidRPr="00222C32" w:rsidRDefault="000674DA">
            <w:pPr>
              <w:pStyle w:val="Summarytabletextrightaligned"/>
            </w:pPr>
            <w:r w:rsidRPr="00222C32">
              <w:t>5.8</w:t>
            </w:r>
          </w:p>
        </w:tc>
        <w:tc>
          <w:tcPr>
            <w:tcW w:w="850" w:type="dxa"/>
            <w:vAlign w:val="bottom"/>
          </w:tcPr>
          <w:p w14:paraId="30DE83DC" w14:textId="77777777" w:rsidR="00BB2CB4" w:rsidRPr="00222C32" w:rsidRDefault="000674DA">
            <w:pPr>
              <w:pStyle w:val="Summarytabletextrightaligned"/>
            </w:pPr>
            <w:r w:rsidRPr="00222C32">
              <w:t>11.5</w:t>
            </w:r>
          </w:p>
        </w:tc>
        <w:tc>
          <w:tcPr>
            <w:tcW w:w="850" w:type="dxa"/>
            <w:vAlign w:val="bottom"/>
          </w:tcPr>
          <w:p w14:paraId="63756EC1" w14:textId="77777777" w:rsidR="00BB2CB4" w:rsidRPr="00222C32" w:rsidRDefault="000674DA">
            <w:pPr>
              <w:pStyle w:val="Summarytabletextrightaligned"/>
            </w:pPr>
            <w:r w:rsidRPr="00222C32">
              <w:t>-</w:t>
            </w:r>
          </w:p>
        </w:tc>
        <w:tc>
          <w:tcPr>
            <w:tcW w:w="850" w:type="dxa"/>
            <w:vAlign w:val="bottom"/>
          </w:tcPr>
          <w:p w14:paraId="2B26C82B" w14:textId="77777777" w:rsidR="00BB2CB4" w:rsidRPr="00222C32" w:rsidRDefault="000674DA">
            <w:pPr>
              <w:pStyle w:val="Summarytabletextrightaligned"/>
            </w:pPr>
            <w:r w:rsidRPr="00222C32">
              <w:t>-</w:t>
            </w:r>
          </w:p>
        </w:tc>
      </w:tr>
      <w:tr w:rsidR="00BB2CB4" w:rsidRPr="00222C32" w14:paraId="28B0661C" w14:textId="77777777" w:rsidTr="00825163">
        <w:tc>
          <w:tcPr>
            <w:tcW w:w="3471" w:type="dxa"/>
            <w:vAlign w:val="bottom"/>
          </w:tcPr>
          <w:p w14:paraId="05E2AFA2" w14:textId="77777777" w:rsidR="00BB2CB4" w:rsidRPr="00222C32" w:rsidRDefault="000674DA">
            <w:pPr>
              <w:pStyle w:val="SummaryMeasureTitlewithTheme"/>
            </w:pPr>
            <w:r w:rsidRPr="00222C32">
              <w:t>South Australian Marine Algal Bloom Response</w:t>
            </w:r>
          </w:p>
        </w:tc>
        <w:tc>
          <w:tcPr>
            <w:tcW w:w="850" w:type="dxa"/>
            <w:vAlign w:val="bottom"/>
          </w:tcPr>
          <w:p w14:paraId="6478986A" w14:textId="77777777" w:rsidR="00BB2CB4" w:rsidRPr="00222C32" w:rsidRDefault="000674DA">
            <w:pPr>
              <w:pStyle w:val="Summarytabletextrightaligned"/>
            </w:pPr>
            <w:r w:rsidRPr="00222C32">
              <w:t>-</w:t>
            </w:r>
          </w:p>
        </w:tc>
        <w:tc>
          <w:tcPr>
            <w:tcW w:w="850" w:type="dxa"/>
            <w:shd w:val="clear" w:color="auto" w:fill="E6F2FF"/>
            <w:vAlign w:val="bottom"/>
          </w:tcPr>
          <w:p w14:paraId="017C0E0D" w14:textId="77777777" w:rsidR="00BB2CB4" w:rsidRPr="00222C32" w:rsidRDefault="000674DA">
            <w:pPr>
              <w:pStyle w:val="Summarytabletextrightaligned"/>
            </w:pPr>
            <w:r w:rsidRPr="00222C32">
              <w:t>66.3</w:t>
            </w:r>
          </w:p>
        </w:tc>
        <w:tc>
          <w:tcPr>
            <w:tcW w:w="850" w:type="dxa"/>
            <w:vAlign w:val="bottom"/>
          </w:tcPr>
          <w:p w14:paraId="0F33BFA6" w14:textId="77777777" w:rsidR="00BB2CB4" w:rsidRPr="00222C32" w:rsidRDefault="000674DA">
            <w:pPr>
              <w:pStyle w:val="Summarytabletextrightaligned"/>
            </w:pPr>
            <w:r w:rsidRPr="00222C32">
              <w:t>-</w:t>
            </w:r>
          </w:p>
        </w:tc>
        <w:tc>
          <w:tcPr>
            <w:tcW w:w="850" w:type="dxa"/>
            <w:vAlign w:val="bottom"/>
          </w:tcPr>
          <w:p w14:paraId="4F4BFC40" w14:textId="77777777" w:rsidR="00BB2CB4" w:rsidRPr="00222C32" w:rsidRDefault="000674DA">
            <w:pPr>
              <w:pStyle w:val="Summarytabletextrightaligned"/>
            </w:pPr>
            <w:r w:rsidRPr="00222C32">
              <w:t>-</w:t>
            </w:r>
          </w:p>
        </w:tc>
        <w:tc>
          <w:tcPr>
            <w:tcW w:w="850" w:type="dxa"/>
            <w:vAlign w:val="bottom"/>
          </w:tcPr>
          <w:p w14:paraId="31190A64" w14:textId="77777777" w:rsidR="00BB2CB4" w:rsidRPr="00222C32" w:rsidRDefault="000674DA">
            <w:pPr>
              <w:pStyle w:val="Summarytabletextrightaligned"/>
            </w:pPr>
            <w:r w:rsidRPr="00222C32">
              <w:t>-</w:t>
            </w:r>
          </w:p>
        </w:tc>
      </w:tr>
      <w:tr w:rsidR="00BB2CB4" w:rsidRPr="00222C32" w14:paraId="50CA573F" w14:textId="77777777" w:rsidTr="00825163">
        <w:tc>
          <w:tcPr>
            <w:tcW w:w="3471" w:type="dxa"/>
            <w:vAlign w:val="bottom"/>
          </w:tcPr>
          <w:p w14:paraId="124A1A77" w14:textId="77777777" w:rsidR="00BB2CB4" w:rsidRPr="00222C32" w:rsidRDefault="000674DA">
            <w:pPr>
              <w:pStyle w:val="SummaryMeasureTitlewithTheme"/>
            </w:pPr>
            <w:r w:rsidRPr="00222C32">
              <w:t>Strengthening Medicare – establishing 1800MEDICARE and Medicare Urgent Care Clinics additional support</w:t>
            </w:r>
          </w:p>
        </w:tc>
        <w:tc>
          <w:tcPr>
            <w:tcW w:w="850" w:type="dxa"/>
            <w:vAlign w:val="bottom"/>
          </w:tcPr>
          <w:p w14:paraId="3FE5F5FC" w14:textId="77777777" w:rsidR="00BB2CB4" w:rsidRPr="00222C32" w:rsidRDefault="000674DA">
            <w:pPr>
              <w:pStyle w:val="Summarytabletextrightaligned"/>
            </w:pPr>
            <w:r w:rsidRPr="00222C32">
              <w:t>-</w:t>
            </w:r>
          </w:p>
        </w:tc>
        <w:tc>
          <w:tcPr>
            <w:tcW w:w="850" w:type="dxa"/>
            <w:shd w:val="clear" w:color="auto" w:fill="E6F2FF"/>
            <w:vAlign w:val="bottom"/>
          </w:tcPr>
          <w:p w14:paraId="741AAB92" w14:textId="77777777" w:rsidR="00BB2CB4" w:rsidRPr="00222C32" w:rsidRDefault="000674DA">
            <w:pPr>
              <w:pStyle w:val="Summarytabletextrightaligned"/>
            </w:pPr>
            <w:r w:rsidRPr="00222C32">
              <w:t>0.2</w:t>
            </w:r>
          </w:p>
        </w:tc>
        <w:tc>
          <w:tcPr>
            <w:tcW w:w="850" w:type="dxa"/>
            <w:vAlign w:val="bottom"/>
          </w:tcPr>
          <w:p w14:paraId="3E34F6E0" w14:textId="77777777" w:rsidR="00BB2CB4" w:rsidRPr="00222C32" w:rsidRDefault="000674DA">
            <w:pPr>
              <w:pStyle w:val="Summarytabletextrightaligned"/>
            </w:pPr>
            <w:r w:rsidRPr="00222C32">
              <w:t>-</w:t>
            </w:r>
          </w:p>
        </w:tc>
        <w:tc>
          <w:tcPr>
            <w:tcW w:w="850" w:type="dxa"/>
            <w:vAlign w:val="bottom"/>
          </w:tcPr>
          <w:p w14:paraId="10EFCC84" w14:textId="77777777" w:rsidR="00BB2CB4" w:rsidRPr="00222C32" w:rsidRDefault="000674DA">
            <w:pPr>
              <w:pStyle w:val="Summarytabletextrightaligned"/>
            </w:pPr>
            <w:r w:rsidRPr="00222C32">
              <w:t>-</w:t>
            </w:r>
          </w:p>
        </w:tc>
        <w:tc>
          <w:tcPr>
            <w:tcW w:w="850" w:type="dxa"/>
            <w:vAlign w:val="bottom"/>
          </w:tcPr>
          <w:p w14:paraId="5A858EF6" w14:textId="77777777" w:rsidR="00BB2CB4" w:rsidRPr="00222C32" w:rsidRDefault="000674DA">
            <w:pPr>
              <w:pStyle w:val="Summarytabletextrightaligned"/>
            </w:pPr>
            <w:r w:rsidRPr="00222C32">
              <w:t>-</w:t>
            </w:r>
          </w:p>
        </w:tc>
      </w:tr>
      <w:tr w:rsidR="00BB2CB4" w:rsidRPr="00222C32" w14:paraId="53FD8918" w14:textId="77777777" w:rsidTr="00825163">
        <w:tc>
          <w:tcPr>
            <w:tcW w:w="3471" w:type="dxa"/>
            <w:vAlign w:val="bottom"/>
          </w:tcPr>
          <w:p w14:paraId="7D81EA98" w14:textId="77777777" w:rsidR="00BB2CB4" w:rsidRPr="00222C32" w:rsidRDefault="000674DA">
            <w:pPr>
              <w:pStyle w:val="SummaryMeasureTitlewithTheme"/>
            </w:pPr>
            <w:r w:rsidRPr="00222C32">
              <w:t>Support for Homebuyers</w:t>
            </w:r>
          </w:p>
        </w:tc>
        <w:tc>
          <w:tcPr>
            <w:tcW w:w="850" w:type="dxa"/>
            <w:vAlign w:val="bottom"/>
          </w:tcPr>
          <w:p w14:paraId="7C11B9D5" w14:textId="77777777" w:rsidR="00BB2CB4" w:rsidRPr="00222C32" w:rsidRDefault="000674DA">
            <w:pPr>
              <w:pStyle w:val="Summarytabletextrightaligned"/>
            </w:pPr>
            <w:r w:rsidRPr="00222C32">
              <w:t>-</w:t>
            </w:r>
          </w:p>
        </w:tc>
        <w:tc>
          <w:tcPr>
            <w:tcW w:w="850" w:type="dxa"/>
            <w:shd w:val="clear" w:color="auto" w:fill="E6F2FF"/>
            <w:vAlign w:val="bottom"/>
          </w:tcPr>
          <w:p w14:paraId="4F1320E1" w14:textId="77777777" w:rsidR="00BB2CB4" w:rsidRPr="00222C32" w:rsidRDefault="000674DA">
            <w:pPr>
              <w:pStyle w:val="Summarytabletextrightaligned"/>
            </w:pPr>
            <w:r w:rsidRPr="00222C32">
              <w:t>13.3</w:t>
            </w:r>
          </w:p>
        </w:tc>
        <w:tc>
          <w:tcPr>
            <w:tcW w:w="850" w:type="dxa"/>
            <w:vAlign w:val="bottom"/>
          </w:tcPr>
          <w:p w14:paraId="2BE1455C" w14:textId="77777777" w:rsidR="00BB2CB4" w:rsidRPr="00222C32" w:rsidRDefault="000674DA">
            <w:pPr>
              <w:pStyle w:val="Summarytabletextrightaligned"/>
            </w:pPr>
            <w:r w:rsidRPr="00222C32">
              <w:t>124.8</w:t>
            </w:r>
          </w:p>
        </w:tc>
        <w:tc>
          <w:tcPr>
            <w:tcW w:w="850" w:type="dxa"/>
            <w:vAlign w:val="bottom"/>
          </w:tcPr>
          <w:p w14:paraId="7C2EAA4B" w14:textId="77777777" w:rsidR="00BB2CB4" w:rsidRPr="00222C32" w:rsidRDefault="000674DA">
            <w:pPr>
              <w:pStyle w:val="Summarytabletextrightaligned"/>
            </w:pPr>
            <w:r w:rsidRPr="00222C32">
              <w:t>187.8</w:t>
            </w:r>
          </w:p>
        </w:tc>
        <w:tc>
          <w:tcPr>
            <w:tcW w:w="850" w:type="dxa"/>
            <w:vAlign w:val="bottom"/>
          </w:tcPr>
          <w:p w14:paraId="2547F137" w14:textId="77777777" w:rsidR="00BB2CB4" w:rsidRPr="00222C32" w:rsidRDefault="000674DA">
            <w:pPr>
              <w:pStyle w:val="Summarytabletextrightaligned"/>
            </w:pPr>
            <w:r w:rsidRPr="00222C32">
              <w:t>190.6</w:t>
            </w:r>
          </w:p>
        </w:tc>
      </w:tr>
      <w:tr w:rsidR="00BB2CB4" w:rsidRPr="00222C32" w14:paraId="11F39316" w14:textId="77777777" w:rsidTr="00825163">
        <w:tc>
          <w:tcPr>
            <w:tcW w:w="3471" w:type="dxa"/>
            <w:vAlign w:val="bottom"/>
          </w:tcPr>
          <w:p w14:paraId="40814DD0" w14:textId="77777777" w:rsidR="00BB2CB4" w:rsidRPr="00222C32" w:rsidRDefault="000674DA">
            <w:pPr>
              <w:pStyle w:val="SummaryMeasureTitlewithTheme"/>
            </w:pPr>
            <w:r w:rsidRPr="00222C32">
              <w:t>Support for People with Disability</w:t>
            </w:r>
          </w:p>
        </w:tc>
        <w:tc>
          <w:tcPr>
            <w:tcW w:w="850" w:type="dxa"/>
            <w:vAlign w:val="bottom"/>
          </w:tcPr>
          <w:p w14:paraId="3B92F436" w14:textId="77777777" w:rsidR="00BB2CB4" w:rsidRPr="00222C32" w:rsidRDefault="000674DA">
            <w:pPr>
              <w:pStyle w:val="Summarytabletextrightaligned"/>
            </w:pPr>
            <w:r w:rsidRPr="00222C32">
              <w:t>842.9</w:t>
            </w:r>
          </w:p>
        </w:tc>
        <w:tc>
          <w:tcPr>
            <w:tcW w:w="850" w:type="dxa"/>
            <w:shd w:val="clear" w:color="auto" w:fill="E6F2FF"/>
            <w:vAlign w:val="bottom"/>
          </w:tcPr>
          <w:p w14:paraId="0FAF98AE" w14:textId="77777777" w:rsidR="00BB2CB4" w:rsidRPr="00222C32" w:rsidRDefault="000674DA">
            <w:pPr>
              <w:pStyle w:val="Summarytabletextrightaligned"/>
            </w:pPr>
            <w:r w:rsidRPr="00222C32">
              <w:t>17.6</w:t>
            </w:r>
          </w:p>
        </w:tc>
        <w:tc>
          <w:tcPr>
            <w:tcW w:w="850" w:type="dxa"/>
            <w:vAlign w:val="bottom"/>
          </w:tcPr>
          <w:p w14:paraId="5E81159D" w14:textId="77777777" w:rsidR="00BB2CB4" w:rsidRPr="00222C32" w:rsidRDefault="000674DA">
            <w:pPr>
              <w:pStyle w:val="Summarytabletextrightaligned"/>
            </w:pPr>
            <w:r w:rsidRPr="00222C32">
              <w:t>-</w:t>
            </w:r>
          </w:p>
        </w:tc>
        <w:tc>
          <w:tcPr>
            <w:tcW w:w="850" w:type="dxa"/>
            <w:vAlign w:val="bottom"/>
          </w:tcPr>
          <w:p w14:paraId="1927100A" w14:textId="77777777" w:rsidR="00BB2CB4" w:rsidRPr="00222C32" w:rsidRDefault="000674DA">
            <w:pPr>
              <w:pStyle w:val="Summarytabletextrightaligned"/>
            </w:pPr>
            <w:r w:rsidRPr="00222C32">
              <w:t>-</w:t>
            </w:r>
          </w:p>
        </w:tc>
        <w:tc>
          <w:tcPr>
            <w:tcW w:w="850" w:type="dxa"/>
            <w:vAlign w:val="bottom"/>
          </w:tcPr>
          <w:p w14:paraId="0A9F079C" w14:textId="77777777" w:rsidR="00BB2CB4" w:rsidRPr="00222C32" w:rsidRDefault="000674DA">
            <w:pPr>
              <w:pStyle w:val="Summarytabletextrightaligned"/>
            </w:pPr>
            <w:r w:rsidRPr="00222C32">
              <w:t>-</w:t>
            </w:r>
          </w:p>
        </w:tc>
      </w:tr>
      <w:tr w:rsidR="00BB2CB4" w:rsidRPr="00222C32" w14:paraId="7879851A" w14:textId="77777777" w:rsidTr="00825163">
        <w:tc>
          <w:tcPr>
            <w:tcW w:w="3471" w:type="dxa"/>
            <w:vAlign w:val="bottom"/>
          </w:tcPr>
          <w:p w14:paraId="485E7B4C" w14:textId="4A871F9F" w:rsidR="00BB2CB4" w:rsidRPr="00222C32" w:rsidRDefault="000674DA">
            <w:pPr>
              <w:pStyle w:val="SummaryMeasureTitlewithTheme"/>
            </w:pPr>
            <w:r w:rsidRPr="00222C32">
              <w:t>Supporting Australia</w:t>
            </w:r>
            <w:r w:rsidR="00A67A30">
              <w:t>’</w:t>
            </w:r>
            <w:r w:rsidRPr="00222C32">
              <w:t>s Heavy Industry Transformation(b)</w:t>
            </w:r>
          </w:p>
        </w:tc>
        <w:tc>
          <w:tcPr>
            <w:tcW w:w="850" w:type="dxa"/>
            <w:vAlign w:val="bottom"/>
          </w:tcPr>
          <w:p w14:paraId="6BACF750" w14:textId="77777777" w:rsidR="00BB2CB4" w:rsidRPr="00222C32" w:rsidRDefault="000674DA">
            <w:pPr>
              <w:pStyle w:val="Summarytabletextrightaligned"/>
            </w:pPr>
            <w:r w:rsidRPr="00222C32">
              <w:t>-</w:t>
            </w:r>
          </w:p>
        </w:tc>
        <w:tc>
          <w:tcPr>
            <w:tcW w:w="850" w:type="dxa"/>
            <w:shd w:val="clear" w:color="auto" w:fill="E6F2FF"/>
            <w:vAlign w:val="bottom"/>
          </w:tcPr>
          <w:p w14:paraId="659896B2" w14:textId="77777777" w:rsidR="00BB2CB4" w:rsidRPr="00222C32" w:rsidRDefault="000674DA">
            <w:pPr>
              <w:pStyle w:val="Summarytabletextrightaligned"/>
            </w:pPr>
            <w:r w:rsidRPr="00222C32">
              <w:t>253.0</w:t>
            </w:r>
          </w:p>
        </w:tc>
        <w:tc>
          <w:tcPr>
            <w:tcW w:w="850" w:type="dxa"/>
            <w:vAlign w:val="bottom"/>
          </w:tcPr>
          <w:p w14:paraId="29DA1464" w14:textId="77777777" w:rsidR="00BB2CB4" w:rsidRPr="00222C32" w:rsidRDefault="000674DA">
            <w:pPr>
              <w:pStyle w:val="Summarytabletextrightaligned"/>
            </w:pPr>
            <w:r w:rsidRPr="00222C32">
              <w:t>100.0</w:t>
            </w:r>
          </w:p>
        </w:tc>
        <w:tc>
          <w:tcPr>
            <w:tcW w:w="850" w:type="dxa"/>
            <w:vAlign w:val="bottom"/>
          </w:tcPr>
          <w:p w14:paraId="2E4CFF1F" w14:textId="77777777" w:rsidR="00BB2CB4" w:rsidRPr="00222C32" w:rsidRDefault="000674DA">
            <w:pPr>
              <w:pStyle w:val="Summarytabletextrightaligned"/>
            </w:pPr>
            <w:r w:rsidRPr="00222C32">
              <w:t>100.0</w:t>
            </w:r>
          </w:p>
        </w:tc>
        <w:tc>
          <w:tcPr>
            <w:tcW w:w="850" w:type="dxa"/>
            <w:vAlign w:val="bottom"/>
          </w:tcPr>
          <w:p w14:paraId="5AE403FA" w14:textId="77777777" w:rsidR="00BB2CB4" w:rsidRPr="00222C32" w:rsidRDefault="000674DA">
            <w:pPr>
              <w:pStyle w:val="Summarytabletextrightaligned"/>
            </w:pPr>
            <w:r w:rsidRPr="00222C32">
              <w:t>50.0</w:t>
            </w:r>
          </w:p>
        </w:tc>
      </w:tr>
      <w:tr w:rsidR="00BB2CB4" w:rsidRPr="00222C32" w14:paraId="10B89941" w14:textId="77777777" w:rsidTr="00825163">
        <w:tc>
          <w:tcPr>
            <w:tcW w:w="3471" w:type="dxa"/>
            <w:vAlign w:val="bottom"/>
          </w:tcPr>
          <w:p w14:paraId="68F43D3D" w14:textId="77777777" w:rsidR="00BB2CB4" w:rsidRPr="00222C32" w:rsidRDefault="000674DA">
            <w:pPr>
              <w:pStyle w:val="SummaryMeasureTitlewithTheme"/>
            </w:pPr>
            <w:r w:rsidRPr="00222C32">
              <w:t>Supporting Consumers(b)</w:t>
            </w:r>
          </w:p>
        </w:tc>
        <w:tc>
          <w:tcPr>
            <w:tcW w:w="850" w:type="dxa"/>
            <w:vAlign w:val="bottom"/>
          </w:tcPr>
          <w:p w14:paraId="7CDE44AB" w14:textId="77777777" w:rsidR="00BB2CB4" w:rsidRPr="00222C32" w:rsidRDefault="000674DA">
            <w:pPr>
              <w:pStyle w:val="Summarytabletextrightaligned"/>
            </w:pPr>
            <w:r w:rsidRPr="00222C32">
              <w:t>-</w:t>
            </w:r>
          </w:p>
        </w:tc>
        <w:tc>
          <w:tcPr>
            <w:tcW w:w="850" w:type="dxa"/>
            <w:shd w:val="clear" w:color="auto" w:fill="E6F2FF"/>
            <w:vAlign w:val="bottom"/>
          </w:tcPr>
          <w:p w14:paraId="75FD4975" w14:textId="77777777" w:rsidR="00BB2CB4" w:rsidRPr="00222C32" w:rsidRDefault="000674DA">
            <w:pPr>
              <w:pStyle w:val="Summarytabletextrightaligned"/>
            </w:pPr>
            <w:r w:rsidRPr="00222C32">
              <w:t>6.4</w:t>
            </w:r>
          </w:p>
        </w:tc>
        <w:tc>
          <w:tcPr>
            <w:tcW w:w="850" w:type="dxa"/>
            <w:vAlign w:val="bottom"/>
          </w:tcPr>
          <w:p w14:paraId="10F7F8BB" w14:textId="77777777" w:rsidR="00BB2CB4" w:rsidRPr="00222C32" w:rsidRDefault="000674DA">
            <w:pPr>
              <w:pStyle w:val="Summarytabletextrightaligned"/>
            </w:pPr>
            <w:r w:rsidRPr="00222C32">
              <w:t>0.1</w:t>
            </w:r>
          </w:p>
        </w:tc>
        <w:tc>
          <w:tcPr>
            <w:tcW w:w="850" w:type="dxa"/>
            <w:vAlign w:val="bottom"/>
          </w:tcPr>
          <w:p w14:paraId="140DCEB7" w14:textId="77777777" w:rsidR="00BB2CB4" w:rsidRPr="00222C32" w:rsidRDefault="000674DA">
            <w:pPr>
              <w:pStyle w:val="Summarytabletextrightaligned"/>
            </w:pPr>
            <w:r w:rsidRPr="00222C32">
              <w:t>-</w:t>
            </w:r>
          </w:p>
        </w:tc>
        <w:tc>
          <w:tcPr>
            <w:tcW w:w="850" w:type="dxa"/>
            <w:vAlign w:val="bottom"/>
          </w:tcPr>
          <w:p w14:paraId="70BFFF78" w14:textId="77777777" w:rsidR="00BB2CB4" w:rsidRPr="00222C32" w:rsidRDefault="000674DA">
            <w:pPr>
              <w:pStyle w:val="Summarytabletextrightaligned"/>
            </w:pPr>
            <w:r w:rsidRPr="00222C32">
              <w:t>-</w:t>
            </w:r>
          </w:p>
        </w:tc>
      </w:tr>
      <w:tr w:rsidR="00BB2CB4" w:rsidRPr="00222C32" w14:paraId="0CA2EBFD" w14:textId="77777777" w:rsidTr="00825163">
        <w:tc>
          <w:tcPr>
            <w:tcW w:w="3471" w:type="dxa"/>
            <w:vAlign w:val="bottom"/>
          </w:tcPr>
          <w:p w14:paraId="14DC136E" w14:textId="77777777" w:rsidR="00BB2CB4" w:rsidRPr="00222C32" w:rsidRDefault="000674DA">
            <w:pPr>
              <w:pStyle w:val="SummaryMeasureTitlewithTheme"/>
            </w:pPr>
            <w:r w:rsidRPr="00222C32">
              <w:t>Supporting International Sporting Events(b)</w:t>
            </w:r>
          </w:p>
        </w:tc>
        <w:tc>
          <w:tcPr>
            <w:tcW w:w="850" w:type="dxa"/>
            <w:vAlign w:val="bottom"/>
          </w:tcPr>
          <w:p w14:paraId="59E21B02" w14:textId="77777777" w:rsidR="00BB2CB4" w:rsidRPr="00222C32" w:rsidRDefault="000674DA">
            <w:pPr>
              <w:pStyle w:val="Summarytabletextrightaligned"/>
            </w:pPr>
            <w:r w:rsidRPr="00222C32">
              <w:t>-</w:t>
            </w:r>
          </w:p>
        </w:tc>
        <w:tc>
          <w:tcPr>
            <w:tcW w:w="850" w:type="dxa"/>
            <w:shd w:val="clear" w:color="auto" w:fill="E6F2FF"/>
            <w:vAlign w:val="bottom"/>
          </w:tcPr>
          <w:p w14:paraId="5232F078" w14:textId="77777777" w:rsidR="00BB2CB4" w:rsidRPr="00222C32" w:rsidRDefault="000674DA">
            <w:pPr>
              <w:pStyle w:val="Summarytabletextrightaligned"/>
            </w:pPr>
            <w:r w:rsidRPr="00222C32">
              <w:t>-184.5</w:t>
            </w:r>
          </w:p>
        </w:tc>
        <w:tc>
          <w:tcPr>
            <w:tcW w:w="850" w:type="dxa"/>
            <w:vAlign w:val="bottom"/>
          </w:tcPr>
          <w:p w14:paraId="07401625" w14:textId="77777777" w:rsidR="00BB2CB4" w:rsidRPr="00222C32" w:rsidRDefault="000674DA">
            <w:pPr>
              <w:pStyle w:val="Summarytabletextrightaligned"/>
            </w:pPr>
            <w:r w:rsidRPr="00222C32">
              <w:t>59.4</w:t>
            </w:r>
          </w:p>
        </w:tc>
        <w:tc>
          <w:tcPr>
            <w:tcW w:w="850" w:type="dxa"/>
            <w:vAlign w:val="bottom"/>
          </w:tcPr>
          <w:p w14:paraId="409E4828" w14:textId="77777777" w:rsidR="00BB2CB4" w:rsidRPr="00222C32" w:rsidRDefault="000674DA">
            <w:pPr>
              <w:pStyle w:val="Summarytabletextrightaligned"/>
            </w:pPr>
            <w:r w:rsidRPr="00222C32">
              <w:t>-19.3</w:t>
            </w:r>
          </w:p>
        </w:tc>
        <w:tc>
          <w:tcPr>
            <w:tcW w:w="850" w:type="dxa"/>
            <w:vAlign w:val="bottom"/>
          </w:tcPr>
          <w:p w14:paraId="134301A6" w14:textId="77777777" w:rsidR="00BB2CB4" w:rsidRPr="00222C32" w:rsidRDefault="000674DA">
            <w:pPr>
              <w:pStyle w:val="Summarytabletextrightaligned"/>
            </w:pPr>
            <w:r w:rsidRPr="00222C32">
              <w:t>-246.1</w:t>
            </w:r>
          </w:p>
        </w:tc>
      </w:tr>
      <w:tr w:rsidR="00BB2CB4" w:rsidRPr="00222C32" w14:paraId="53B06ABC" w14:textId="77777777" w:rsidTr="00825163">
        <w:tc>
          <w:tcPr>
            <w:tcW w:w="3471" w:type="dxa"/>
            <w:vAlign w:val="bottom"/>
          </w:tcPr>
          <w:p w14:paraId="6144029A" w14:textId="77777777" w:rsidR="00BB2CB4" w:rsidRPr="00222C32" w:rsidRDefault="000674DA">
            <w:pPr>
              <w:pStyle w:val="SummaryMeasureTitlewithTheme"/>
            </w:pPr>
            <w:r w:rsidRPr="00222C32">
              <w:t>Supporting Multicultural Communities</w:t>
            </w:r>
          </w:p>
        </w:tc>
        <w:tc>
          <w:tcPr>
            <w:tcW w:w="850" w:type="dxa"/>
            <w:vAlign w:val="bottom"/>
          </w:tcPr>
          <w:p w14:paraId="0924C8E8" w14:textId="77777777" w:rsidR="00BB2CB4" w:rsidRPr="00222C32" w:rsidRDefault="000674DA">
            <w:pPr>
              <w:pStyle w:val="Summarytabletextrightaligned"/>
            </w:pPr>
            <w:r w:rsidRPr="00222C32">
              <w:t>-</w:t>
            </w:r>
          </w:p>
        </w:tc>
        <w:tc>
          <w:tcPr>
            <w:tcW w:w="850" w:type="dxa"/>
            <w:shd w:val="clear" w:color="auto" w:fill="E6F2FF"/>
            <w:vAlign w:val="bottom"/>
          </w:tcPr>
          <w:p w14:paraId="633C2287" w14:textId="77777777" w:rsidR="00BB2CB4" w:rsidRPr="00222C32" w:rsidRDefault="000674DA">
            <w:pPr>
              <w:pStyle w:val="Summarytabletextrightaligned"/>
            </w:pPr>
            <w:r w:rsidRPr="00222C32">
              <w:t>1.1</w:t>
            </w:r>
          </w:p>
        </w:tc>
        <w:tc>
          <w:tcPr>
            <w:tcW w:w="850" w:type="dxa"/>
            <w:vAlign w:val="bottom"/>
          </w:tcPr>
          <w:p w14:paraId="1505825E" w14:textId="77777777" w:rsidR="00BB2CB4" w:rsidRPr="00222C32" w:rsidRDefault="000674DA">
            <w:pPr>
              <w:pStyle w:val="Summarytabletextrightaligned"/>
            </w:pPr>
            <w:r w:rsidRPr="00222C32">
              <w:t>0.9</w:t>
            </w:r>
          </w:p>
        </w:tc>
        <w:tc>
          <w:tcPr>
            <w:tcW w:w="850" w:type="dxa"/>
            <w:vAlign w:val="bottom"/>
          </w:tcPr>
          <w:p w14:paraId="0F670427" w14:textId="77777777" w:rsidR="00BB2CB4" w:rsidRPr="00222C32" w:rsidRDefault="000674DA">
            <w:pPr>
              <w:pStyle w:val="Summarytabletextrightaligned"/>
            </w:pPr>
            <w:r w:rsidRPr="00222C32">
              <w:t>-</w:t>
            </w:r>
          </w:p>
        </w:tc>
        <w:tc>
          <w:tcPr>
            <w:tcW w:w="850" w:type="dxa"/>
            <w:vAlign w:val="bottom"/>
          </w:tcPr>
          <w:p w14:paraId="7E1701E3" w14:textId="77777777" w:rsidR="00BB2CB4" w:rsidRPr="00222C32" w:rsidRDefault="000674DA">
            <w:pPr>
              <w:pStyle w:val="Summarytabletextrightaligned"/>
            </w:pPr>
            <w:r w:rsidRPr="00222C32">
              <w:t>-</w:t>
            </w:r>
          </w:p>
        </w:tc>
      </w:tr>
      <w:tr w:rsidR="00BB2CB4" w:rsidRPr="00222C32" w14:paraId="5874B121" w14:textId="77777777" w:rsidTr="00825163">
        <w:tc>
          <w:tcPr>
            <w:tcW w:w="3471" w:type="dxa"/>
            <w:vAlign w:val="bottom"/>
          </w:tcPr>
          <w:p w14:paraId="31FB7F25" w14:textId="77777777" w:rsidR="00BB2CB4" w:rsidRPr="00222C32" w:rsidRDefault="000674DA">
            <w:pPr>
              <w:pStyle w:val="SummaryMeasureTitlewithTheme"/>
            </w:pPr>
            <w:r w:rsidRPr="00222C32">
              <w:t>Targeting Entrenched Community Disadvantage</w:t>
            </w:r>
          </w:p>
        </w:tc>
        <w:tc>
          <w:tcPr>
            <w:tcW w:w="850" w:type="dxa"/>
            <w:vAlign w:val="bottom"/>
          </w:tcPr>
          <w:p w14:paraId="184987E9" w14:textId="77777777" w:rsidR="00BB2CB4" w:rsidRPr="00222C32" w:rsidRDefault="000674DA">
            <w:pPr>
              <w:pStyle w:val="Summarytabletextrightaligned"/>
            </w:pPr>
            <w:r w:rsidRPr="00222C32">
              <w:t>-</w:t>
            </w:r>
          </w:p>
        </w:tc>
        <w:tc>
          <w:tcPr>
            <w:tcW w:w="850" w:type="dxa"/>
            <w:shd w:val="clear" w:color="auto" w:fill="E6F2FF"/>
            <w:vAlign w:val="bottom"/>
          </w:tcPr>
          <w:p w14:paraId="57EFA479" w14:textId="77777777" w:rsidR="00BB2CB4" w:rsidRPr="00222C32" w:rsidRDefault="000674DA">
            <w:pPr>
              <w:pStyle w:val="Summarytabletextrightaligned"/>
            </w:pPr>
            <w:r w:rsidRPr="00222C32">
              <w:t>1.9</w:t>
            </w:r>
          </w:p>
        </w:tc>
        <w:tc>
          <w:tcPr>
            <w:tcW w:w="850" w:type="dxa"/>
            <w:vAlign w:val="bottom"/>
          </w:tcPr>
          <w:p w14:paraId="1F85A3F4" w14:textId="77777777" w:rsidR="00BB2CB4" w:rsidRPr="00222C32" w:rsidRDefault="000674DA">
            <w:pPr>
              <w:pStyle w:val="Summarytabletextrightaligned"/>
            </w:pPr>
            <w:r w:rsidRPr="00222C32">
              <w:t>-</w:t>
            </w:r>
          </w:p>
        </w:tc>
        <w:tc>
          <w:tcPr>
            <w:tcW w:w="850" w:type="dxa"/>
            <w:vAlign w:val="bottom"/>
          </w:tcPr>
          <w:p w14:paraId="64EF93FE" w14:textId="77777777" w:rsidR="00BB2CB4" w:rsidRPr="00222C32" w:rsidRDefault="000674DA">
            <w:pPr>
              <w:pStyle w:val="Summarytabletextrightaligned"/>
            </w:pPr>
            <w:r w:rsidRPr="00222C32">
              <w:t>-</w:t>
            </w:r>
          </w:p>
        </w:tc>
        <w:tc>
          <w:tcPr>
            <w:tcW w:w="850" w:type="dxa"/>
            <w:vAlign w:val="bottom"/>
          </w:tcPr>
          <w:p w14:paraId="560D54A2" w14:textId="77777777" w:rsidR="00BB2CB4" w:rsidRPr="00222C32" w:rsidRDefault="000674DA">
            <w:pPr>
              <w:pStyle w:val="Summarytabletextrightaligned"/>
            </w:pPr>
            <w:r w:rsidRPr="00222C32">
              <w:t>-</w:t>
            </w:r>
          </w:p>
        </w:tc>
      </w:tr>
      <w:tr w:rsidR="00BB2CB4" w:rsidRPr="00222C32" w14:paraId="77FE7028" w14:textId="77777777" w:rsidTr="00825163">
        <w:tc>
          <w:tcPr>
            <w:tcW w:w="3471" w:type="dxa"/>
            <w:vAlign w:val="bottom"/>
          </w:tcPr>
          <w:p w14:paraId="0FBC1682" w14:textId="77777777" w:rsidR="00BB2CB4" w:rsidRPr="00222C32" w:rsidRDefault="000674DA">
            <w:pPr>
              <w:pStyle w:val="SummaryMeasureTitlewithTheme"/>
            </w:pPr>
            <w:r w:rsidRPr="00222C32">
              <w:t>Treasury Portfolio – additional resourcing(b)</w:t>
            </w:r>
          </w:p>
        </w:tc>
        <w:tc>
          <w:tcPr>
            <w:tcW w:w="850" w:type="dxa"/>
            <w:vAlign w:val="bottom"/>
          </w:tcPr>
          <w:p w14:paraId="3DB832B2" w14:textId="77777777" w:rsidR="00BB2CB4" w:rsidRPr="00222C32" w:rsidRDefault="000674DA">
            <w:pPr>
              <w:pStyle w:val="Summarytabletextrightaligned"/>
            </w:pPr>
            <w:r w:rsidRPr="00222C32">
              <w:t>-</w:t>
            </w:r>
          </w:p>
        </w:tc>
        <w:tc>
          <w:tcPr>
            <w:tcW w:w="850" w:type="dxa"/>
            <w:shd w:val="clear" w:color="auto" w:fill="E6F2FF"/>
            <w:vAlign w:val="bottom"/>
          </w:tcPr>
          <w:p w14:paraId="5E7DBCB7" w14:textId="77777777" w:rsidR="00BB2CB4" w:rsidRPr="00222C32" w:rsidRDefault="000674DA">
            <w:pPr>
              <w:pStyle w:val="Summarytabletextrightaligned"/>
            </w:pPr>
            <w:r w:rsidRPr="00222C32">
              <w:t>-</w:t>
            </w:r>
          </w:p>
        </w:tc>
        <w:tc>
          <w:tcPr>
            <w:tcW w:w="850" w:type="dxa"/>
            <w:vAlign w:val="bottom"/>
          </w:tcPr>
          <w:p w14:paraId="18BDA175" w14:textId="77777777" w:rsidR="00BB2CB4" w:rsidRPr="00222C32" w:rsidRDefault="000674DA">
            <w:pPr>
              <w:pStyle w:val="Summarytabletextrightaligned"/>
            </w:pPr>
            <w:r w:rsidRPr="00222C32">
              <w:t>1.0</w:t>
            </w:r>
          </w:p>
        </w:tc>
        <w:tc>
          <w:tcPr>
            <w:tcW w:w="850" w:type="dxa"/>
            <w:vAlign w:val="bottom"/>
          </w:tcPr>
          <w:p w14:paraId="3DE7CB56" w14:textId="77777777" w:rsidR="00BB2CB4" w:rsidRPr="00222C32" w:rsidRDefault="000674DA">
            <w:pPr>
              <w:pStyle w:val="Summarytabletextrightaligned"/>
            </w:pPr>
            <w:r w:rsidRPr="00222C32">
              <w:t>-</w:t>
            </w:r>
          </w:p>
        </w:tc>
        <w:tc>
          <w:tcPr>
            <w:tcW w:w="850" w:type="dxa"/>
            <w:vAlign w:val="bottom"/>
          </w:tcPr>
          <w:p w14:paraId="0070872D" w14:textId="77777777" w:rsidR="00BB2CB4" w:rsidRPr="00222C32" w:rsidRDefault="000674DA">
            <w:pPr>
              <w:pStyle w:val="Summarytabletextrightaligned"/>
            </w:pPr>
            <w:r w:rsidRPr="00222C32">
              <w:t>-</w:t>
            </w:r>
          </w:p>
        </w:tc>
      </w:tr>
      <w:tr w:rsidR="00BB2CB4" w:rsidRPr="00222C32" w14:paraId="3E07B994" w14:textId="77777777" w:rsidTr="00825163">
        <w:tc>
          <w:tcPr>
            <w:tcW w:w="3471" w:type="dxa"/>
            <w:vAlign w:val="bottom"/>
          </w:tcPr>
          <w:p w14:paraId="7721B22E" w14:textId="77777777" w:rsidR="00BB2CB4" w:rsidRPr="00222C32" w:rsidRDefault="000674DA">
            <w:pPr>
              <w:pStyle w:val="SummaryMeasureTitlewithTheme"/>
            </w:pPr>
            <w:r w:rsidRPr="00222C32">
              <w:t>Upgrading Health Infrastructure</w:t>
            </w:r>
          </w:p>
        </w:tc>
        <w:tc>
          <w:tcPr>
            <w:tcW w:w="850" w:type="dxa"/>
            <w:vAlign w:val="bottom"/>
          </w:tcPr>
          <w:p w14:paraId="62BD79A2" w14:textId="77777777" w:rsidR="00BB2CB4" w:rsidRPr="00222C32" w:rsidRDefault="000674DA">
            <w:pPr>
              <w:pStyle w:val="Summarytabletextrightaligned"/>
            </w:pPr>
            <w:r w:rsidRPr="00222C32">
              <w:t>-</w:t>
            </w:r>
          </w:p>
        </w:tc>
        <w:tc>
          <w:tcPr>
            <w:tcW w:w="850" w:type="dxa"/>
            <w:shd w:val="clear" w:color="auto" w:fill="E6F2FF"/>
            <w:vAlign w:val="bottom"/>
          </w:tcPr>
          <w:p w14:paraId="19F01D7C" w14:textId="77777777" w:rsidR="00BB2CB4" w:rsidRPr="00222C32" w:rsidRDefault="000674DA">
            <w:pPr>
              <w:pStyle w:val="Summarytabletextrightaligned"/>
            </w:pPr>
            <w:r w:rsidRPr="00222C32">
              <w:t>10.0</w:t>
            </w:r>
          </w:p>
        </w:tc>
        <w:tc>
          <w:tcPr>
            <w:tcW w:w="850" w:type="dxa"/>
            <w:vAlign w:val="bottom"/>
          </w:tcPr>
          <w:p w14:paraId="2BA7EB86" w14:textId="77777777" w:rsidR="00BB2CB4" w:rsidRPr="00222C32" w:rsidRDefault="000674DA">
            <w:pPr>
              <w:pStyle w:val="Summarytabletextrightaligned"/>
            </w:pPr>
            <w:r w:rsidRPr="00222C32">
              <w:t>5.0</w:t>
            </w:r>
          </w:p>
        </w:tc>
        <w:tc>
          <w:tcPr>
            <w:tcW w:w="850" w:type="dxa"/>
            <w:vAlign w:val="bottom"/>
          </w:tcPr>
          <w:p w14:paraId="64034679" w14:textId="77777777" w:rsidR="00BB2CB4" w:rsidRPr="00222C32" w:rsidRDefault="000674DA">
            <w:pPr>
              <w:pStyle w:val="Summarytabletextrightaligned"/>
            </w:pPr>
            <w:r w:rsidRPr="00222C32">
              <w:t>40.0</w:t>
            </w:r>
          </w:p>
        </w:tc>
        <w:tc>
          <w:tcPr>
            <w:tcW w:w="850" w:type="dxa"/>
            <w:vAlign w:val="bottom"/>
          </w:tcPr>
          <w:p w14:paraId="6CB38524" w14:textId="77777777" w:rsidR="00BB2CB4" w:rsidRPr="00222C32" w:rsidRDefault="000674DA">
            <w:pPr>
              <w:pStyle w:val="Summarytabletextrightaligned"/>
            </w:pPr>
            <w:r w:rsidRPr="00222C32">
              <w:t>30.0</w:t>
            </w:r>
          </w:p>
        </w:tc>
      </w:tr>
      <w:tr w:rsidR="00BB2CB4" w:rsidRPr="00222C32" w14:paraId="5F98D215" w14:textId="77777777" w:rsidTr="00825163">
        <w:tc>
          <w:tcPr>
            <w:tcW w:w="3471" w:type="dxa"/>
            <w:vAlign w:val="bottom"/>
          </w:tcPr>
          <w:p w14:paraId="49673436" w14:textId="77777777" w:rsidR="00BB2CB4" w:rsidRPr="00222C32" w:rsidRDefault="000674DA">
            <w:pPr>
              <w:pStyle w:val="SummaryMeasureTitlewithTheme"/>
            </w:pPr>
            <w:r w:rsidRPr="00222C32">
              <w:t>Working With Children Checks Reform</w:t>
            </w:r>
          </w:p>
        </w:tc>
        <w:tc>
          <w:tcPr>
            <w:tcW w:w="850" w:type="dxa"/>
            <w:vAlign w:val="bottom"/>
          </w:tcPr>
          <w:p w14:paraId="174AE678" w14:textId="77777777" w:rsidR="00BB2CB4" w:rsidRPr="00222C32" w:rsidRDefault="000674DA">
            <w:pPr>
              <w:pStyle w:val="Summarytabletextrightaligned"/>
            </w:pPr>
            <w:r w:rsidRPr="00222C32">
              <w:t>-</w:t>
            </w:r>
          </w:p>
        </w:tc>
        <w:tc>
          <w:tcPr>
            <w:tcW w:w="850" w:type="dxa"/>
            <w:shd w:val="clear" w:color="auto" w:fill="E6F2FF"/>
            <w:vAlign w:val="bottom"/>
          </w:tcPr>
          <w:p w14:paraId="2F783DD2" w14:textId="77777777" w:rsidR="00BB2CB4" w:rsidRPr="00222C32" w:rsidRDefault="000674DA">
            <w:pPr>
              <w:pStyle w:val="Summarytabletextrightaligned"/>
              <w:rPr>
                <w:lang w:val="en-US"/>
              </w:rPr>
            </w:pPr>
            <w:r w:rsidRPr="69C11E82">
              <w:rPr>
                <w:lang w:val="en-US"/>
              </w:rPr>
              <w:t>nfp</w:t>
            </w:r>
          </w:p>
        </w:tc>
        <w:tc>
          <w:tcPr>
            <w:tcW w:w="850" w:type="dxa"/>
            <w:vAlign w:val="bottom"/>
          </w:tcPr>
          <w:p w14:paraId="32E86BEB" w14:textId="77777777" w:rsidR="00BB2CB4" w:rsidRPr="00222C32" w:rsidRDefault="000674DA">
            <w:pPr>
              <w:pStyle w:val="Summarytabletextrightaligned"/>
              <w:rPr>
                <w:lang w:val="en-US"/>
              </w:rPr>
            </w:pPr>
            <w:r w:rsidRPr="69C11E82">
              <w:rPr>
                <w:lang w:val="en-US"/>
              </w:rPr>
              <w:t>nfp</w:t>
            </w:r>
          </w:p>
        </w:tc>
        <w:tc>
          <w:tcPr>
            <w:tcW w:w="850" w:type="dxa"/>
            <w:vAlign w:val="bottom"/>
          </w:tcPr>
          <w:p w14:paraId="1980ECEA" w14:textId="77777777" w:rsidR="00BB2CB4" w:rsidRPr="00222C32" w:rsidRDefault="000674DA">
            <w:pPr>
              <w:pStyle w:val="Summarytabletextrightaligned"/>
              <w:rPr>
                <w:lang w:val="en-US"/>
              </w:rPr>
            </w:pPr>
            <w:r w:rsidRPr="69C11E82">
              <w:rPr>
                <w:lang w:val="en-US"/>
              </w:rPr>
              <w:t>nfp</w:t>
            </w:r>
          </w:p>
        </w:tc>
        <w:tc>
          <w:tcPr>
            <w:tcW w:w="850" w:type="dxa"/>
            <w:vAlign w:val="bottom"/>
          </w:tcPr>
          <w:p w14:paraId="020D9EFC" w14:textId="77777777" w:rsidR="00BB2CB4" w:rsidRPr="00222C32" w:rsidRDefault="000674DA">
            <w:pPr>
              <w:pStyle w:val="Summarytabletextrightaligned"/>
            </w:pPr>
            <w:r w:rsidRPr="00222C32">
              <w:t>-</w:t>
            </w:r>
          </w:p>
        </w:tc>
      </w:tr>
      <w:tr w:rsidR="00BB2CB4" w:rsidRPr="00222C32" w14:paraId="5A60C667" w14:textId="77777777" w:rsidTr="00825163">
        <w:tc>
          <w:tcPr>
            <w:tcW w:w="3471" w:type="dxa"/>
            <w:vAlign w:val="bottom"/>
          </w:tcPr>
          <w:p w14:paraId="04C053BD" w14:textId="77777777" w:rsidR="00BB2CB4" w:rsidRPr="00222C32" w:rsidRDefault="000674DA">
            <w:pPr>
              <w:pStyle w:val="SummaryAgencyTitle-BP2"/>
            </w:pPr>
            <w:r w:rsidRPr="00222C32">
              <w:t>Housing Australia</w:t>
            </w:r>
          </w:p>
        </w:tc>
        <w:tc>
          <w:tcPr>
            <w:tcW w:w="850" w:type="dxa"/>
          </w:tcPr>
          <w:p w14:paraId="6159378D" w14:textId="77777777" w:rsidR="00BB2CB4" w:rsidRPr="00222C32" w:rsidRDefault="00BB2CB4">
            <w:pPr>
              <w:pStyle w:val="SummaryAgencyTitle-BP2"/>
            </w:pPr>
          </w:p>
        </w:tc>
        <w:tc>
          <w:tcPr>
            <w:tcW w:w="850" w:type="dxa"/>
            <w:shd w:val="clear" w:color="auto" w:fill="E6F2FF"/>
          </w:tcPr>
          <w:p w14:paraId="36B4F769" w14:textId="77777777" w:rsidR="00BB2CB4" w:rsidRPr="00222C32" w:rsidRDefault="00BB2CB4">
            <w:pPr>
              <w:pStyle w:val="SummaryAgencyTitle-BP2"/>
            </w:pPr>
          </w:p>
        </w:tc>
        <w:tc>
          <w:tcPr>
            <w:tcW w:w="850" w:type="dxa"/>
          </w:tcPr>
          <w:p w14:paraId="57845328" w14:textId="77777777" w:rsidR="00BB2CB4" w:rsidRPr="00222C32" w:rsidRDefault="00BB2CB4">
            <w:pPr>
              <w:pStyle w:val="SummaryAgencyTitle-BP2"/>
            </w:pPr>
          </w:p>
        </w:tc>
        <w:tc>
          <w:tcPr>
            <w:tcW w:w="850" w:type="dxa"/>
          </w:tcPr>
          <w:p w14:paraId="0A770179" w14:textId="77777777" w:rsidR="00BB2CB4" w:rsidRPr="00222C32" w:rsidRDefault="00BB2CB4">
            <w:pPr>
              <w:pStyle w:val="SummaryAgencyTitle-BP2"/>
            </w:pPr>
          </w:p>
        </w:tc>
        <w:tc>
          <w:tcPr>
            <w:tcW w:w="850" w:type="dxa"/>
          </w:tcPr>
          <w:p w14:paraId="12802D91" w14:textId="77777777" w:rsidR="00BB2CB4" w:rsidRPr="00222C32" w:rsidRDefault="00BB2CB4">
            <w:pPr>
              <w:pStyle w:val="SummaryAgencyTitle-BP2"/>
            </w:pPr>
          </w:p>
        </w:tc>
      </w:tr>
      <w:tr w:rsidR="00BB2CB4" w:rsidRPr="00222C32" w14:paraId="0538CB61" w14:textId="77777777" w:rsidTr="00825163">
        <w:tc>
          <w:tcPr>
            <w:tcW w:w="3471" w:type="dxa"/>
            <w:vAlign w:val="bottom"/>
          </w:tcPr>
          <w:p w14:paraId="4DA83622" w14:textId="77777777" w:rsidR="00BB2CB4" w:rsidRPr="00222C32" w:rsidRDefault="000674DA">
            <w:pPr>
              <w:pStyle w:val="SummaryMeasureTitlewithTheme"/>
            </w:pPr>
            <w:r w:rsidRPr="00222C32">
              <w:t>Housing Australia Future Fund Round 3(b)</w:t>
            </w:r>
          </w:p>
        </w:tc>
        <w:tc>
          <w:tcPr>
            <w:tcW w:w="850" w:type="dxa"/>
            <w:vAlign w:val="bottom"/>
          </w:tcPr>
          <w:p w14:paraId="49319297" w14:textId="77777777" w:rsidR="00BB2CB4" w:rsidRPr="00222C32" w:rsidRDefault="000674DA">
            <w:pPr>
              <w:pStyle w:val="Summarytabletextrightaligned"/>
            </w:pPr>
            <w:r w:rsidRPr="00222C32">
              <w:t>-</w:t>
            </w:r>
          </w:p>
        </w:tc>
        <w:tc>
          <w:tcPr>
            <w:tcW w:w="850" w:type="dxa"/>
            <w:shd w:val="clear" w:color="auto" w:fill="E6F2FF"/>
            <w:vAlign w:val="bottom"/>
          </w:tcPr>
          <w:p w14:paraId="0DD17556" w14:textId="77777777" w:rsidR="00BB2CB4" w:rsidRPr="00222C32" w:rsidRDefault="000674DA">
            <w:pPr>
              <w:pStyle w:val="Summarytabletextrightaligned"/>
            </w:pPr>
            <w:r w:rsidRPr="00222C32">
              <w:t>-422.2</w:t>
            </w:r>
          </w:p>
        </w:tc>
        <w:tc>
          <w:tcPr>
            <w:tcW w:w="850" w:type="dxa"/>
            <w:vAlign w:val="bottom"/>
          </w:tcPr>
          <w:p w14:paraId="378F2CD9" w14:textId="77777777" w:rsidR="00BB2CB4" w:rsidRPr="00222C32" w:rsidRDefault="000674DA">
            <w:pPr>
              <w:pStyle w:val="Summarytabletextrightaligned"/>
            </w:pPr>
            <w:r w:rsidRPr="00222C32">
              <w:t>-273.6</w:t>
            </w:r>
          </w:p>
        </w:tc>
        <w:tc>
          <w:tcPr>
            <w:tcW w:w="850" w:type="dxa"/>
            <w:vAlign w:val="bottom"/>
          </w:tcPr>
          <w:p w14:paraId="0AB85B0D" w14:textId="77777777" w:rsidR="00BB2CB4" w:rsidRPr="00222C32" w:rsidRDefault="000674DA">
            <w:pPr>
              <w:pStyle w:val="Summarytabletextrightaligned"/>
            </w:pPr>
            <w:r w:rsidRPr="00222C32">
              <w:t>-203.4</w:t>
            </w:r>
          </w:p>
        </w:tc>
        <w:tc>
          <w:tcPr>
            <w:tcW w:w="850" w:type="dxa"/>
            <w:vAlign w:val="bottom"/>
          </w:tcPr>
          <w:p w14:paraId="5D89A982" w14:textId="77777777" w:rsidR="00BB2CB4" w:rsidRPr="00222C32" w:rsidRDefault="000674DA">
            <w:pPr>
              <w:pStyle w:val="Summarytabletextrightaligned"/>
            </w:pPr>
            <w:r w:rsidRPr="00222C32">
              <w:t>150.6</w:t>
            </w:r>
          </w:p>
        </w:tc>
      </w:tr>
      <w:tr w:rsidR="00BB2CB4" w:rsidRPr="00222C32" w14:paraId="48F40951" w14:textId="77777777" w:rsidTr="00825163">
        <w:tc>
          <w:tcPr>
            <w:tcW w:w="3471" w:type="dxa"/>
            <w:vAlign w:val="bottom"/>
          </w:tcPr>
          <w:p w14:paraId="6EDEF1F9" w14:textId="77777777" w:rsidR="00BB2CB4" w:rsidRPr="00222C32" w:rsidRDefault="000674DA">
            <w:pPr>
              <w:pStyle w:val="SummaryMeasureTitlewithTheme"/>
            </w:pPr>
            <w:r w:rsidRPr="00222C32">
              <w:t>Support for Homebuyers</w:t>
            </w:r>
          </w:p>
        </w:tc>
        <w:tc>
          <w:tcPr>
            <w:tcW w:w="850" w:type="dxa"/>
            <w:vAlign w:val="bottom"/>
          </w:tcPr>
          <w:p w14:paraId="79F5BDF6" w14:textId="77777777" w:rsidR="00BB2CB4" w:rsidRPr="00222C32" w:rsidRDefault="000674DA">
            <w:pPr>
              <w:pStyle w:val="Summarytabletextrightaligned"/>
            </w:pPr>
            <w:r w:rsidRPr="00222C32">
              <w:t>-</w:t>
            </w:r>
          </w:p>
        </w:tc>
        <w:tc>
          <w:tcPr>
            <w:tcW w:w="850" w:type="dxa"/>
            <w:shd w:val="clear" w:color="auto" w:fill="E6F2FF"/>
            <w:vAlign w:val="bottom"/>
          </w:tcPr>
          <w:p w14:paraId="638584C5" w14:textId="77777777" w:rsidR="00BB2CB4" w:rsidRPr="00222C32" w:rsidRDefault="000674DA">
            <w:pPr>
              <w:pStyle w:val="Summarytabletextrightaligned"/>
            </w:pPr>
            <w:r w:rsidRPr="00222C32">
              <w:t>0.6</w:t>
            </w:r>
          </w:p>
        </w:tc>
        <w:tc>
          <w:tcPr>
            <w:tcW w:w="850" w:type="dxa"/>
            <w:vAlign w:val="bottom"/>
          </w:tcPr>
          <w:p w14:paraId="144363E5" w14:textId="77777777" w:rsidR="00BB2CB4" w:rsidRPr="00222C32" w:rsidRDefault="000674DA">
            <w:pPr>
              <w:pStyle w:val="Summarytabletextrightaligned"/>
            </w:pPr>
            <w:r w:rsidRPr="00222C32">
              <w:t>0.6</w:t>
            </w:r>
          </w:p>
        </w:tc>
        <w:tc>
          <w:tcPr>
            <w:tcW w:w="850" w:type="dxa"/>
            <w:vAlign w:val="bottom"/>
          </w:tcPr>
          <w:p w14:paraId="785BF200" w14:textId="77777777" w:rsidR="00BB2CB4" w:rsidRPr="00222C32" w:rsidRDefault="000674DA">
            <w:pPr>
              <w:pStyle w:val="Summarytabletextrightaligned"/>
            </w:pPr>
            <w:r w:rsidRPr="00222C32">
              <w:t>0.7</w:t>
            </w:r>
          </w:p>
        </w:tc>
        <w:tc>
          <w:tcPr>
            <w:tcW w:w="850" w:type="dxa"/>
            <w:vAlign w:val="bottom"/>
          </w:tcPr>
          <w:p w14:paraId="7A5FD179" w14:textId="77777777" w:rsidR="00BB2CB4" w:rsidRPr="00222C32" w:rsidRDefault="000674DA">
            <w:pPr>
              <w:pStyle w:val="Summarytabletextrightaligned"/>
            </w:pPr>
            <w:r w:rsidRPr="00222C32">
              <w:t>0.7</w:t>
            </w:r>
          </w:p>
        </w:tc>
      </w:tr>
      <w:tr w:rsidR="00BB2CB4" w:rsidRPr="00222C32" w14:paraId="687122EB" w14:textId="77777777" w:rsidTr="00825163">
        <w:tc>
          <w:tcPr>
            <w:tcW w:w="3471" w:type="dxa"/>
            <w:vAlign w:val="bottom"/>
          </w:tcPr>
          <w:p w14:paraId="551633BA" w14:textId="77777777" w:rsidR="00BB2CB4" w:rsidRPr="00222C32" w:rsidRDefault="000674DA">
            <w:pPr>
              <w:pStyle w:val="SummaryAgencyTitle-BP2"/>
            </w:pPr>
            <w:r w:rsidRPr="00222C32">
              <w:t>Inspector‑General of Taxation</w:t>
            </w:r>
          </w:p>
        </w:tc>
        <w:tc>
          <w:tcPr>
            <w:tcW w:w="850" w:type="dxa"/>
          </w:tcPr>
          <w:p w14:paraId="4FCB5577" w14:textId="77777777" w:rsidR="00BB2CB4" w:rsidRPr="00222C32" w:rsidRDefault="00BB2CB4">
            <w:pPr>
              <w:pStyle w:val="SummaryAgencyTitle-BP2"/>
            </w:pPr>
          </w:p>
        </w:tc>
        <w:tc>
          <w:tcPr>
            <w:tcW w:w="850" w:type="dxa"/>
            <w:shd w:val="clear" w:color="auto" w:fill="E6F2FF"/>
          </w:tcPr>
          <w:p w14:paraId="469A897A" w14:textId="77777777" w:rsidR="00BB2CB4" w:rsidRPr="00222C32" w:rsidRDefault="00BB2CB4">
            <w:pPr>
              <w:pStyle w:val="SummaryAgencyTitle-BP2"/>
            </w:pPr>
          </w:p>
        </w:tc>
        <w:tc>
          <w:tcPr>
            <w:tcW w:w="850" w:type="dxa"/>
          </w:tcPr>
          <w:p w14:paraId="3198DF98" w14:textId="77777777" w:rsidR="00BB2CB4" w:rsidRPr="00222C32" w:rsidRDefault="00BB2CB4">
            <w:pPr>
              <w:pStyle w:val="SummaryAgencyTitle-BP2"/>
            </w:pPr>
          </w:p>
        </w:tc>
        <w:tc>
          <w:tcPr>
            <w:tcW w:w="850" w:type="dxa"/>
          </w:tcPr>
          <w:p w14:paraId="50C68EA1" w14:textId="77777777" w:rsidR="00BB2CB4" w:rsidRPr="00222C32" w:rsidRDefault="00BB2CB4">
            <w:pPr>
              <w:pStyle w:val="SummaryAgencyTitle-BP2"/>
            </w:pPr>
          </w:p>
        </w:tc>
        <w:tc>
          <w:tcPr>
            <w:tcW w:w="850" w:type="dxa"/>
          </w:tcPr>
          <w:p w14:paraId="6C5A8A1B" w14:textId="77777777" w:rsidR="00BB2CB4" w:rsidRPr="00222C32" w:rsidRDefault="00BB2CB4">
            <w:pPr>
              <w:pStyle w:val="SummaryAgencyTitle-BP2"/>
            </w:pPr>
          </w:p>
        </w:tc>
      </w:tr>
      <w:tr w:rsidR="00BB2CB4" w:rsidRPr="00222C32" w14:paraId="6AF0A82F" w14:textId="77777777" w:rsidTr="00825163">
        <w:tc>
          <w:tcPr>
            <w:tcW w:w="3471" w:type="dxa"/>
            <w:vAlign w:val="bottom"/>
          </w:tcPr>
          <w:p w14:paraId="57558DFA" w14:textId="77777777" w:rsidR="00BB2CB4" w:rsidRPr="00222C32" w:rsidRDefault="000674DA">
            <w:pPr>
              <w:pStyle w:val="SummaryMeasureTitlewithTheme"/>
            </w:pPr>
            <w:r w:rsidRPr="00222C32">
              <w:t>Treasury Portfolio – additional resourcing(b)</w:t>
            </w:r>
          </w:p>
        </w:tc>
        <w:tc>
          <w:tcPr>
            <w:tcW w:w="850" w:type="dxa"/>
            <w:vAlign w:val="bottom"/>
          </w:tcPr>
          <w:p w14:paraId="08348C49" w14:textId="77777777" w:rsidR="00BB2CB4" w:rsidRPr="00222C32" w:rsidRDefault="000674DA">
            <w:pPr>
              <w:pStyle w:val="Summarytabletextrightaligned"/>
            </w:pPr>
            <w:r w:rsidRPr="00222C32">
              <w:t>-</w:t>
            </w:r>
          </w:p>
        </w:tc>
        <w:tc>
          <w:tcPr>
            <w:tcW w:w="850" w:type="dxa"/>
            <w:shd w:val="clear" w:color="auto" w:fill="E6F2FF"/>
            <w:vAlign w:val="bottom"/>
          </w:tcPr>
          <w:p w14:paraId="62F6858A" w14:textId="77777777" w:rsidR="00BB2CB4" w:rsidRPr="00222C32" w:rsidRDefault="000674DA">
            <w:pPr>
              <w:pStyle w:val="Summarytabletextrightaligned"/>
            </w:pPr>
            <w:r w:rsidRPr="00222C32">
              <w:t>2.3</w:t>
            </w:r>
          </w:p>
        </w:tc>
        <w:tc>
          <w:tcPr>
            <w:tcW w:w="850" w:type="dxa"/>
            <w:vAlign w:val="bottom"/>
          </w:tcPr>
          <w:p w14:paraId="266DE1BE" w14:textId="77777777" w:rsidR="00BB2CB4" w:rsidRPr="00222C32" w:rsidRDefault="000674DA">
            <w:pPr>
              <w:pStyle w:val="Summarytabletextrightaligned"/>
            </w:pPr>
            <w:r w:rsidRPr="00222C32">
              <w:t>2.3</w:t>
            </w:r>
          </w:p>
        </w:tc>
        <w:tc>
          <w:tcPr>
            <w:tcW w:w="850" w:type="dxa"/>
            <w:vAlign w:val="bottom"/>
          </w:tcPr>
          <w:p w14:paraId="6079EAFF" w14:textId="77777777" w:rsidR="00BB2CB4" w:rsidRPr="00222C32" w:rsidRDefault="000674DA">
            <w:pPr>
              <w:pStyle w:val="Summarytabletextrightaligned"/>
            </w:pPr>
            <w:r w:rsidRPr="00222C32">
              <w:t>2.3</w:t>
            </w:r>
          </w:p>
        </w:tc>
        <w:tc>
          <w:tcPr>
            <w:tcW w:w="850" w:type="dxa"/>
            <w:vAlign w:val="bottom"/>
          </w:tcPr>
          <w:p w14:paraId="40392296" w14:textId="77777777" w:rsidR="00BB2CB4" w:rsidRPr="00222C32" w:rsidRDefault="000674DA">
            <w:pPr>
              <w:pStyle w:val="Summarytabletextrightaligned"/>
            </w:pPr>
            <w:r w:rsidRPr="00222C32">
              <w:t>2.3</w:t>
            </w:r>
          </w:p>
        </w:tc>
      </w:tr>
      <w:tr w:rsidR="00BB2CB4" w:rsidRPr="00222C32" w14:paraId="21F551B0" w14:textId="77777777" w:rsidTr="00825163">
        <w:tc>
          <w:tcPr>
            <w:tcW w:w="3471" w:type="dxa"/>
            <w:vAlign w:val="bottom"/>
          </w:tcPr>
          <w:p w14:paraId="2D710F28" w14:textId="77777777" w:rsidR="00BB2CB4" w:rsidRPr="00222C32" w:rsidRDefault="000674DA">
            <w:pPr>
              <w:pStyle w:val="SummaryAgencyTitle-BP2"/>
            </w:pPr>
            <w:r w:rsidRPr="00222C32">
              <w:t>National Competition Council</w:t>
            </w:r>
          </w:p>
        </w:tc>
        <w:tc>
          <w:tcPr>
            <w:tcW w:w="850" w:type="dxa"/>
          </w:tcPr>
          <w:p w14:paraId="655F4393" w14:textId="77777777" w:rsidR="00BB2CB4" w:rsidRPr="00222C32" w:rsidRDefault="00BB2CB4">
            <w:pPr>
              <w:pStyle w:val="SummaryAgencyTitle-BP2"/>
            </w:pPr>
          </w:p>
        </w:tc>
        <w:tc>
          <w:tcPr>
            <w:tcW w:w="850" w:type="dxa"/>
            <w:shd w:val="clear" w:color="auto" w:fill="E6F2FF"/>
          </w:tcPr>
          <w:p w14:paraId="12B05AA3" w14:textId="77777777" w:rsidR="00BB2CB4" w:rsidRPr="00222C32" w:rsidRDefault="00BB2CB4">
            <w:pPr>
              <w:pStyle w:val="SummaryAgencyTitle-BP2"/>
            </w:pPr>
          </w:p>
        </w:tc>
        <w:tc>
          <w:tcPr>
            <w:tcW w:w="850" w:type="dxa"/>
          </w:tcPr>
          <w:p w14:paraId="1291D8D6" w14:textId="77777777" w:rsidR="00BB2CB4" w:rsidRPr="00222C32" w:rsidRDefault="00BB2CB4">
            <w:pPr>
              <w:pStyle w:val="SummaryAgencyTitle-BP2"/>
            </w:pPr>
          </w:p>
        </w:tc>
        <w:tc>
          <w:tcPr>
            <w:tcW w:w="850" w:type="dxa"/>
          </w:tcPr>
          <w:p w14:paraId="0038575F" w14:textId="77777777" w:rsidR="00BB2CB4" w:rsidRPr="00222C32" w:rsidRDefault="00BB2CB4">
            <w:pPr>
              <w:pStyle w:val="SummaryAgencyTitle-BP2"/>
            </w:pPr>
          </w:p>
        </w:tc>
        <w:tc>
          <w:tcPr>
            <w:tcW w:w="850" w:type="dxa"/>
          </w:tcPr>
          <w:p w14:paraId="0C7C91E2" w14:textId="77777777" w:rsidR="00BB2CB4" w:rsidRPr="00222C32" w:rsidRDefault="00BB2CB4">
            <w:pPr>
              <w:pStyle w:val="SummaryAgencyTitle-BP2"/>
            </w:pPr>
          </w:p>
        </w:tc>
      </w:tr>
      <w:tr w:rsidR="00BB2CB4" w:rsidRPr="00222C32" w14:paraId="471E9507" w14:textId="77777777" w:rsidTr="00825163">
        <w:tc>
          <w:tcPr>
            <w:tcW w:w="3471" w:type="dxa"/>
            <w:vAlign w:val="bottom"/>
          </w:tcPr>
          <w:p w14:paraId="5B4B92D6" w14:textId="77777777" w:rsidR="00BB2CB4" w:rsidRPr="00222C32" w:rsidRDefault="000674DA">
            <w:pPr>
              <w:pStyle w:val="SummaryMeasureTitlewithTheme"/>
            </w:pPr>
            <w:r w:rsidRPr="00222C32">
              <w:t>Competition Reforms(b)</w:t>
            </w:r>
          </w:p>
        </w:tc>
        <w:tc>
          <w:tcPr>
            <w:tcW w:w="850" w:type="dxa"/>
            <w:tcBorders>
              <w:bottom w:val="single" w:sz="4" w:space="0" w:color="293F5B"/>
            </w:tcBorders>
            <w:vAlign w:val="bottom"/>
          </w:tcPr>
          <w:p w14:paraId="7D4CF863" w14:textId="77777777" w:rsidR="00BB2CB4" w:rsidRPr="00222C32" w:rsidRDefault="000674DA">
            <w:pPr>
              <w:pStyle w:val="Summarytabletextrightaligned"/>
            </w:pPr>
            <w:r w:rsidRPr="00222C32">
              <w:t>-</w:t>
            </w:r>
          </w:p>
        </w:tc>
        <w:tc>
          <w:tcPr>
            <w:tcW w:w="850" w:type="dxa"/>
            <w:tcBorders>
              <w:bottom w:val="single" w:sz="4" w:space="0" w:color="293F5B"/>
            </w:tcBorders>
            <w:shd w:val="clear" w:color="auto" w:fill="E6F2FF"/>
            <w:vAlign w:val="bottom"/>
          </w:tcPr>
          <w:p w14:paraId="0CE1F1FE" w14:textId="77777777" w:rsidR="00BB2CB4" w:rsidRPr="00222C32" w:rsidRDefault="000674DA">
            <w:pPr>
              <w:pStyle w:val="Summarytabletextrightaligned"/>
            </w:pPr>
            <w:r w:rsidRPr="00222C32">
              <w:t>-</w:t>
            </w:r>
          </w:p>
        </w:tc>
        <w:tc>
          <w:tcPr>
            <w:tcW w:w="850" w:type="dxa"/>
            <w:tcBorders>
              <w:bottom w:val="single" w:sz="4" w:space="0" w:color="293F5B"/>
            </w:tcBorders>
            <w:vAlign w:val="bottom"/>
          </w:tcPr>
          <w:p w14:paraId="530D52D9" w14:textId="77777777" w:rsidR="00BB2CB4" w:rsidRPr="00222C32" w:rsidRDefault="000674DA">
            <w:pPr>
              <w:pStyle w:val="Summarytabletextrightaligned"/>
            </w:pPr>
            <w:r w:rsidRPr="00222C32">
              <w:t>1.6</w:t>
            </w:r>
          </w:p>
        </w:tc>
        <w:tc>
          <w:tcPr>
            <w:tcW w:w="850" w:type="dxa"/>
            <w:tcBorders>
              <w:bottom w:val="single" w:sz="4" w:space="0" w:color="293F5B"/>
            </w:tcBorders>
            <w:vAlign w:val="bottom"/>
          </w:tcPr>
          <w:p w14:paraId="413023CD" w14:textId="77777777" w:rsidR="00BB2CB4" w:rsidRPr="00222C32" w:rsidRDefault="000674DA">
            <w:pPr>
              <w:pStyle w:val="Summarytabletextrightaligned"/>
            </w:pPr>
            <w:r w:rsidRPr="00222C32">
              <w:t>1.7</w:t>
            </w:r>
          </w:p>
        </w:tc>
        <w:tc>
          <w:tcPr>
            <w:tcW w:w="850" w:type="dxa"/>
            <w:tcBorders>
              <w:bottom w:val="single" w:sz="4" w:space="0" w:color="293F5B"/>
            </w:tcBorders>
            <w:vAlign w:val="bottom"/>
          </w:tcPr>
          <w:p w14:paraId="6EDA488F" w14:textId="77777777" w:rsidR="00BB2CB4" w:rsidRPr="00222C32" w:rsidRDefault="000674DA">
            <w:pPr>
              <w:pStyle w:val="Summarytabletextrightaligned"/>
            </w:pPr>
            <w:r w:rsidRPr="00222C32">
              <w:t>1.8</w:t>
            </w:r>
          </w:p>
        </w:tc>
      </w:tr>
      <w:tr w:rsidR="00BB2CB4" w:rsidRPr="00222C32" w14:paraId="199F1480" w14:textId="77777777" w:rsidTr="00825163">
        <w:tc>
          <w:tcPr>
            <w:tcW w:w="3471" w:type="dxa"/>
            <w:vAlign w:val="bottom"/>
          </w:tcPr>
          <w:p w14:paraId="7B4809C7" w14:textId="77777777" w:rsidR="00BB2CB4" w:rsidRPr="00222C32" w:rsidRDefault="000674DA">
            <w:pPr>
              <w:pStyle w:val="Summarytabletextleftalignedbold"/>
            </w:pPr>
            <w:r w:rsidRPr="00222C32">
              <w:t>Portfolio total</w:t>
            </w:r>
          </w:p>
        </w:tc>
        <w:tc>
          <w:tcPr>
            <w:tcW w:w="850" w:type="dxa"/>
            <w:tcBorders>
              <w:top w:val="single" w:sz="4" w:space="0" w:color="293F5B"/>
              <w:bottom w:val="single" w:sz="4" w:space="0" w:color="293F5B"/>
            </w:tcBorders>
            <w:vAlign w:val="bottom"/>
          </w:tcPr>
          <w:p w14:paraId="15AC0823" w14:textId="77777777" w:rsidR="00BB2CB4" w:rsidRPr="00222C32" w:rsidRDefault="000674DA">
            <w:pPr>
              <w:pStyle w:val="Summarytabletextrightalignedbold"/>
            </w:pPr>
            <w:r w:rsidRPr="00222C32">
              <w:t>842.9</w:t>
            </w:r>
          </w:p>
        </w:tc>
        <w:tc>
          <w:tcPr>
            <w:tcW w:w="850" w:type="dxa"/>
            <w:tcBorders>
              <w:top w:val="single" w:sz="4" w:space="0" w:color="293F5B"/>
              <w:bottom w:val="single" w:sz="4" w:space="0" w:color="293F5B"/>
            </w:tcBorders>
            <w:shd w:val="clear" w:color="auto" w:fill="E6F2FF"/>
            <w:vAlign w:val="bottom"/>
          </w:tcPr>
          <w:p w14:paraId="03C0EF79" w14:textId="77777777" w:rsidR="00BB2CB4" w:rsidRPr="00222C32" w:rsidRDefault="000674DA">
            <w:pPr>
              <w:pStyle w:val="Summarytabletextrightalignedbold"/>
            </w:pPr>
            <w:r w:rsidRPr="00222C32">
              <w:t>187.1</w:t>
            </w:r>
          </w:p>
        </w:tc>
        <w:tc>
          <w:tcPr>
            <w:tcW w:w="850" w:type="dxa"/>
            <w:tcBorders>
              <w:top w:val="single" w:sz="4" w:space="0" w:color="293F5B"/>
              <w:bottom w:val="single" w:sz="4" w:space="0" w:color="293F5B"/>
            </w:tcBorders>
            <w:vAlign w:val="bottom"/>
          </w:tcPr>
          <w:p w14:paraId="1BAFB6BF" w14:textId="77777777" w:rsidR="00BB2CB4" w:rsidRPr="00222C32" w:rsidRDefault="000674DA">
            <w:pPr>
              <w:pStyle w:val="Summarytabletextrightalignedbold"/>
            </w:pPr>
            <w:r w:rsidRPr="00222C32">
              <w:t>355.7</w:t>
            </w:r>
          </w:p>
        </w:tc>
        <w:tc>
          <w:tcPr>
            <w:tcW w:w="850" w:type="dxa"/>
            <w:tcBorders>
              <w:top w:val="single" w:sz="4" w:space="0" w:color="293F5B"/>
              <w:bottom w:val="single" w:sz="4" w:space="0" w:color="293F5B"/>
            </w:tcBorders>
            <w:vAlign w:val="bottom"/>
          </w:tcPr>
          <w:p w14:paraId="3F02834C" w14:textId="77777777" w:rsidR="00BB2CB4" w:rsidRPr="00222C32" w:rsidRDefault="000674DA">
            <w:pPr>
              <w:pStyle w:val="Summarytabletextrightalignedbold"/>
            </w:pPr>
            <w:r w:rsidRPr="00222C32">
              <w:t>452.9</w:t>
            </w:r>
          </w:p>
        </w:tc>
        <w:tc>
          <w:tcPr>
            <w:tcW w:w="850" w:type="dxa"/>
            <w:tcBorders>
              <w:top w:val="single" w:sz="4" w:space="0" w:color="293F5B"/>
              <w:bottom w:val="single" w:sz="4" w:space="0" w:color="293F5B"/>
            </w:tcBorders>
            <w:vAlign w:val="bottom"/>
          </w:tcPr>
          <w:p w14:paraId="5E73C024" w14:textId="77777777" w:rsidR="00BB2CB4" w:rsidRPr="00222C32" w:rsidRDefault="000674DA">
            <w:pPr>
              <w:pStyle w:val="Summarytabletextrightalignedbold"/>
            </w:pPr>
            <w:r w:rsidRPr="00222C32">
              <w:t>793.0</w:t>
            </w:r>
          </w:p>
        </w:tc>
      </w:tr>
      <w:tr w:rsidR="00BB2CB4" w:rsidRPr="00222C32" w14:paraId="0EC8258A" w14:textId="77777777" w:rsidTr="00825163">
        <w:tc>
          <w:tcPr>
            <w:tcW w:w="3471" w:type="dxa"/>
            <w:vAlign w:val="bottom"/>
          </w:tcPr>
          <w:p w14:paraId="06E229CD" w14:textId="3CD4EE6E" w:rsidR="00BB2CB4" w:rsidRPr="00222C32" w:rsidRDefault="000674DA">
            <w:pPr>
              <w:pStyle w:val="Summarytabletextleftalignedbold"/>
            </w:pPr>
            <w:r w:rsidRPr="00222C32">
              <w:t>Decisions taken but not yet announced</w:t>
            </w:r>
            <w:r w:rsidR="005075F1">
              <w:t xml:space="preserve"> and not for publication</w:t>
            </w:r>
          </w:p>
        </w:tc>
        <w:tc>
          <w:tcPr>
            <w:tcW w:w="850" w:type="dxa"/>
            <w:tcBorders>
              <w:top w:val="single" w:sz="4" w:space="0" w:color="293F5B"/>
              <w:bottom w:val="single" w:sz="4" w:space="0" w:color="293F5B"/>
            </w:tcBorders>
            <w:vAlign w:val="bottom"/>
          </w:tcPr>
          <w:p w14:paraId="2D6A52E6" w14:textId="77777777" w:rsidR="00BB2CB4" w:rsidRPr="00222C32" w:rsidRDefault="000674DA">
            <w:pPr>
              <w:pStyle w:val="Summarytabletextrightalignedbold"/>
            </w:pPr>
            <w:r w:rsidRPr="00222C32">
              <w:t>-</w:t>
            </w:r>
          </w:p>
        </w:tc>
        <w:tc>
          <w:tcPr>
            <w:tcW w:w="850" w:type="dxa"/>
            <w:tcBorders>
              <w:top w:val="single" w:sz="4" w:space="0" w:color="293F5B"/>
              <w:bottom w:val="single" w:sz="4" w:space="0" w:color="293F5B"/>
            </w:tcBorders>
            <w:shd w:val="clear" w:color="auto" w:fill="E6F2FF"/>
            <w:vAlign w:val="bottom"/>
          </w:tcPr>
          <w:p w14:paraId="62FB0896" w14:textId="4FCBB95E" w:rsidR="00BB2CB4" w:rsidRPr="00222C32" w:rsidRDefault="000674DA">
            <w:pPr>
              <w:pStyle w:val="Summarytabletextrightalignedbold"/>
            </w:pPr>
            <w:r w:rsidRPr="00222C32">
              <w:t>7</w:t>
            </w:r>
            <w:r w:rsidR="005075F1">
              <w:t>23.3</w:t>
            </w:r>
          </w:p>
        </w:tc>
        <w:tc>
          <w:tcPr>
            <w:tcW w:w="850" w:type="dxa"/>
            <w:tcBorders>
              <w:top w:val="single" w:sz="4" w:space="0" w:color="293F5B"/>
              <w:bottom w:val="single" w:sz="4" w:space="0" w:color="293F5B"/>
            </w:tcBorders>
            <w:vAlign w:val="bottom"/>
          </w:tcPr>
          <w:p w14:paraId="538543D3" w14:textId="77777777" w:rsidR="00BB2CB4" w:rsidRPr="00222C32" w:rsidRDefault="000674DA">
            <w:pPr>
              <w:pStyle w:val="Summarytabletextrightalignedbold"/>
            </w:pPr>
            <w:r w:rsidRPr="00222C32">
              <w:t>1,273.2</w:t>
            </w:r>
          </w:p>
        </w:tc>
        <w:tc>
          <w:tcPr>
            <w:tcW w:w="850" w:type="dxa"/>
            <w:tcBorders>
              <w:top w:val="single" w:sz="4" w:space="0" w:color="293F5B"/>
              <w:bottom w:val="single" w:sz="4" w:space="0" w:color="293F5B"/>
            </w:tcBorders>
            <w:vAlign w:val="bottom"/>
          </w:tcPr>
          <w:p w14:paraId="3A87CD9E" w14:textId="77777777" w:rsidR="00BB2CB4" w:rsidRPr="00222C32" w:rsidRDefault="000674DA">
            <w:pPr>
              <w:pStyle w:val="Summarytabletextrightalignedbold"/>
            </w:pPr>
            <w:r w:rsidRPr="00222C32">
              <w:t>121.8</w:t>
            </w:r>
          </w:p>
        </w:tc>
        <w:tc>
          <w:tcPr>
            <w:tcW w:w="850" w:type="dxa"/>
            <w:tcBorders>
              <w:top w:val="single" w:sz="4" w:space="0" w:color="293F5B"/>
              <w:bottom w:val="single" w:sz="4" w:space="0" w:color="293F5B"/>
            </w:tcBorders>
            <w:vAlign w:val="bottom"/>
          </w:tcPr>
          <w:p w14:paraId="06E809AF" w14:textId="77777777" w:rsidR="00BB2CB4" w:rsidRPr="00222C32" w:rsidRDefault="000674DA">
            <w:pPr>
              <w:pStyle w:val="Summarytabletextrightalignedbold"/>
            </w:pPr>
            <w:r w:rsidRPr="00222C32">
              <w:t>-1,136.7</w:t>
            </w:r>
          </w:p>
        </w:tc>
      </w:tr>
      <w:tr w:rsidR="00BB2CB4" w:rsidRPr="00222C32" w14:paraId="7C175D2E" w14:textId="77777777" w:rsidTr="00825163">
        <w:tc>
          <w:tcPr>
            <w:tcW w:w="3471" w:type="dxa"/>
            <w:tcBorders>
              <w:bottom w:val="single" w:sz="4" w:space="0" w:color="293F5B"/>
            </w:tcBorders>
            <w:vAlign w:val="bottom"/>
          </w:tcPr>
          <w:p w14:paraId="2F54E3FE" w14:textId="559328F5" w:rsidR="00BB2CB4" w:rsidRPr="00222C32" w:rsidRDefault="000674DA">
            <w:pPr>
              <w:pStyle w:val="Summarytabletextleftalignedbold"/>
            </w:pPr>
            <w:r w:rsidRPr="00222C32">
              <w:t>Total impact of payment measures(</w:t>
            </w:r>
            <w:r w:rsidR="005075F1">
              <w:t>c</w:t>
            </w:r>
            <w:r w:rsidRPr="00222C32">
              <w:t>)</w:t>
            </w:r>
          </w:p>
        </w:tc>
        <w:tc>
          <w:tcPr>
            <w:tcW w:w="850" w:type="dxa"/>
            <w:tcBorders>
              <w:top w:val="single" w:sz="4" w:space="0" w:color="293F5B"/>
              <w:bottom w:val="single" w:sz="4" w:space="0" w:color="293F5B"/>
            </w:tcBorders>
            <w:vAlign w:val="bottom"/>
          </w:tcPr>
          <w:p w14:paraId="66BB5E57" w14:textId="77777777" w:rsidR="00BB2CB4" w:rsidRPr="00222C32" w:rsidRDefault="000674DA">
            <w:pPr>
              <w:pStyle w:val="Summarytabletextrightalignedbold"/>
            </w:pPr>
            <w:r w:rsidRPr="00222C32">
              <w:t>840.9</w:t>
            </w:r>
          </w:p>
        </w:tc>
        <w:tc>
          <w:tcPr>
            <w:tcW w:w="850" w:type="dxa"/>
            <w:tcBorders>
              <w:top w:val="single" w:sz="4" w:space="0" w:color="293F5B"/>
              <w:bottom w:val="single" w:sz="4" w:space="0" w:color="293F5B"/>
            </w:tcBorders>
            <w:shd w:val="clear" w:color="auto" w:fill="E6F2FF"/>
            <w:vAlign w:val="bottom"/>
          </w:tcPr>
          <w:p w14:paraId="3D1F0BFE" w14:textId="77777777" w:rsidR="00BB2CB4" w:rsidRPr="00222C32" w:rsidRDefault="000674DA">
            <w:pPr>
              <w:pStyle w:val="Summarytabletextrightalignedbold"/>
            </w:pPr>
            <w:r w:rsidRPr="00222C32">
              <w:t>1,757.6</w:t>
            </w:r>
          </w:p>
        </w:tc>
        <w:tc>
          <w:tcPr>
            <w:tcW w:w="850" w:type="dxa"/>
            <w:tcBorders>
              <w:top w:val="single" w:sz="4" w:space="0" w:color="293F5B"/>
              <w:bottom w:val="single" w:sz="4" w:space="0" w:color="293F5B"/>
            </w:tcBorders>
            <w:vAlign w:val="bottom"/>
          </w:tcPr>
          <w:p w14:paraId="6B1BE7B0" w14:textId="77777777" w:rsidR="00BB2CB4" w:rsidRPr="00222C32" w:rsidRDefault="000674DA">
            <w:pPr>
              <w:pStyle w:val="Summarytabletextrightalignedbold"/>
            </w:pPr>
            <w:r w:rsidRPr="00222C32">
              <w:t>44.0</w:t>
            </w:r>
          </w:p>
        </w:tc>
        <w:tc>
          <w:tcPr>
            <w:tcW w:w="850" w:type="dxa"/>
            <w:tcBorders>
              <w:top w:val="single" w:sz="4" w:space="0" w:color="293F5B"/>
              <w:bottom w:val="single" w:sz="4" w:space="0" w:color="293F5B"/>
            </w:tcBorders>
            <w:vAlign w:val="bottom"/>
          </w:tcPr>
          <w:p w14:paraId="289431AA" w14:textId="77777777" w:rsidR="00BB2CB4" w:rsidRPr="00222C32" w:rsidRDefault="000674DA">
            <w:pPr>
              <w:pStyle w:val="Summarytabletextrightalignedbold"/>
            </w:pPr>
            <w:r w:rsidRPr="00222C32">
              <w:t>-2,156.0</w:t>
            </w:r>
          </w:p>
        </w:tc>
        <w:tc>
          <w:tcPr>
            <w:tcW w:w="850" w:type="dxa"/>
            <w:tcBorders>
              <w:top w:val="single" w:sz="4" w:space="0" w:color="293F5B"/>
              <w:bottom w:val="single" w:sz="4" w:space="0" w:color="293F5B"/>
            </w:tcBorders>
            <w:vAlign w:val="bottom"/>
          </w:tcPr>
          <w:p w14:paraId="584221CB" w14:textId="77777777" w:rsidR="00BB2CB4" w:rsidRPr="00222C32" w:rsidRDefault="000674DA">
            <w:pPr>
              <w:pStyle w:val="Summarytabletextrightalignedbold"/>
            </w:pPr>
            <w:r w:rsidRPr="00222C32">
              <w:t>-3,399.2</w:t>
            </w:r>
          </w:p>
        </w:tc>
      </w:tr>
    </w:tbl>
    <w:p w14:paraId="77CF69E8" w14:textId="77777777" w:rsidR="00BB2CB4" w:rsidRDefault="000674DA">
      <w:pPr>
        <w:pStyle w:val="ChartandTableFootnote"/>
      </w:pPr>
      <w:r>
        <w:t>*</w:t>
      </w:r>
      <w:r>
        <w:tab/>
        <w:t>The nature of the measure is such that a reliable estimate cannot be provided.</w:t>
      </w:r>
    </w:p>
    <w:p w14:paraId="6B1ED061" w14:textId="77777777" w:rsidR="00BB2CB4" w:rsidRDefault="000674DA">
      <w:pPr>
        <w:pStyle w:val="ChartandTableFootnote"/>
      </w:pPr>
      <w:r w:rsidRPr="69C11E82">
        <w:rPr>
          <w:lang w:val="en-US"/>
        </w:rPr>
        <w:t>..</w:t>
      </w:r>
      <w:r>
        <w:tab/>
      </w:r>
      <w:r w:rsidRPr="69C11E82">
        <w:rPr>
          <w:lang w:val="en-US"/>
        </w:rPr>
        <w:t>Not zero, but rounded to zero.</w:t>
      </w:r>
    </w:p>
    <w:p w14:paraId="182D170C" w14:textId="6A31E4EC" w:rsidR="00BB2CB4" w:rsidRDefault="00222C32">
      <w:pPr>
        <w:pStyle w:val="ChartandTableFootnote"/>
      </w:pPr>
      <w:r>
        <w:noBreakHyphen/>
      </w:r>
      <w:r w:rsidR="000674DA">
        <w:tab/>
        <w:t>Nil.</w:t>
      </w:r>
    </w:p>
    <w:p w14:paraId="14D9D9F0" w14:textId="77777777" w:rsidR="00BB2CB4" w:rsidRDefault="000674DA">
      <w:pPr>
        <w:pStyle w:val="ChartandTableFootnote"/>
      </w:pPr>
      <w:r w:rsidRPr="69C11E82">
        <w:rPr>
          <w:lang w:val="en-US"/>
        </w:rPr>
        <w:t>nfp</w:t>
      </w:r>
      <w:r>
        <w:tab/>
      </w:r>
      <w:r w:rsidRPr="69C11E82">
        <w:rPr>
          <w:lang w:val="en-US"/>
        </w:rPr>
        <w:t>not for publication.</w:t>
      </w:r>
    </w:p>
    <w:p w14:paraId="048A96F8" w14:textId="77777777" w:rsidR="00BB2CB4" w:rsidRDefault="000674DA" w:rsidP="00825163">
      <w:pPr>
        <w:pStyle w:val="ChartandTableFootnoteAlpha"/>
        <w:numPr>
          <w:ilvl w:val="0"/>
          <w:numId w:val="41"/>
        </w:numPr>
      </w:pPr>
      <w:r w:rsidRPr="69C11E82">
        <w:rPr>
          <w:lang w:val="en-US"/>
        </w:rPr>
        <w:t>A minus sign before an estimate indicates a reduction in payments, no sign before an estimate indicates increased payments.</w:t>
      </w:r>
    </w:p>
    <w:p w14:paraId="53CE6635" w14:textId="77777777" w:rsidR="00BB2CB4" w:rsidRDefault="000674DA">
      <w:pPr>
        <w:pStyle w:val="ChartandTableFootnoteAlpha"/>
      </w:pPr>
      <w:r w:rsidRPr="69C11E82">
        <w:rPr>
          <w:lang w:val="en-US"/>
        </w:rPr>
        <w:t>These measures can also be found in the receipt measures summary table.</w:t>
      </w:r>
    </w:p>
    <w:p w14:paraId="5371F8FB" w14:textId="77777777" w:rsidR="00BB2CB4" w:rsidRDefault="000674DA">
      <w:pPr>
        <w:pStyle w:val="ChartandTableFootnoteAlpha"/>
      </w:pPr>
      <w:r w:rsidRPr="69C11E82">
        <w:rPr>
          <w:lang w:val="en-US"/>
        </w:rPr>
        <w:t>Measures may not add due to rounding.</w:t>
      </w:r>
    </w:p>
    <w:p w14:paraId="6B6D70AA" w14:textId="77777777" w:rsidR="00FA4136" w:rsidRPr="00E51D17" w:rsidRDefault="00FA4136" w:rsidP="00E51D17">
      <w:pPr>
        <w:pBdr>
          <w:bottom w:val="single" w:sz="4" w:space="2" w:color="626A77"/>
        </w:pBdr>
        <w:spacing w:after="240"/>
        <w:rPr>
          <w:rFonts w:ascii="Book Antiqua" w:hAnsi="Book Antiqua"/>
          <w:sz w:val="4"/>
          <w:lang w:val="en-AU" w:eastAsia="en-US"/>
        </w:rPr>
      </w:pPr>
    </w:p>
    <w:p w14:paraId="4E92C212" w14:textId="77777777" w:rsidR="00BB2CB4" w:rsidRDefault="00BB2CB4"/>
    <w:p w14:paraId="5669923E" w14:textId="77777777" w:rsidR="00FA4136" w:rsidRDefault="00FA4136">
      <w:pPr>
        <w:sectPr w:rsidR="00FA4136" w:rsidSect="00301ACF">
          <w:pgSz w:w="11906" w:h="16838" w:code="9"/>
          <w:pgMar w:top="2835" w:right="2098" w:bottom="2466" w:left="2098" w:header="1814" w:footer="1814" w:gutter="0"/>
          <w:cols w:space="720"/>
          <w:docGrid w:linePitch="272"/>
        </w:sectPr>
      </w:pPr>
    </w:p>
    <w:p w14:paraId="2B1C454B" w14:textId="77777777" w:rsidR="00BB2CB4" w:rsidRDefault="000674DA" w:rsidP="00B0077E">
      <w:pPr>
        <w:pStyle w:val="PortfolioName"/>
        <w:spacing w:before="0"/>
      </w:pPr>
      <w:r>
        <w:lastRenderedPageBreak/>
        <w:t>Agriculture, Fisheries and Forestry</w:t>
      </w:r>
    </w:p>
    <w:p w14:paraId="769B0FE1" w14:textId="77777777" w:rsidR="00BB2CB4" w:rsidRDefault="000674DA">
      <w:pPr>
        <w:pStyle w:val="MeasureTitle"/>
      </w:pPr>
      <w:r>
        <w:t>Forestry Growth Fund</w:t>
      </w:r>
    </w:p>
    <w:p w14:paraId="35BD2F7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6F659B7" w14:textId="77777777" w:rsidTr="00825163">
        <w:tc>
          <w:tcPr>
            <w:tcW w:w="2501" w:type="dxa"/>
            <w:tcBorders>
              <w:top w:val="single" w:sz="4" w:space="0" w:color="293F5B"/>
              <w:bottom w:val="single" w:sz="4" w:space="0" w:color="293F5B"/>
            </w:tcBorders>
          </w:tcPr>
          <w:p w14:paraId="35D1A98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761E26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137905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BAA1EC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86C37D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AA855F5" w14:textId="77777777" w:rsidR="00BB2CB4" w:rsidRPr="00222C32" w:rsidRDefault="000674DA">
            <w:pPr>
              <w:pStyle w:val="MeasureTableYearHeadings"/>
              <w:keepNext/>
            </w:pPr>
            <w:r w:rsidRPr="00222C32">
              <w:t>2028-29</w:t>
            </w:r>
          </w:p>
        </w:tc>
      </w:tr>
      <w:tr w:rsidR="00BB2CB4" w:rsidRPr="00222C32" w14:paraId="5D7ED275" w14:textId="77777777" w:rsidTr="00825163">
        <w:tc>
          <w:tcPr>
            <w:tcW w:w="2501" w:type="dxa"/>
            <w:tcBorders>
              <w:top w:val="single" w:sz="4" w:space="0" w:color="293F5B"/>
              <w:bottom w:val="single" w:sz="4" w:space="0" w:color="293F5B"/>
            </w:tcBorders>
          </w:tcPr>
          <w:p w14:paraId="73DCA6C8"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72F736A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0F9539B" w14:textId="77777777" w:rsidR="00BB2CB4" w:rsidRPr="00222C32" w:rsidRDefault="000674DA">
            <w:pPr>
              <w:pStyle w:val="MeasureTableDataRightAlignedwith2ptsspacing"/>
              <w:keepNext/>
            </w:pPr>
            <w:r w:rsidRPr="00222C32">
              <w:t>10.0</w:t>
            </w:r>
          </w:p>
        </w:tc>
        <w:tc>
          <w:tcPr>
            <w:tcW w:w="1044" w:type="dxa"/>
            <w:tcBorders>
              <w:top w:val="single" w:sz="4" w:space="0" w:color="293F5B"/>
              <w:bottom w:val="single" w:sz="4" w:space="0" w:color="293F5B"/>
            </w:tcBorders>
          </w:tcPr>
          <w:p w14:paraId="4809232C" w14:textId="77777777" w:rsidR="00BB2CB4" w:rsidRPr="00222C32" w:rsidRDefault="000674DA">
            <w:pPr>
              <w:pStyle w:val="MeasureTableDataRightAlignedwith2ptsspacing"/>
              <w:keepNext/>
            </w:pPr>
            <w:r w:rsidRPr="00222C32">
              <w:t>20.0</w:t>
            </w:r>
          </w:p>
        </w:tc>
        <w:tc>
          <w:tcPr>
            <w:tcW w:w="1044" w:type="dxa"/>
            <w:tcBorders>
              <w:top w:val="single" w:sz="4" w:space="0" w:color="293F5B"/>
              <w:bottom w:val="single" w:sz="4" w:space="0" w:color="293F5B"/>
            </w:tcBorders>
          </w:tcPr>
          <w:p w14:paraId="21971BDD" w14:textId="77777777" w:rsidR="00BB2CB4" w:rsidRPr="00222C32" w:rsidRDefault="000674DA">
            <w:pPr>
              <w:pStyle w:val="MeasureTableDataRightAlignedwith2ptsspacing"/>
              <w:keepNext/>
            </w:pPr>
            <w:r w:rsidRPr="00222C32">
              <w:t>50.0</w:t>
            </w:r>
          </w:p>
        </w:tc>
        <w:tc>
          <w:tcPr>
            <w:tcW w:w="1044" w:type="dxa"/>
            <w:tcBorders>
              <w:top w:val="single" w:sz="4" w:space="0" w:color="293F5B"/>
              <w:bottom w:val="single" w:sz="4" w:space="0" w:color="293F5B"/>
            </w:tcBorders>
          </w:tcPr>
          <w:p w14:paraId="3D14AEB3" w14:textId="77777777" w:rsidR="00BB2CB4" w:rsidRPr="00222C32" w:rsidRDefault="000674DA">
            <w:pPr>
              <w:pStyle w:val="MeasureTableDataRightAlignedwith2ptsspacing"/>
              <w:keepNext/>
            </w:pPr>
            <w:r w:rsidRPr="00222C32">
              <w:t>40.0</w:t>
            </w:r>
          </w:p>
        </w:tc>
      </w:tr>
      <w:tr w:rsidR="00BB2CB4" w:rsidRPr="00222C32" w14:paraId="73F53D53" w14:textId="77777777" w:rsidTr="00825163">
        <w:tc>
          <w:tcPr>
            <w:tcW w:w="2501" w:type="dxa"/>
            <w:tcBorders>
              <w:top w:val="single" w:sz="4" w:space="0" w:color="293F5B"/>
              <w:bottom w:val="single" w:sz="4" w:space="0" w:color="293F5B"/>
            </w:tcBorders>
          </w:tcPr>
          <w:p w14:paraId="655CACA4" w14:textId="77777777" w:rsidR="00BB2CB4" w:rsidRPr="00222C32" w:rsidRDefault="000674DA">
            <w:pPr>
              <w:pStyle w:val="MeasureTableHeadingleftalignedwith2ptsspacing"/>
              <w:keepNext/>
            </w:pPr>
            <w:r w:rsidRPr="00222C32">
              <w:t>National Reconstruction Fund Corporation</w:t>
            </w:r>
          </w:p>
        </w:tc>
        <w:tc>
          <w:tcPr>
            <w:tcW w:w="1044" w:type="dxa"/>
            <w:tcBorders>
              <w:top w:val="single" w:sz="4" w:space="0" w:color="293F5B"/>
              <w:bottom w:val="single" w:sz="4" w:space="0" w:color="293F5B"/>
            </w:tcBorders>
          </w:tcPr>
          <w:p w14:paraId="2F57FD2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D967D8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15A9A2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D7C80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0212E2C" w14:textId="77777777" w:rsidR="00BB2CB4" w:rsidRPr="00222C32" w:rsidRDefault="000674DA">
            <w:pPr>
              <w:pStyle w:val="MeasureTableDataRightAlignedwith2ptsspacing"/>
              <w:keepNext/>
            </w:pPr>
            <w:r w:rsidRPr="00222C32">
              <w:t>-</w:t>
            </w:r>
          </w:p>
        </w:tc>
      </w:tr>
      <w:tr w:rsidR="00BB2CB4" w:rsidRPr="00222C32" w14:paraId="27D56E4B" w14:textId="77777777" w:rsidTr="00825163">
        <w:tc>
          <w:tcPr>
            <w:tcW w:w="2501" w:type="dxa"/>
            <w:tcBorders>
              <w:top w:val="single" w:sz="4" w:space="0" w:color="293F5B"/>
              <w:bottom w:val="single" w:sz="4" w:space="0" w:color="293F5B"/>
            </w:tcBorders>
          </w:tcPr>
          <w:p w14:paraId="223E9636"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6154F3C"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A8DA4CA" w14:textId="77777777" w:rsidR="00BB2CB4" w:rsidRPr="00222C32" w:rsidRDefault="000674DA">
            <w:pPr>
              <w:pStyle w:val="Totaldatarowrightaligned"/>
              <w:keepNext/>
            </w:pPr>
            <w:r w:rsidRPr="00222C32">
              <w:t>10.0</w:t>
            </w:r>
          </w:p>
        </w:tc>
        <w:tc>
          <w:tcPr>
            <w:tcW w:w="1044" w:type="dxa"/>
            <w:tcBorders>
              <w:top w:val="single" w:sz="4" w:space="0" w:color="293F5B"/>
              <w:bottom w:val="single" w:sz="4" w:space="0" w:color="293F5B"/>
            </w:tcBorders>
          </w:tcPr>
          <w:p w14:paraId="76F793C0" w14:textId="77777777" w:rsidR="00BB2CB4" w:rsidRPr="00222C32" w:rsidRDefault="000674DA">
            <w:pPr>
              <w:pStyle w:val="Totaldatarowrightaligned"/>
              <w:keepNext/>
            </w:pPr>
            <w:r w:rsidRPr="00222C32">
              <w:t>20.0</w:t>
            </w:r>
          </w:p>
        </w:tc>
        <w:tc>
          <w:tcPr>
            <w:tcW w:w="1044" w:type="dxa"/>
            <w:tcBorders>
              <w:top w:val="single" w:sz="4" w:space="0" w:color="293F5B"/>
              <w:bottom w:val="single" w:sz="4" w:space="0" w:color="293F5B"/>
            </w:tcBorders>
          </w:tcPr>
          <w:p w14:paraId="12EC19B3" w14:textId="77777777" w:rsidR="00BB2CB4" w:rsidRPr="00222C32" w:rsidRDefault="000674DA">
            <w:pPr>
              <w:pStyle w:val="Totaldatarowrightaligned"/>
              <w:keepNext/>
            </w:pPr>
            <w:r w:rsidRPr="00222C32">
              <w:t>50.0</w:t>
            </w:r>
          </w:p>
        </w:tc>
        <w:tc>
          <w:tcPr>
            <w:tcW w:w="1044" w:type="dxa"/>
            <w:tcBorders>
              <w:top w:val="single" w:sz="4" w:space="0" w:color="293F5B"/>
              <w:bottom w:val="single" w:sz="4" w:space="0" w:color="293F5B"/>
            </w:tcBorders>
          </w:tcPr>
          <w:p w14:paraId="06A29FB4" w14:textId="77777777" w:rsidR="00BB2CB4" w:rsidRPr="00222C32" w:rsidRDefault="000674DA">
            <w:pPr>
              <w:pStyle w:val="Totaldatarowrightaligned"/>
              <w:keepNext/>
            </w:pPr>
            <w:r w:rsidRPr="00222C32">
              <w:t>40.0</w:t>
            </w:r>
          </w:p>
        </w:tc>
      </w:tr>
      <w:tr w:rsidR="00BB2CB4" w:rsidRPr="00222C32" w14:paraId="53FAFD82" w14:textId="77777777" w:rsidTr="00825163">
        <w:tc>
          <w:tcPr>
            <w:tcW w:w="2501" w:type="dxa"/>
            <w:tcBorders>
              <w:top w:val="single" w:sz="4" w:space="0" w:color="293F5B"/>
              <w:bottom w:val="nil"/>
            </w:tcBorders>
          </w:tcPr>
          <w:p w14:paraId="41F50C09"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70DB9879" w14:textId="77777777" w:rsidR="00BB2CB4" w:rsidRPr="00222C32" w:rsidRDefault="00BB2CB4">
            <w:pPr>
              <w:pStyle w:val="AgencyName"/>
              <w:keepNext/>
            </w:pPr>
          </w:p>
        </w:tc>
        <w:tc>
          <w:tcPr>
            <w:tcW w:w="1044" w:type="dxa"/>
            <w:tcBorders>
              <w:top w:val="single" w:sz="4" w:space="0" w:color="293F5B"/>
              <w:bottom w:val="nil"/>
            </w:tcBorders>
          </w:tcPr>
          <w:p w14:paraId="337546AE" w14:textId="77777777" w:rsidR="00BB2CB4" w:rsidRPr="00222C32" w:rsidRDefault="00BB2CB4">
            <w:pPr>
              <w:pStyle w:val="AgencyName"/>
              <w:keepNext/>
            </w:pPr>
          </w:p>
        </w:tc>
        <w:tc>
          <w:tcPr>
            <w:tcW w:w="1044" w:type="dxa"/>
            <w:tcBorders>
              <w:top w:val="single" w:sz="4" w:space="0" w:color="293F5B"/>
              <w:bottom w:val="nil"/>
            </w:tcBorders>
          </w:tcPr>
          <w:p w14:paraId="35254A44" w14:textId="77777777" w:rsidR="00BB2CB4" w:rsidRPr="00222C32" w:rsidRDefault="00BB2CB4">
            <w:pPr>
              <w:pStyle w:val="AgencyName"/>
              <w:keepNext/>
            </w:pPr>
          </w:p>
        </w:tc>
        <w:tc>
          <w:tcPr>
            <w:tcW w:w="1044" w:type="dxa"/>
            <w:tcBorders>
              <w:top w:val="single" w:sz="4" w:space="0" w:color="293F5B"/>
              <w:bottom w:val="nil"/>
            </w:tcBorders>
          </w:tcPr>
          <w:p w14:paraId="729EF05C" w14:textId="77777777" w:rsidR="00BB2CB4" w:rsidRPr="00222C32" w:rsidRDefault="00BB2CB4">
            <w:pPr>
              <w:pStyle w:val="AgencyName"/>
              <w:keepNext/>
            </w:pPr>
          </w:p>
        </w:tc>
        <w:tc>
          <w:tcPr>
            <w:tcW w:w="1044" w:type="dxa"/>
            <w:tcBorders>
              <w:top w:val="single" w:sz="4" w:space="0" w:color="293F5B"/>
              <w:bottom w:val="nil"/>
            </w:tcBorders>
          </w:tcPr>
          <w:p w14:paraId="5677FB92" w14:textId="77777777" w:rsidR="00BB2CB4" w:rsidRPr="00222C32" w:rsidRDefault="00BB2CB4">
            <w:pPr>
              <w:pStyle w:val="AgencyName"/>
              <w:keepNext/>
            </w:pPr>
          </w:p>
        </w:tc>
      </w:tr>
      <w:tr w:rsidR="00BB2CB4" w:rsidRPr="00222C32" w14:paraId="773CC5B7" w14:textId="77777777" w:rsidTr="00825163">
        <w:tc>
          <w:tcPr>
            <w:tcW w:w="2501" w:type="dxa"/>
            <w:tcBorders>
              <w:top w:val="nil"/>
              <w:bottom w:val="single" w:sz="4" w:space="0" w:color="293F5B"/>
            </w:tcBorders>
          </w:tcPr>
          <w:p w14:paraId="5EDC4C86" w14:textId="77777777" w:rsidR="00BB2CB4" w:rsidRPr="00222C32" w:rsidRDefault="000674DA">
            <w:pPr>
              <w:pStyle w:val="AgencyNamewith2ptsspacing"/>
              <w:keepNext/>
            </w:pPr>
            <w:r w:rsidRPr="00222C32">
              <w:t>National Reconstruction Fund Corporation</w:t>
            </w:r>
          </w:p>
        </w:tc>
        <w:tc>
          <w:tcPr>
            <w:tcW w:w="1044" w:type="dxa"/>
            <w:tcBorders>
              <w:top w:val="nil"/>
              <w:bottom w:val="single" w:sz="4" w:space="0" w:color="293F5B"/>
            </w:tcBorders>
          </w:tcPr>
          <w:p w14:paraId="4470AAE3"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158AA1F"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1833111" w14:textId="77777777" w:rsidR="00BB2CB4" w:rsidRPr="00222C32" w:rsidRDefault="000674DA">
            <w:pPr>
              <w:pStyle w:val="Measuretabledatarightaligneditalics"/>
              <w:keepNext/>
            </w:pPr>
            <w:r w:rsidRPr="00222C32">
              <w:t>-0.4</w:t>
            </w:r>
          </w:p>
        </w:tc>
        <w:tc>
          <w:tcPr>
            <w:tcW w:w="1044" w:type="dxa"/>
            <w:tcBorders>
              <w:top w:val="nil"/>
              <w:bottom w:val="single" w:sz="4" w:space="0" w:color="293F5B"/>
            </w:tcBorders>
          </w:tcPr>
          <w:p w14:paraId="10FE2FCC" w14:textId="77777777" w:rsidR="00BB2CB4" w:rsidRPr="00222C32" w:rsidRDefault="000674DA">
            <w:pPr>
              <w:pStyle w:val="Measuretabledatarightaligneditalics"/>
              <w:keepNext/>
            </w:pPr>
            <w:r w:rsidRPr="00222C32">
              <w:t>-0.7</w:t>
            </w:r>
          </w:p>
        </w:tc>
        <w:tc>
          <w:tcPr>
            <w:tcW w:w="1044" w:type="dxa"/>
            <w:tcBorders>
              <w:top w:val="nil"/>
              <w:bottom w:val="single" w:sz="4" w:space="0" w:color="293F5B"/>
            </w:tcBorders>
          </w:tcPr>
          <w:p w14:paraId="027C57B1" w14:textId="77777777" w:rsidR="00BB2CB4" w:rsidRPr="00222C32" w:rsidRDefault="000674DA">
            <w:pPr>
              <w:pStyle w:val="Measuretabledatarightaligneditalics"/>
              <w:keepNext/>
            </w:pPr>
            <w:r w:rsidRPr="00222C32">
              <w:t>-1.0</w:t>
            </w:r>
          </w:p>
        </w:tc>
      </w:tr>
    </w:tbl>
    <w:p w14:paraId="7B05451F" w14:textId="77777777" w:rsidR="00A506BB" w:rsidRDefault="00A506BB" w:rsidP="00A506BB">
      <w:pPr>
        <w:pStyle w:val="SingleParagraph"/>
      </w:pPr>
    </w:p>
    <w:p w14:paraId="6BDE7B19" w14:textId="0020BB39" w:rsidR="00BB2CB4" w:rsidRDefault="000674DA">
      <w:pPr>
        <w:pStyle w:val="Normal2"/>
      </w:pPr>
      <w:r w:rsidRPr="42F5CE43">
        <w:rPr>
          <w:lang w:val="en-US"/>
        </w:rPr>
        <w:t>The Government will provide $300.0 million over eight years from 2025–‍26 to establish a Forestry Growth Fund to support the security and sustainability of Australia</w:t>
      </w:r>
      <w:r w:rsidR="00222C32">
        <w:rPr>
          <w:lang w:val="en-US"/>
        </w:rPr>
        <w:t>’</w:t>
      </w:r>
      <w:r w:rsidRPr="42F5CE43">
        <w:rPr>
          <w:lang w:val="en-US"/>
        </w:rPr>
        <w:t>s forestry industry. Funding includes:</w:t>
      </w:r>
    </w:p>
    <w:p w14:paraId="51255B1A" w14:textId="77777777" w:rsidR="00BB2CB4" w:rsidRDefault="000674DA">
      <w:pPr>
        <w:pStyle w:val="Bullet"/>
      </w:pPr>
      <w:r>
        <w:t>$150.0 million over six years from 2025–‍26 for grants to support the forestry industry, including for forestry workforce training and support, engineered wood products innovation and housing construction supply‑chain support</w:t>
      </w:r>
    </w:p>
    <w:p w14:paraId="2124D960" w14:textId="77777777" w:rsidR="00BB2CB4" w:rsidRDefault="000674DA">
      <w:pPr>
        <w:pStyle w:val="Bullet"/>
      </w:pPr>
      <w:r>
        <w:t>$150.0 million over seven years from 2026–‍27 in concessional finance, delivered through the National Reconstruction Fund Corporation within its existing capital, to support the modernisation of processing across the forestry industry and deliver on the Timber Fibre Strategy.</w:t>
      </w:r>
    </w:p>
    <w:p w14:paraId="1DB4050E" w14:textId="77777777" w:rsidR="00BB2CB4" w:rsidRDefault="000674DA">
      <w:pPr>
        <w:pStyle w:val="MeasureTitle"/>
      </w:pPr>
      <w:r>
        <w:t>Future of the Regional Investment Corporation</w:t>
      </w:r>
    </w:p>
    <w:p w14:paraId="1E32A10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7879CAE" w14:textId="77777777" w:rsidTr="00825163">
        <w:tc>
          <w:tcPr>
            <w:tcW w:w="2501" w:type="dxa"/>
            <w:tcBorders>
              <w:top w:val="single" w:sz="4" w:space="0" w:color="293F5B"/>
              <w:bottom w:val="single" w:sz="4" w:space="0" w:color="293F5B"/>
            </w:tcBorders>
          </w:tcPr>
          <w:p w14:paraId="1757A90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8FC99E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DA938B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FF2943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82D990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853F269" w14:textId="77777777" w:rsidR="00BB2CB4" w:rsidRPr="00222C32" w:rsidRDefault="000674DA">
            <w:pPr>
              <w:pStyle w:val="MeasureTableYearHeadings"/>
              <w:keepNext/>
            </w:pPr>
            <w:r w:rsidRPr="00222C32">
              <w:t>2028-29</w:t>
            </w:r>
          </w:p>
        </w:tc>
      </w:tr>
      <w:tr w:rsidR="00BB2CB4" w:rsidRPr="00222C32" w14:paraId="2875F737" w14:textId="77777777" w:rsidTr="00825163">
        <w:tc>
          <w:tcPr>
            <w:tcW w:w="2501" w:type="dxa"/>
            <w:tcBorders>
              <w:top w:val="single" w:sz="4" w:space="0" w:color="293F5B"/>
              <w:bottom w:val="single" w:sz="4" w:space="0" w:color="293F5B"/>
            </w:tcBorders>
          </w:tcPr>
          <w:p w14:paraId="3892A6D6"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6D17419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03C6CF7"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192D063E"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6F552913"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3115B2B7" w14:textId="77777777" w:rsidR="00BB2CB4" w:rsidRPr="00222C32" w:rsidRDefault="000674DA">
            <w:pPr>
              <w:pStyle w:val="MeasureTableDataRightAlignedwith2ptsspacing"/>
              <w:keepNext/>
            </w:pPr>
            <w:r w:rsidRPr="00222C32">
              <w:t>-</w:t>
            </w:r>
          </w:p>
        </w:tc>
      </w:tr>
      <w:tr w:rsidR="00BB2CB4" w:rsidRPr="00222C32" w14:paraId="5568570F" w14:textId="77777777" w:rsidTr="00825163">
        <w:tc>
          <w:tcPr>
            <w:tcW w:w="2501" w:type="dxa"/>
            <w:tcBorders>
              <w:top w:val="single" w:sz="4" w:space="0" w:color="293F5B"/>
              <w:bottom w:val="single" w:sz="4" w:space="0" w:color="293F5B"/>
            </w:tcBorders>
          </w:tcPr>
          <w:p w14:paraId="5099BF90" w14:textId="77777777" w:rsidR="00BB2CB4" w:rsidRPr="00222C32" w:rsidRDefault="000674DA">
            <w:pPr>
              <w:pStyle w:val="MeasureTableHeadingleftalignedwith2ptsspacing"/>
              <w:keepNext/>
            </w:pPr>
            <w:r w:rsidRPr="00222C32">
              <w:t>Regional Investment Corporation</w:t>
            </w:r>
          </w:p>
        </w:tc>
        <w:tc>
          <w:tcPr>
            <w:tcW w:w="1044" w:type="dxa"/>
            <w:tcBorders>
              <w:top w:val="single" w:sz="4" w:space="0" w:color="293F5B"/>
              <w:bottom w:val="single" w:sz="4" w:space="0" w:color="293F5B"/>
            </w:tcBorders>
          </w:tcPr>
          <w:p w14:paraId="3556D53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F3DCFD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15BE597" w14:textId="77777777" w:rsidR="00BB2CB4" w:rsidRPr="00222C32" w:rsidRDefault="000674DA">
            <w:pPr>
              <w:pStyle w:val="MeasureTableDataRightAlignedwith2ptsspacing"/>
              <w:keepNext/>
            </w:pPr>
            <w:r w:rsidRPr="00222C32">
              <w:t>6.1</w:t>
            </w:r>
          </w:p>
        </w:tc>
        <w:tc>
          <w:tcPr>
            <w:tcW w:w="1044" w:type="dxa"/>
            <w:tcBorders>
              <w:top w:val="single" w:sz="4" w:space="0" w:color="293F5B"/>
              <w:bottom w:val="single" w:sz="4" w:space="0" w:color="293F5B"/>
            </w:tcBorders>
          </w:tcPr>
          <w:p w14:paraId="1D83B450" w14:textId="77777777" w:rsidR="00BB2CB4" w:rsidRPr="00222C32" w:rsidRDefault="000674DA">
            <w:pPr>
              <w:pStyle w:val="MeasureTableDataRightAlignedwith2ptsspacing"/>
              <w:keepNext/>
            </w:pPr>
            <w:r w:rsidRPr="00222C32">
              <w:t>5.6</w:t>
            </w:r>
          </w:p>
        </w:tc>
        <w:tc>
          <w:tcPr>
            <w:tcW w:w="1044" w:type="dxa"/>
            <w:tcBorders>
              <w:top w:val="single" w:sz="4" w:space="0" w:color="293F5B"/>
              <w:bottom w:val="single" w:sz="4" w:space="0" w:color="293F5B"/>
            </w:tcBorders>
          </w:tcPr>
          <w:p w14:paraId="60A92E76" w14:textId="77777777" w:rsidR="00BB2CB4" w:rsidRPr="00222C32" w:rsidRDefault="000674DA">
            <w:pPr>
              <w:pStyle w:val="MeasureTableDataRightAlignedwith2ptsspacing"/>
              <w:keepNext/>
            </w:pPr>
            <w:r w:rsidRPr="00222C32">
              <w:t>6.0</w:t>
            </w:r>
          </w:p>
        </w:tc>
      </w:tr>
      <w:tr w:rsidR="00BB2CB4" w:rsidRPr="00222C32" w14:paraId="293DB56A" w14:textId="77777777" w:rsidTr="00825163">
        <w:tc>
          <w:tcPr>
            <w:tcW w:w="2501" w:type="dxa"/>
            <w:tcBorders>
              <w:top w:val="single" w:sz="4" w:space="0" w:color="293F5B"/>
              <w:bottom w:val="single" w:sz="4" w:space="0" w:color="293F5B"/>
            </w:tcBorders>
          </w:tcPr>
          <w:p w14:paraId="1EE0AD66"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2C68D874"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D44AF09" w14:textId="77777777" w:rsidR="00BB2CB4" w:rsidRPr="00222C32" w:rsidRDefault="000674DA">
            <w:pPr>
              <w:pStyle w:val="Totaldatarowrightaligned"/>
              <w:keepNext/>
            </w:pPr>
            <w:r w:rsidRPr="00222C32">
              <w:t>1.0</w:t>
            </w:r>
          </w:p>
        </w:tc>
        <w:tc>
          <w:tcPr>
            <w:tcW w:w="1044" w:type="dxa"/>
            <w:tcBorders>
              <w:top w:val="single" w:sz="4" w:space="0" w:color="293F5B"/>
              <w:bottom w:val="single" w:sz="4" w:space="0" w:color="293F5B"/>
            </w:tcBorders>
          </w:tcPr>
          <w:p w14:paraId="5EFBBE64" w14:textId="77777777" w:rsidR="00BB2CB4" w:rsidRPr="00222C32" w:rsidRDefault="000674DA">
            <w:pPr>
              <w:pStyle w:val="Totaldatarowrightaligned"/>
              <w:keepNext/>
            </w:pPr>
            <w:r w:rsidRPr="00222C32">
              <w:t>7.1</w:t>
            </w:r>
          </w:p>
        </w:tc>
        <w:tc>
          <w:tcPr>
            <w:tcW w:w="1044" w:type="dxa"/>
            <w:tcBorders>
              <w:top w:val="single" w:sz="4" w:space="0" w:color="293F5B"/>
              <w:bottom w:val="single" w:sz="4" w:space="0" w:color="293F5B"/>
            </w:tcBorders>
          </w:tcPr>
          <w:p w14:paraId="7AC3DF29" w14:textId="77777777" w:rsidR="00BB2CB4" w:rsidRPr="00222C32" w:rsidRDefault="000674DA">
            <w:pPr>
              <w:pStyle w:val="Totaldatarowrightaligned"/>
              <w:keepNext/>
            </w:pPr>
            <w:r w:rsidRPr="00222C32">
              <w:t>5.7</w:t>
            </w:r>
          </w:p>
        </w:tc>
        <w:tc>
          <w:tcPr>
            <w:tcW w:w="1044" w:type="dxa"/>
            <w:tcBorders>
              <w:top w:val="single" w:sz="4" w:space="0" w:color="293F5B"/>
              <w:bottom w:val="single" w:sz="4" w:space="0" w:color="293F5B"/>
            </w:tcBorders>
          </w:tcPr>
          <w:p w14:paraId="47552A1F" w14:textId="77777777" w:rsidR="00BB2CB4" w:rsidRPr="00222C32" w:rsidRDefault="000674DA">
            <w:pPr>
              <w:pStyle w:val="Totaldatarowrightaligned"/>
              <w:keepNext/>
            </w:pPr>
            <w:r w:rsidRPr="00222C32">
              <w:t>6.0</w:t>
            </w:r>
          </w:p>
        </w:tc>
      </w:tr>
      <w:tr w:rsidR="00BB2CB4" w:rsidRPr="00222C32" w14:paraId="440AAA89" w14:textId="77777777" w:rsidTr="00825163">
        <w:tc>
          <w:tcPr>
            <w:tcW w:w="2501" w:type="dxa"/>
            <w:tcBorders>
              <w:top w:val="single" w:sz="4" w:space="0" w:color="293F5B"/>
              <w:bottom w:val="nil"/>
            </w:tcBorders>
          </w:tcPr>
          <w:p w14:paraId="3F65684B"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305ED559" w14:textId="77777777" w:rsidR="00BB2CB4" w:rsidRPr="00222C32" w:rsidRDefault="00BB2CB4">
            <w:pPr>
              <w:pStyle w:val="AgencyName"/>
              <w:keepNext/>
            </w:pPr>
          </w:p>
        </w:tc>
        <w:tc>
          <w:tcPr>
            <w:tcW w:w="1044" w:type="dxa"/>
            <w:tcBorders>
              <w:top w:val="single" w:sz="4" w:space="0" w:color="293F5B"/>
              <w:bottom w:val="nil"/>
            </w:tcBorders>
          </w:tcPr>
          <w:p w14:paraId="412B717A" w14:textId="77777777" w:rsidR="00BB2CB4" w:rsidRPr="00222C32" w:rsidRDefault="00BB2CB4">
            <w:pPr>
              <w:pStyle w:val="AgencyName"/>
              <w:keepNext/>
            </w:pPr>
          </w:p>
        </w:tc>
        <w:tc>
          <w:tcPr>
            <w:tcW w:w="1044" w:type="dxa"/>
            <w:tcBorders>
              <w:top w:val="single" w:sz="4" w:space="0" w:color="293F5B"/>
              <w:bottom w:val="nil"/>
            </w:tcBorders>
          </w:tcPr>
          <w:p w14:paraId="3AAD2D5D" w14:textId="77777777" w:rsidR="00BB2CB4" w:rsidRPr="00222C32" w:rsidRDefault="00BB2CB4">
            <w:pPr>
              <w:pStyle w:val="AgencyName"/>
              <w:keepNext/>
            </w:pPr>
          </w:p>
        </w:tc>
        <w:tc>
          <w:tcPr>
            <w:tcW w:w="1044" w:type="dxa"/>
            <w:tcBorders>
              <w:top w:val="single" w:sz="4" w:space="0" w:color="293F5B"/>
              <w:bottom w:val="nil"/>
            </w:tcBorders>
          </w:tcPr>
          <w:p w14:paraId="20B20CAC" w14:textId="77777777" w:rsidR="00BB2CB4" w:rsidRPr="00222C32" w:rsidRDefault="00BB2CB4">
            <w:pPr>
              <w:pStyle w:val="AgencyName"/>
              <w:keepNext/>
            </w:pPr>
          </w:p>
        </w:tc>
        <w:tc>
          <w:tcPr>
            <w:tcW w:w="1044" w:type="dxa"/>
            <w:tcBorders>
              <w:top w:val="single" w:sz="4" w:space="0" w:color="293F5B"/>
              <w:bottom w:val="nil"/>
            </w:tcBorders>
          </w:tcPr>
          <w:p w14:paraId="699CEBB0" w14:textId="77777777" w:rsidR="00BB2CB4" w:rsidRPr="00222C32" w:rsidRDefault="00BB2CB4">
            <w:pPr>
              <w:pStyle w:val="AgencyName"/>
              <w:keepNext/>
            </w:pPr>
          </w:p>
        </w:tc>
      </w:tr>
      <w:tr w:rsidR="00BB2CB4" w:rsidRPr="00222C32" w14:paraId="73F73581" w14:textId="77777777" w:rsidTr="00825163">
        <w:tc>
          <w:tcPr>
            <w:tcW w:w="2501" w:type="dxa"/>
            <w:tcBorders>
              <w:top w:val="nil"/>
              <w:bottom w:val="single" w:sz="4" w:space="0" w:color="293F5B"/>
            </w:tcBorders>
          </w:tcPr>
          <w:p w14:paraId="683D1D50" w14:textId="77777777" w:rsidR="00BB2CB4" w:rsidRPr="00222C32" w:rsidRDefault="000674DA">
            <w:pPr>
              <w:pStyle w:val="AgencyNamewith2ptsspacing"/>
              <w:keepNext/>
            </w:pPr>
            <w:r w:rsidRPr="00222C32">
              <w:t>Department of Agriculture, Fisheries and Forestry</w:t>
            </w:r>
          </w:p>
        </w:tc>
        <w:tc>
          <w:tcPr>
            <w:tcW w:w="1044" w:type="dxa"/>
            <w:tcBorders>
              <w:top w:val="nil"/>
              <w:bottom w:val="single" w:sz="4" w:space="0" w:color="293F5B"/>
            </w:tcBorders>
          </w:tcPr>
          <w:p w14:paraId="0B9A7436"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F68EF8B" w14:textId="77777777" w:rsidR="00BB2CB4" w:rsidRPr="00222C32" w:rsidRDefault="000674DA">
            <w:pPr>
              <w:pStyle w:val="Measuretabledatarightaligneditalics"/>
              <w:keepNext/>
            </w:pPr>
            <w:r w:rsidRPr="00222C32">
              <w:t>-4.0</w:t>
            </w:r>
          </w:p>
        </w:tc>
        <w:tc>
          <w:tcPr>
            <w:tcW w:w="1044" w:type="dxa"/>
            <w:tcBorders>
              <w:top w:val="nil"/>
              <w:bottom w:val="single" w:sz="4" w:space="0" w:color="293F5B"/>
            </w:tcBorders>
          </w:tcPr>
          <w:p w14:paraId="37BA7C9E" w14:textId="77777777" w:rsidR="00BB2CB4" w:rsidRPr="00222C32" w:rsidRDefault="000674DA">
            <w:pPr>
              <w:pStyle w:val="Measuretabledatarightaligneditalics"/>
              <w:keepNext/>
            </w:pPr>
            <w:r w:rsidRPr="00222C32">
              <w:t>4.7</w:t>
            </w:r>
          </w:p>
        </w:tc>
        <w:tc>
          <w:tcPr>
            <w:tcW w:w="1044" w:type="dxa"/>
            <w:tcBorders>
              <w:top w:val="nil"/>
              <w:bottom w:val="single" w:sz="4" w:space="0" w:color="293F5B"/>
            </w:tcBorders>
          </w:tcPr>
          <w:p w14:paraId="084B7A11" w14:textId="77777777" w:rsidR="00BB2CB4" w:rsidRPr="00222C32" w:rsidRDefault="000674DA">
            <w:pPr>
              <w:pStyle w:val="Measuretabledatarightaligneditalics"/>
              <w:keepNext/>
            </w:pPr>
            <w:r w:rsidRPr="00222C32">
              <w:t>19.3</w:t>
            </w:r>
          </w:p>
        </w:tc>
        <w:tc>
          <w:tcPr>
            <w:tcW w:w="1044" w:type="dxa"/>
            <w:tcBorders>
              <w:top w:val="nil"/>
              <w:bottom w:val="single" w:sz="4" w:space="0" w:color="293F5B"/>
            </w:tcBorders>
          </w:tcPr>
          <w:p w14:paraId="52968849" w14:textId="77777777" w:rsidR="00BB2CB4" w:rsidRPr="00222C32" w:rsidRDefault="000674DA">
            <w:pPr>
              <w:pStyle w:val="Measuretabledatarightaligneditalics"/>
              <w:keepNext/>
            </w:pPr>
            <w:r w:rsidRPr="00222C32">
              <w:t>38.3</w:t>
            </w:r>
          </w:p>
        </w:tc>
      </w:tr>
    </w:tbl>
    <w:p w14:paraId="5113A604" w14:textId="77777777" w:rsidR="00A506BB" w:rsidRDefault="00A506BB" w:rsidP="00A506BB">
      <w:pPr>
        <w:pStyle w:val="SingleParagraph"/>
      </w:pPr>
    </w:p>
    <w:p w14:paraId="594A6284" w14:textId="013A6537" w:rsidR="0033064F" w:rsidRDefault="000674DA">
      <w:pPr>
        <w:pStyle w:val="Normal2"/>
        <w:rPr>
          <w:lang w:val="en-US"/>
        </w:rPr>
      </w:pPr>
      <w:r w:rsidRPr="42F5CE43">
        <w:rPr>
          <w:lang w:val="en-US"/>
        </w:rPr>
        <w:t>The Government will provide $1.0 billion over three years from 2026–‍27 for the Regional Investment Corporation (RIC) to deliver new concessional loans to farm businesses and drought‑affected farm‑related businesses and a broadened loan scope to include assistance for improving climate resilience, boosting sector productivity and supporting agriculture to be part of Australia</w:t>
      </w:r>
      <w:r w:rsidR="00222C32">
        <w:rPr>
          <w:lang w:val="en-US"/>
        </w:rPr>
        <w:t>’</w:t>
      </w:r>
      <w:r w:rsidRPr="42F5CE43">
        <w:rPr>
          <w:lang w:val="en-US"/>
        </w:rPr>
        <w:t>s net zero transition. Funding includes:</w:t>
      </w:r>
      <w:r w:rsidR="0033064F">
        <w:rPr>
          <w:lang w:val="en-US"/>
        </w:rPr>
        <w:br w:type="page"/>
      </w:r>
    </w:p>
    <w:p w14:paraId="15B23FFE" w14:textId="77777777" w:rsidR="00BB2CB4" w:rsidRDefault="000674DA">
      <w:pPr>
        <w:pStyle w:val="Bullet"/>
      </w:pPr>
      <w:r>
        <w:lastRenderedPageBreak/>
        <w:t>$1.0 billion in new loan funding for the RIC, which brings total RIC loan funding to over $5.0 billion, including for:</w:t>
      </w:r>
    </w:p>
    <w:p w14:paraId="724DA52C" w14:textId="77777777" w:rsidR="00BB2CB4" w:rsidRDefault="000674DA" w:rsidP="003D1616">
      <w:pPr>
        <w:pStyle w:val="Dash"/>
      </w:pPr>
      <w:r>
        <w:t>a new Drought Hardship Loan product to assist farmers experiencing cash flow difficulties due to prolonged and severe drought</w:t>
      </w:r>
    </w:p>
    <w:p w14:paraId="27C68824" w14:textId="77777777" w:rsidR="00BB2CB4" w:rsidRDefault="000674DA" w:rsidP="003D1616">
      <w:pPr>
        <w:pStyle w:val="Dash"/>
      </w:pPr>
      <w:r>
        <w:t>a new loan product to support Australian wild</w:t>
      </w:r>
      <w:r>
        <w:rPr>
          <w:rFonts w:ascii="Cambria Math" w:hAnsi="Cambria Math" w:cs="Cambria Math"/>
        </w:rPr>
        <w:t>‑</w:t>
      </w:r>
      <w:r>
        <w:t>catch fishing and aquaculture businesses affected by marine</w:t>
      </w:r>
      <w:r>
        <w:rPr>
          <w:rFonts w:ascii="Cambria Math" w:hAnsi="Cambria Math" w:cs="Cambria Math"/>
        </w:rPr>
        <w:t>‑</w:t>
      </w:r>
      <w:r>
        <w:t>based slow onset significant ecological events</w:t>
      </w:r>
    </w:p>
    <w:p w14:paraId="06618A00" w14:textId="77777777" w:rsidR="00BB2CB4" w:rsidRDefault="000674DA">
      <w:pPr>
        <w:pStyle w:val="Bullet"/>
      </w:pPr>
      <w:r>
        <w:t>$17.7 million over three years from 2026–‍27 for the RIC to support its continued operations</w:t>
      </w:r>
    </w:p>
    <w:p w14:paraId="66F7C8F6" w14:textId="77777777" w:rsidR="00BB2CB4" w:rsidRDefault="000674DA">
      <w:pPr>
        <w:pStyle w:val="Bullet"/>
      </w:pPr>
      <w:r>
        <w:t>$2.0 million over three years from 2025–‍26 for the Department of Agriculture, Fisheries and Forestry to support program delivery.</w:t>
      </w:r>
    </w:p>
    <w:p w14:paraId="4AE57097" w14:textId="404662B8" w:rsidR="00BB2CB4" w:rsidRDefault="000674DA">
      <w:pPr>
        <w:pStyle w:val="Normal2"/>
      </w:pPr>
      <w:r>
        <w:t>The Government will also hold interest rates for the loans administered by the RIC at 5.18</w:t>
      </w:r>
      <w:r w:rsidR="00E95FE9">
        <w:t> </w:t>
      </w:r>
      <w:r>
        <w:t>per cent until 31 July 2026.</w:t>
      </w:r>
    </w:p>
    <w:p w14:paraId="5F1D27EC" w14:textId="77777777" w:rsidR="00BB2CB4" w:rsidRDefault="000674DA">
      <w:pPr>
        <w:pStyle w:val="Normal2"/>
      </w:pPr>
      <w:r>
        <w:t>The cost of this measure will be partially met through interest levied.</w:t>
      </w:r>
    </w:p>
    <w:p w14:paraId="7C91651E" w14:textId="77777777" w:rsidR="00BB2CB4" w:rsidRDefault="000674DA">
      <w:pPr>
        <w:pStyle w:val="Normal2"/>
      </w:pPr>
      <w:r>
        <w:t xml:space="preserve">See also the related payment measure titled </w:t>
      </w:r>
      <w:r w:rsidRPr="000674DA">
        <w:rPr>
          <w:i/>
        </w:rPr>
        <w:t>South Australian Marine Algal Bloom Response</w:t>
      </w:r>
      <w:r>
        <w:t xml:space="preserve"> in the Climate Change, Energy, the Environment and Water portfolio</w:t>
      </w:r>
      <w:r w:rsidRPr="000674DA">
        <w:rPr>
          <w:i/>
        </w:rPr>
        <w:t>.</w:t>
      </w:r>
    </w:p>
    <w:p w14:paraId="70E12EAD" w14:textId="77777777" w:rsidR="00BB2CB4" w:rsidRDefault="000674DA">
      <w:pPr>
        <w:pStyle w:val="MeasureTitle"/>
      </w:pPr>
      <w:r w:rsidRPr="42F5CE43">
        <w:rPr>
          <w:lang w:val="en-US"/>
        </w:rPr>
        <w:t>Rural Financial Counselling Service – additional funding</w:t>
      </w:r>
    </w:p>
    <w:p w14:paraId="09C8899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4BB5583" w14:textId="77777777" w:rsidTr="00825163">
        <w:trPr>
          <w:cantSplit/>
        </w:trPr>
        <w:tc>
          <w:tcPr>
            <w:tcW w:w="2501" w:type="dxa"/>
            <w:tcBorders>
              <w:top w:val="single" w:sz="4" w:space="0" w:color="293F5B"/>
              <w:bottom w:val="single" w:sz="4" w:space="0" w:color="293F5B"/>
            </w:tcBorders>
          </w:tcPr>
          <w:p w14:paraId="6D52A77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6EE682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31D77F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C8FADC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F0B430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E163351" w14:textId="77777777" w:rsidR="00BB2CB4" w:rsidRPr="00222C32" w:rsidRDefault="000674DA">
            <w:pPr>
              <w:pStyle w:val="MeasureTableYearHeadings"/>
              <w:keepNext/>
            </w:pPr>
            <w:r w:rsidRPr="00222C32">
              <w:t>2028-29</w:t>
            </w:r>
          </w:p>
        </w:tc>
      </w:tr>
      <w:tr w:rsidR="00BB2CB4" w:rsidRPr="00222C32" w14:paraId="2AED82F8" w14:textId="77777777" w:rsidTr="00825163">
        <w:trPr>
          <w:cantSplit/>
        </w:trPr>
        <w:tc>
          <w:tcPr>
            <w:tcW w:w="2501" w:type="dxa"/>
            <w:tcBorders>
              <w:top w:val="single" w:sz="4" w:space="0" w:color="293F5B"/>
              <w:bottom w:val="single" w:sz="4" w:space="0" w:color="293F5B"/>
            </w:tcBorders>
          </w:tcPr>
          <w:p w14:paraId="21CC4714"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34CF7E7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7347268"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5215AFF6"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250C425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259D281" w14:textId="77777777" w:rsidR="00BB2CB4" w:rsidRPr="00222C32" w:rsidRDefault="000674DA">
            <w:pPr>
              <w:pStyle w:val="MeasureTableDataRightAlignedwith2ptsspacing"/>
              <w:keepNext/>
            </w:pPr>
            <w:r w:rsidRPr="00222C32">
              <w:t>-</w:t>
            </w:r>
          </w:p>
        </w:tc>
      </w:tr>
    </w:tbl>
    <w:p w14:paraId="33A1123F" w14:textId="77777777" w:rsidR="00A506BB" w:rsidRDefault="00A506BB" w:rsidP="00A506BB">
      <w:pPr>
        <w:pStyle w:val="SingleParagraph"/>
      </w:pPr>
    </w:p>
    <w:p w14:paraId="725FE138" w14:textId="77777777" w:rsidR="00BB2CB4" w:rsidRDefault="000674DA">
      <w:pPr>
        <w:pStyle w:val="Normal2"/>
      </w:pPr>
      <w:r w:rsidRPr="42F5CE43">
        <w:rPr>
          <w:lang w:val="en-US"/>
        </w:rPr>
        <w:t>The Government will provide an additional $2.0 million over two years from 2025–‍26 for the Rural Financial Counselling Service program to increase support for farmers in financial hardship due to drought and natural disasters.</w:t>
      </w:r>
    </w:p>
    <w:p w14:paraId="6350230B" w14:textId="77777777" w:rsidR="00BB2CB4" w:rsidRDefault="000674DA">
      <w:pPr>
        <w:pStyle w:val="MeasureTitle"/>
      </w:pPr>
      <w:r>
        <w:t>Securing the Future of Agricultural Trade</w:t>
      </w:r>
    </w:p>
    <w:p w14:paraId="145D4706"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FBB9E5A" w14:textId="77777777" w:rsidTr="00825163">
        <w:tc>
          <w:tcPr>
            <w:tcW w:w="2501" w:type="dxa"/>
            <w:tcBorders>
              <w:top w:val="single" w:sz="4" w:space="0" w:color="293F5B"/>
              <w:bottom w:val="single" w:sz="4" w:space="0" w:color="293F5B"/>
            </w:tcBorders>
          </w:tcPr>
          <w:p w14:paraId="597A657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793F14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19C299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EF3E51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DA954E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42B6482" w14:textId="77777777" w:rsidR="00BB2CB4" w:rsidRPr="00222C32" w:rsidRDefault="000674DA">
            <w:pPr>
              <w:pStyle w:val="MeasureTableYearHeadings"/>
              <w:keepNext/>
            </w:pPr>
            <w:r w:rsidRPr="00222C32">
              <w:t>2028-29</w:t>
            </w:r>
          </w:p>
        </w:tc>
      </w:tr>
      <w:tr w:rsidR="00BB2CB4" w:rsidRPr="00222C32" w14:paraId="2E816189" w14:textId="77777777" w:rsidTr="00825163">
        <w:tc>
          <w:tcPr>
            <w:tcW w:w="2501" w:type="dxa"/>
            <w:tcBorders>
              <w:top w:val="single" w:sz="4" w:space="0" w:color="293F5B"/>
              <w:bottom w:val="single" w:sz="4" w:space="0" w:color="293F5B"/>
            </w:tcBorders>
          </w:tcPr>
          <w:p w14:paraId="6BB6B557"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5B57B1D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E4F0416" w14:textId="77777777" w:rsidR="00BB2CB4" w:rsidRPr="00222C32" w:rsidRDefault="000674DA">
            <w:pPr>
              <w:pStyle w:val="MeasureTableDataRightAlignedwith2ptsspacing"/>
              <w:keepNext/>
            </w:pPr>
            <w:r w:rsidRPr="00222C32">
              <w:t>10.5</w:t>
            </w:r>
          </w:p>
        </w:tc>
        <w:tc>
          <w:tcPr>
            <w:tcW w:w="1044" w:type="dxa"/>
            <w:tcBorders>
              <w:top w:val="single" w:sz="4" w:space="0" w:color="293F5B"/>
              <w:bottom w:val="single" w:sz="4" w:space="0" w:color="293F5B"/>
            </w:tcBorders>
          </w:tcPr>
          <w:p w14:paraId="485C9E8D" w14:textId="77777777" w:rsidR="00BB2CB4" w:rsidRPr="00222C32" w:rsidRDefault="000674DA">
            <w:pPr>
              <w:pStyle w:val="MeasureTableDataRightAlignedwith2ptsspacing"/>
              <w:keepNext/>
            </w:pPr>
            <w:r w:rsidRPr="00222C32">
              <w:t>55.4</w:t>
            </w:r>
          </w:p>
        </w:tc>
        <w:tc>
          <w:tcPr>
            <w:tcW w:w="1044" w:type="dxa"/>
            <w:tcBorders>
              <w:top w:val="single" w:sz="4" w:space="0" w:color="293F5B"/>
              <w:bottom w:val="single" w:sz="4" w:space="0" w:color="293F5B"/>
            </w:tcBorders>
          </w:tcPr>
          <w:p w14:paraId="243B69E8" w14:textId="77777777" w:rsidR="00BB2CB4" w:rsidRPr="00222C32" w:rsidRDefault="000674DA">
            <w:pPr>
              <w:pStyle w:val="MeasureTableDataRightAlignedwith2ptsspacing"/>
              <w:keepNext/>
            </w:pPr>
            <w:r w:rsidRPr="00222C32">
              <w:t>51.3</w:t>
            </w:r>
          </w:p>
        </w:tc>
        <w:tc>
          <w:tcPr>
            <w:tcW w:w="1044" w:type="dxa"/>
            <w:tcBorders>
              <w:top w:val="single" w:sz="4" w:space="0" w:color="293F5B"/>
              <w:bottom w:val="single" w:sz="4" w:space="0" w:color="293F5B"/>
            </w:tcBorders>
          </w:tcPr>
          <w:p w14:paraId="165AA53A" w14:textId="77777777" w:rsidR="00BB2CB4" w:rsidRPr="00222C32" w:rsidRDefault="000674DA">
            <w:pPr>
              <w:pStyle w:val="MeasureTableDataRightAlignedwith2ptsspacing"/>
              <w:keepNext/>
            </w:pPr>
            <w:r w:rsidRPr="00222C32">
              <w:t>30.3</w:t>
            </w:r>
          </w:p>
        </w:tc>
      </w:tr>
      <w:tr w:rsidR="00BB2CB4" w:rsidRPr="00222C32" w14:paraId="1E04E37B" w14:textId="77777777" w:rsidTr="00825163">
        <w:tc>
          <w:tcPr>
            <w:tcW w:w="2501" w:type="dxa"/>
            <w:tcBorders>
              <w:top w:val="single" w:sz="4" w:space="0" w:color="293F5B"/>
              <w:bottom w:val="nil"/>
            </w:tcBorders>
          </w:tcPr>
          <w:p w14:paraId="348798D7"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50FF424D" w14:textId="77777777" w:rsidR="00BB2CB4" w:rsidRPr="00222C32" w:rsidRDefault="00BB2CB4">
            <w:pPr>
              <w:pStyle w:val="AgencyName"/>
              <w:keepNext/>
            </w:pPr>
          </w:p>
        </w:tc>
        <w:tc>
          <w:tcPr>
            <w:tcW w:w="1044" w:type="dxa"/>
            <w:tcBorders>
              <w:top w:val="single" w:sz="4" w:space="0" w:color="293F5B"/>
              <w:bottom w:val="nil"/>
            </w:tcBorders>
          </w:tcPr>
          <w:p w14:paraId="6B9F67C6" w14:textId="77777777" w:rsidR="00BB2CB4" w:rsidRPr="00222C32" w:rsidRDefault="00BB2CB4">
            <w:pPr>
              <w:pStyle w:val="AgencyName"/>
              <w:keepNext/>
            </w:pPr>
          </w:p>
        </w:tc>
        <w:tc>
          <w:tcPr>
            <w:tcW w:w="1044" w:type="dxa"/>
            <w:tcBorders>
              <w:top w:val="single" w:sz="4" w:space="0" w:color="293F5B"/>
              <w:bottom w:val="nil"/>
            </w:tcBorders>
          </w:tcPr>
          <w:p w14:paraId="5D5D1508" w14:textId="77777777" w:rsidR="00BB2CB4" w:rsidRPr="00222C32" w:rsidRDefault="00BB2CB4">
            <w:pPr>
              <w:pStyle w:val="AgencyName"/>
              <w:keepNext/>
            </w:pPr>
          </w:p>
        </w:tc>
        <w:tc>
          <w:tcPr>
            <w:tcW w:w="1044" w:type="dxa"/>
            <w:tcBorders>
              <w:top w:val="single" w:sz="4" w:space="0" w:color="293F5B"/>
              <w:bottom w:val="nil"/>
            </w:tcBorders>
          </w:tcPr>
          <w:p w14:paraId="56FCC8B8" w14:textId="77777777" w:rsidR="00BB2CB4" w:rsidRPr="00222C32" w:rsidRDefault="00BB2CB4">
            <w:pPr>
              <w:pStyle w:val="AgencyName"/>
              <w:keepNext/>
            </w:pPr>
          </w:p>
        </w:tc>
        <w:tc>
          <w:tcPr>
            <w:tcW w:w="1044" w:type="dxa"/>
            <w:tcBorders>
              <w:top w:val="single" w:sz="4" w:space="0" w:color="293F5B"/>
              <w:bottom w:val="nil"/>
            </w:tcBorders>
          </w:tcPr>
          <w:p w14:paraId="3AAD1B80" w14:textId="77777777" w:rsidR="00BB2CB4" w:rsidRPr="00222C32" w:rsidRDefault="00BB2CB4">
            <w:pPr>
              <w:pStyle w:val="AgencyName"/>
              <w:keepNext/>
            </w:pPr>
          </w:p>
        </w:tc>
      </w:tr>
      <w:tr w:rsidR="00BB2CB4" w:rsidRPr="00222C32" w14:paraId="69351E28" w14:textId="77777777" w:rsidTr="00825163">
        <w:tc>
          <w:tcPr>
            <w:tcW w:w="2501" w:type="dxa"/>
            <w:tcBorders>
              <w:top w:val="nil"/>
              <w:bottom w:val="single" w:sz="4" w:space="0" w:color="293F5B"/>
            </w:tcBorders>
          </w:tcPr>
          <w:p w14:paraId="3C97A154" w14:textId="77777777" w:rsidR="00BB2CB4" w:rsidRPr="00222C32" w:rsidRDefault="000674DA">
            <w:pPr>
              <w:pStyle w:val="AgencyNamewith2ptsspacing"/>
              <w:keepNext/>
            </w:pPr>
            <w:r w:rsidRPr="00222C32">
              <w:t>Department of Agriculture, Fisheries and Forestry</w:t>
            </w:r>
          </w:p>
        </w:tc>
        <w:tc>
          <w:tcPr>
            <w:tcW w:w="1044" w:type="dxa"/>
            <w:tcBorders>
              <w:top w:val="nil"/>
              <w:bottom w:val="single" w:sz="4" w:space="0" w:color="293F5B"/>
            </w:tcBorders>
          </w:tcPr>
          <w:p w14:paraId="2014DD79"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B812925"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5146782" w14:textId="77777777" w:rsidR="00BB2CB4" w:rsidRPr="00222C32" w:rsidRDefault="000674DA">
            <w:pPr>
              <w:pStyle w:val="Measuretabledatarightaligneditalics"/>
              <w:keepNext/>
            </w:pPr>
            <w:r w:rsidRPr="00222C32">
              <w:t>10.2</w:t>
            </w:r>
          </w:p>
        </w:tc>
        <w:tc>
          <w:tcPr>
            <w:tcW w:w="1044" w:type="dxa"/>
            <w:tcBorders>
              <w:top w:val="nil"/>
              <w:bottom w:val="single" w:sz="4" w:space="0" w:color="293F5B"/>
            </w:tcBorders>
          </w:tcPr>
          <w:p w14:paraId="7AD38B63" w14:textId="77777777" w:rsidR="00BB2CB4" w:rsidRPr="00222C32" w:rsidRDefault="000674DA">
            <w:pPr>
              <w:pStyle w:val="Measuretabledatarightaligneditalics"/>
              <w:keepNext/>
            </w:pPr>
            <w:r w:rsidRPr="00222C32">
              <w:t>22.9</w:t>
            </w:r>
          </w:p>
        </w:tc>
        <w:tc>
          <w:tcPr>
            <w:tcW w:w="1044" w:type="dxa"/>
            <w:tcBorders>
              <w:top w:val="nil"/>
              <w:bottom w:val="single" w:sz="4" w:space="0" w:color="293F5B"/>
            </w:tcBorders>
          </w:tcPr>
          <w:p w14:paraId="209758C4" w14:textId="77777777" w:rsidR="00BB2CB4" w:rsidRPr="00222C32" w:rsidRDefault="000674DA">
            <w:pPr>
              <w:pStyle w:val="Measuretabledatarightaligneditalics"/>
              <w:keepNext/>
            </w:pPr>
            <w:r w:rsidRPr="00222C32">
              <w:t>19.9</w:t>
            </w:r>
          </w:p>
        </w:tc>
      </w:tr>
    </w:tbl>
    <w:p w14:paraId="4EAF7C0A" w14:textId="77777777" w:rsidR="00A506BB" w:rsidRDefault="00A506BB" w:rsidP="00A506BB">
      <w:pPr>
        <w:pStyle w:val="SingleParagraph"/>
      </w:pPr>
    </w:p>
    <w:p w14:paraId="76B1F10F" w14:textId="77777777" w:rsidR="00BB2CB4" w:rsidRDefault="000674DA">
      <w:pPr>
        <w:pStyle w:val="Normal2"/>
      </w:pPr>
      <w:r>
        <w:t>The Government will provide $147.5 million over four years from 2025–‍26 (and $32.7 million per year ongoing) for the Department of Agriculture, Fisheries and Forestry (DAFF) to sustain agricultural export regulatory and trade functions. Funding includes:</w:t>
      </w:r>
    </w:p>
    <w:p w14:paraId="2379D5B8" w14:textId="77777777" w:rsidR="00BB2CB4" w:rsidRDefault="000674DA">
      <w:pPr>
        <w:pStyle w:val="Bullet"/>
      </w:pPr>
      <w:r>
        <w:t>$65.8 million over three years from 2026–‍27 (and $25.2 million per year ongoing) to continue export regulatory services for dairy, fish and eggs, grain and plant products, horticulture, and meat</w:t>
      </w:r>
    </w:p>
    <w:p w14:paraId="1408C4B2" w14:textId="77777777" w:rsidR="00BB2CB4" w:rsidRDefault="000674DA">
      <w:pPr>
        <w:pStyle w:val="Bullet"/>
      </w:pPr>
      <w:r>
        <w:lastRenderedPageBreak/>
        <w:t>$44.3 million over four years from 2025–‍26 (and $5.2 million per year ongoing) to maintain live animal export functions and regulatory services</w:t>
      </w:r>
    </w:p>
    <w:p w14:paraId="2F6E93C4" w14:textId="77777777" w:rsidR="00BB2CB4" w:rsidRDefault="000674DA">
      <w:pPr>
        <w:pStyle w:val="Bullet"/>
      </w:pPr>
      <w:r>
        <w:t>$23.7 million over four years from 2025–‍26 (and an additional $0.3 million in 2029–‍30) to continue and reform export regulatory services for agricultural commodities classified as non‑prescribed goods and organic products</w:t>
      </w:r>
    </w:p>
    <w:p w14:paraId="40279B66" w14:textId="77777777" w:rsidR="00BB2CB4" w:rsidRDefault="000674DA">
      <w:pPr>
        <w:pStyle w:val="Bullet"/>
      </w:pPr>
      <w:r>
        <w:t>$7.1 million in 2025–‍26 to continue agricultural trade and market access functions</w:t>
      </w:r>
    </w:p>
    <w:p w14:paraId="4A815FB0" w14:textId="77777777" w:rsidR="00BB2CB4" w:rsidRDefault="000674DA">
      <w:pPr>
        <w:pStyle w:val="Bullet"/>
      </w:pPr>
      <w:r>
        <w:t>$6.6 million over three years from 2026–‍27 (and $2.3 million per year ongoing) to establish an ongoing regulatory efficiency function in DAFF for agricultural export arrangements.</w:t>
      </w:r>
    </w:p>
    <w:p w14:paraId="6040AF4A" w14:textId="77777777" w:rsidR="00BB2CB4" w:rsidRDefault="000674DA">
      <w:pPr>
        <w:pStyle w:val="Normal2"/>
      </w:pPr>
      <w:r w:rsidRPr="42F5CE43">
        <w:rPr>
          <w:lang w:val="en-US"/>
        </w:rPr>
        <w:t>The Government will commence a phased transition to full cost recovery over three years from 2026–‍27 for most agricultural export cost recovery arrangements, and develop a new cost recovery arrangement for live animal export regulatory services by 2028.</w:t>
      </w:r>
    </w:p>
    <w:p w14:paraId="2C91873F" w14:textId="77777777" w:rsidR="00BB2CB4" w:rsidRDefault="000674DA">
      <w:pPr>
        <w:pStyle w:val="Normal2"/>
      </w:pPr>
      <w:r w:rsidRPr="42F5CE43">
        <w:rPr>
          <w:lang w:val="en-US"/>
        </w:rPr>
        <w:t>The cost of the measure will be partially met through changes to fees and charges under existing agricultural export arrangements and the introduction of cost recovery for five existing export regulatory services. This is expected to raise revenue of $53.0 million over three years from 2026–‍27 and $34.3 million per year ongoing, and achieve savings of $10.1 million over three years from 2026–‍27 and $6.9 million per year ongoing.</w:t>
      </w:r>
    </w:p>
    <w:p w14:paraId="65FE3BCC" w14:textId="77777777" w:rsidR="00BB2CB4" w:rsidRDefault="000674DA">
      <w:pPr>
        <w:pStyle w:val="Normal2"/>
      </w:pPr>
      <w:r w:rsidRPr="42F5CE43">
        <w:rPr>
          <w:lang w:val="en-US"/>
        </w:rPr>
        <w:t xml:space="preserve">This measure builds on the 2023–‍24 MYEFO measure titled </w:t>
      </w:r>
      <w:r w:rsidRPr="42F5CE43">
        <w:rPr>
          <w:i/>
          <w:lang w:val="en-US"/>
        </w:rPr>
        <w:t>Agriculture Trade and Exports – additional funding.</w:t>
      </w:r>
    </w:p>
    <w:p w14:paraId="6548FEFD" w14:textId="77777777" w:rsidR="00BB2CB4" w:rsidRDefault="000674DA">
      <w:pPr>
        <w:pStyle w:val="MeasureTitle"/>
      </w:pPr>
      <w:r w:rsidRPr="42F5CE43">
        <w:rPr>
          <w:lang w:val="en-US"/>
        </w:rPr>
        <w:t>Supporting Farmsafe Australia</w:t>
      </w:r>
    </w:p>
    <w:p w14:paraId="3C6B0FB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2411B5F" w14:textId="77777777" w:rsidTr="00825163">
        <w:trPr>
          <w:cantSplit/>
        </w:trPr>
        <w:tc>
          <w:tcPr>
            <w:tcW w:w="2501" w:type="dxa"/>
            <w:tcBorders>
              <w:top w:val="single" w:sz="4" w:space="0" w:color="293F5B"/>
              <w:bottom w:val="single" w:sz="4" w:space="0" w:color="293F5B"/>
            </w:tcBorders>
          </w:tcPr>
          <w:p w14:paraId="7247D21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8530BE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4FB7CA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EE9B1D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6584E2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4BB588F" w14:textId="77777777" w:rsidR="00BB2CB4" w:rsidRPr="00222C32" w:rsidRDefault="000674DA">
            <w:pPr>
              <w:pStyle w:val="MeasureTableYearHeadings"/>
              <w:keepNext/>
            </w:pPr>
            <w:r w:rsidRPr="00222C32">
              <w:t>2028-29</w:t>
            </w:r>
          </w:p>
        </w:tc>
      </w:tr>
      <w:tr w:rsidR="00BB2CB4" w:rsidRPr="00222C32" w14:paraId="1B37765A" w14:textId="77777777" w:rsidTr="00825163">
        <w:trPr>
          <w:cantSplit/>
        </w:trPr>
        <w:tc>
          <w:tcPr>
            <w:tcW w:w="2501" w:type="dxa"/>
            <w:tcBorders>
              <w:top w:val="single" w:sz="4" w:space="0" w:color="293F5B"/>
              <w:bottom w:val="single" w:sz="4" w:space="0" w:color="293F5B"/>
            </w:tcBorders>
          </w:tcPr>
          <w:p w14:paraId="46C3F8E8"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6730BD9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3E70800" w14:textId="77777777" w:rsidR="00BB2CB4" w:rsidRPr="00222C32" w:rsidRDefault="000674DA">
            <w:pPr>
              <w:pStyle w:val="MeasureTableDataRightAlignedwith2ptsspacing"/>
              <w:keepNext/>
            </w:pPr>
            <w:r w:rsidRPr="00222C32">
              <w:t>0.5</w:t>
            </w:r>
          </w:p>
        </w:tc>
        <w:tc>
          <w:tcPr>
            <w:tcW w:w="1044" w:type="dxa"/>
            <w:tcBorders>
              <w:top w:val="single" w:sz="4" w:space="0" w:color="293F5B"/>
              <w:bottom w:val="single" w:sz="4" w:space="0" w:color="293F5B"/>
            </w:tcBorders>
          </w:tcPr>
          <w:p w14:paraId="612ACB47"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41C5567C"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4A9397E8" w14:textId="77777777" w:rsidR="00BB2CB4" w:rsidRPr="00222C32" w:rsidRDefault="000674DA">
            <w:pPr>
              <w:pStyle w:val="MeasureTableDataRightAlignedwith2ptsspacing"/>
              <w:keepNext/>
            </w:pPr>
            <w:r w:rsidRPr="00222C32">
              <w:t>-</w:t>
            </w:r>
          </w:p>
        </w:tc>
      </w:tr>
    </w:tbl>
    <w:p w14:paraId="5D974544" w14:textId="77777777" w:rsidR="00A506BB" w:rsidRDefault="00A506BB" w:rsidP="00A506BB">
      <w:pPr>
        <w:pStyle w:val="SingleParagraph"/>
      </w:pPr>
    </w:p>
    <w:p w14:paraId="31C23B43" w14:textId="77777777" w:rsidR="00BB2CB4" w:rsidRDefault="000674DA">
      <w:pPr>
        <w:pStyle w:val="Normal2"/>
      </w:pPr>
      <w:r w:rsidRPr="42F5CE43">
        <w:rPr>
          <w:lang w:val="en-US"/>
        </w:rPr>
        <w:t>The Government will provide $2.5 million over three years from 2025–‍26 for Farmsafe Australia to improve farm safety across Australia.</w:t>
      </w:r>
    </w:p>
    <w:p w14:paraId="036839B5" w14:textId="66C3E2CE"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507A895A" w14:textId="77777777" w:rsidR="00BB2CB4" w:rsidRDefault="00BB2CB4">
      <w:pPr>
        <w:sectPr w:rsidR="00BB2CB4" w:rsidSect="00301ACF">
          <w:headerReference w:type="even" r:id="rId49"/>
          <w:headerReference w:type="default" r:id="rId50"/>
          <w:footerReference w:type="even" r:id="rId51"/>
          <w:footerReference w:type="default" r:id="rId52"/>
          <w:headerReference w:type="first" r:id="rId53"/>
          <w:footerReference w:type="first" r:id="rId54"/>
          <w:pgSz w:w="11906" w:h="16838" w:code="9"/>
          <w:pgMar w:top="2835" w:right="2098" w:bottom="2466" w:left="2098" w:header="1814" w:footer="1814" w:gutter="0"/>
          <w:cols w:space="720"/>
          <w:docGrid w:linePitch="272"/>
        </w:sectPr>
      </w:pPr>
    </w:p>
    <w:p w14:paraId="07F42F2B" w14:textId="757A5DF0" w:rsidR="00BB2CB4" w:rsidRDefault="000674DA" w:rsidP="000C2D78">
      <w:pPr>
        <w:pStyle w:val="PortfolioName"/>
        <w:spacing w:before="0"/>
      </w:pPr>
      <w:r>
        <w:lastRenderedPageBreak/>
        <w:t>Attorney‑General</w:t>
      </w:r>
      <w:r w:rsidR="00222C32">
        <w:t>’</w:t>
      </w:r>
      <w:r>
        <w:t>s</w:t>
      </w:r>
    </w:p>
    <w:p w14:paraId="3DC2468F" w14:textId="3412931E" w:rsidR="00BB2CB4" w:rsidRDefault="000674DA">
      <w:pPr>
        <w:pStyle w:val="MeasureTitle"/>
      </w:pPr>
      <w:r w:rsidRPr="42F5CE43">
        <w:rPr>
          <w:lang w:val="en-US"/>
        </w:rPr>
        <w:t>Attorney‑General</w:t>
      </w:r>
      <w:r w:rsidR="00222C32">
        <w:rPr>
          <w:lang w:val="en-US"/>
        </w:rPr>
        <w:t>’</w:t>
      </w:r>
      <w:r w:rsidRPr="42F5CE43">
        <w:rPr>
          <w:lang w:val="en-US"/>
        </w:rPr>
        <w:t>s Portfolio – additional resourcing</w:t>
      </w:r>
    </w:p>
    <w:p w14:paraId="6119AFC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A3F6322" w14:textId="77777777" w:rsidTr="00825163">
        <w:trPr>
          <w:cantSplit/>
        </w:trPr>
        <w:tc>
          <w:tcPr>
            <w:tcW w:w="2501" w:type="dxa"/>
            <w:tcBorders>
              <w:top w:val="single" w:sz="4" w:space="0" w:color="293F5B"/>
              <w:bottom w:val="single" w:sz="4" w:space="0" w:color="293F5B"/>
            </w:tcBorders>
          </w:tcPr>
          <w:p w14:paraId="3179E267"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BEF533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758885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A72B118"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D00B07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E7FDC9D" w14:textId="77777777" w:rsidR="00BB2CB4" w:rsidRPr="00222C32" w:rsidRDefault="000674DA">
            <w:pPr>
              <w:pStyle w:val="MeasureTableYearHeadings"/>
              <w:keepNext/>
            </w:pPr>
            <w:r w:rsidRPr="00222C32">
              <w:t>2028-29</w:t>
            </w:r>
          </w:p>
        </w:tc>
      </w:tr>
      <w:tr w:rsidR="00BB2CB4" w:rsidRPr="00222C32" w14:paraId="1F0A3A18" w14:textId="77777777" w:rsidTr="00825163">
        <w:trPr>
          <w:cantSplit/>
        </w:trPr>
        <w:tc>
          <w:tcPr>
            <w:tcW w:w="2501" w:type="dxa"/>
            <w:tcBorders>
              <w:top w:val="single" w:sz="4" w:space="0" w:color="293F5B"/>
              <w:bottom w:val="single" w:sz="4" w:space="0" w:color="293F5B"/>
            </w:tcBorders>
          </w:tcPr>
          <w:p w14:paraId="3CCAB8A3" w14:textId="77777777" w:rsidR="00BB2CB4" w:rsidRPr="00222C32" w:rsidRDefault="000674DA">
            <w:pPr>
              <w:pStyle w:val="MeasureTableHeadingleftalignedwith2ptsspacing"/>
              <w:keepNext/>
            </w:pPr>
            <w:r w:rsidRPr="00222C32">
              <w:t>Administrative Review Tribunal</w:t>
            </w:r>
          </w:p>
        </w:tc>
        <w:tc>
          <w:tcPr>
            <w:tcW w:w="1044" w:type="dxa"/>
            <w:tcBorders>
              <w:top w:val="single" w:sz="4" w:space="0" w:color="293F5B"/>
              <w:bottom w:val="single" w:sz="4" w:space="0" w:color="293F5B"/>
            </w:tcBorders>
          </w:tcPr>
          <w:p w14:paraId="481A224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DA1C833" w14:textId="77777777" w:rsidR="00BB2CB4" w:rsidRPr="00222C32" w:rsidRDefault="000674DA">
            <w:pPr>
              <w:pStyle w:val="MeasureTableDataRightAlignedwith2ptsspacing"/>
              <w:keepNext/>
            </w:pPr>
            <w:r w:rsidRPr="00222C32">
              <w:t>34.2</w:t>
            </w:r>
          </w:p>
        </w:tc>
        <w:tc>
          <w:tcPr>
            <w:tcW w:w="1044" w:type="dxa"/>
            <w:tcBorders>
              <w:top w:val="single" w:sz="4" w:space="0" w:color="293F5B"/>
              <w:bottom w:val="single" w:sz="4" w:space="0" w:color="293F5B"/>
            </w:tcBorders>
          </w:tcPr>
          <w:p w14:paraId="328A0E2A" w14:textId="77777777" w:rsidR="00BB2CB4" w:rsidRPr="00222C32" w:rsidRDefault="000674DA">
            <w:pPr>
              <w:pStyle w:val="MeasureTableDataRightAlignedwith2ptsspacing"/>
              <w:keepNext/>
            </w:pPr>
            <w:r w:rsidRPr="00222C32">
              <w:t>34.8</w:t>
            </w:r>
          </w:p>
        </w:tc>
        <w:tc>
          <w:tcPr>
            <w:tcW w:w="1044" w:type="dxa"/>
            <w:tcBorders>
              <w:top w:val="single" w:sz="4" w:space="0" w:color="293F5B"/>
              <w:bottom w:val="single" w:sz="4" w:space="0" w:color="293F5B"/>
            </w:tcBorders>
          </w:tcPr>
          <w:p w14:paraId="754E3F9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5EA77FE" w14:textId="77777777" w:rsidR="00BB2CB4" w:rsidRPr="00222C32" w:rsidRDefault="000674DA">
            <w:pPr>
              <w:pStyle w:val="MeasureTableDataRightAlignedwith2ptsspacing"/>
              <w:keepNext/>
            </w:pPr>
            <w:r w:rsidRPr="00222C32">
              <w:t>-</w:t>
            </w:r>
          </w:p>
        </w:tc>
      </w:tr>
      <w:tr w:rsidR="00BB2CB4" w:rsidRPr="00222C32" w14:paraId="4224B825" w14:textId="77777777" w:rsidTr="00825163">
        <w:trPr>
          <w:cantSplit/>
        </w:trPr>
        <w:tc>
          <w:tcPr>
            <w:tcW w:w="2501" w:type="dxa"/>
            <w:tcBorders>
              <w:top w:val="single" w:sz="4" w:space="0" w:color="293F5B"/>
              <w:bottom w:val="single" w:sz="4" w:space="0" w:color="293F5B"/>
            </w:tcBorders>
          </w:tcPr>
          <w:p w14:paraId="666376FE" w14:textId="77777777" w:rsidR="00BB2CB4" w:rsidRPr="00222C32" w:rsidRDefault="000674DA">
            <w:pPr>
              <w:pStyle w:val="MeasureTableHeadingleftalignedwith2ptsspacing"/>
              <w:keepNext/>
            </w:pPr>
            <w:r w:rsidRPr="00222C32">
              <w:t>Office of Parliamentary Counsel</w:t>
            </w:r>
          </w:p>
        </w:tc>
        <w:tc>
          <w:tcPr>
            <w:tcW w:w="1044" w:type="dxa"/>
            <w:tcBorders>
              <w:top w:val="single" w:sz="4" w:space="0" w:color="293F5B"/>
              <w:bottom w:val="single" w:sz="4" w:space="0" w:color="293F5B"/>
            </w:tcBorders>
          </w:tcPr>
          <w:p w14:paraId="10D8EB0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CBD55F0" w14:textId="77777777" w:rsidR="00BB2CB4" w:rsidRPr="00222C32" w:rsidRDefault="000674DA">
            <w:pPr>
              <w:pStyle w:val="MeasureTableDataRightAlignedwith2ptsspacing"/>
              <w:keepNext/>
            </w:pPr>
            <w:r w:rsidRPr="00222C32">
              <w:t>2.8</w:t>
            </w:r>
          </w:p>
        </w:tc>
        <w:tc>
          <w:tcPr>
            <w:tcW w:w="1044" w:type="dxa"/>
            <w:tcBorders>
              <w:top w:val="single" w:sz="4" w:space="0" w:color="293F5B"/>
              <w:bottom w:val="single" w:sz="4" w:space="0" w:color="293F5B"/>
            </w:tcBorders>
          </w:tcPr>
          <w:p w14:paraId="3696D5B1"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5390CABB" w14:textId="77777777" w:rsidR="00BB2CB4" w:rsidRPr="00222C32" w:rsidRDefault="000674DA">
            <w:pPr>
              <w:pStyle w:val="MeasureTableDataRightAlignedwith2ptsspacing"/>
              <w:keepNext/>
            </w:pPr>
            <w:r w:rsidRPr="00222C32">
              <w:t>3.4</w:t>
            </w:r>
          </w:p>
        </w:tc>
        <w:tc>
          <w:tcPr>
            <w:tcW w:w="1044" w:type="dxa"/>
            <w:tcBorders>
              <w:top w:val="single" w:sz="4" w:space="0" w:color="293F5B"/>
              <w:bottom w:val="single" w:sz="4" w:space="0" w:color="293F5B"/>
            </w:tcBorders>
          </w:tcPr>
          <w:p w14:paraId="74BE4332" w14:textId="77777777" w:rsidR="00BB2CB4" w:rsidRPr="00222C32" w:rsidRDefault="000674DA">
            <w:pPr>
              <w:pStyle w:val="MeasureTableDataRightAlignedwith2ptsspacing"/>
              <w:keepNext/>
            </w:pPr>
            <w:r w:rsidRPr="00222C32">
              <w:t>3.4</w:t>
            </w:r>
          </w:p>
        </w:tc>
      </w:tr>
      <w:tr w:rsidR="00BB2CB4" w:rsidRPr="00222C32" w14:paraId="064D5078" w14:textId="77777777" w:rsidTr="00825163">
        <w:trPr>
          <w:cantSplit/>
        </w:trPr>
        <w:tc>
          <w:tcPr>
            <w:tcW w:w="2501" w:type="dxa"/>
            <w:tcBorders>
              <w:top w:val="single" w:sz="4" w:space="0" w:color="293F5B"/>
              <w:bottom w:val="single" w:sz="4" w:space="0" w:color="293F5B"/>
            </w:tcBorders>
          </w:tcPr>
          <w:p w14:paraId="15B93B56" w14:textId="03E0D946" w:rsidR="00BB2CB4" w:rsidRPr="00222C32" w:rsidRDefault="000674DA">
            <w:pPr>
              <w:pStyle w:val="MeasureTableHeadingleftalignedwith2ptsspacing"/>
              <w:keepNext/>
            </w:pPr>
            <w:r w:rsidRPr="00222C32">
              <w:t>Attorney‑General</w:t>
            </w:r>
            <w:r w:rsidR="007974EF">
              <w:t>’</w:t>
            </w:r>
            <w:r w:rsidRPr="00222C32">
              <w:t>s Department</w:t>
            </w:r>
          </w:p>
        </w:tc>
        <w:tc>
          <w:tcPr>
            <w:tcW w:w="1044" w:type="dxa"/>
            <w:tcBorders>
              <w:top w:val="single" w:sz="4" w:space="0" w:color="293F5B"/>
              <w:bottom w:val="single" w:sz="4" w:space="0" w:color="293F5B"/>
            </w:tcBorders>
          </w:tcPr>
          <w:p w14:paraId="7E26083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415114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74388D0" w14:textId="77777777" w:rsidR="00BB2CB4" w:rsidRPr="00222C32" w:rsidRDefault="000674DA">
            <w:pPr>
              <w:pStyle w:val="MeasureTableDataRightAlignedwith2ptsspacing"/>
              <w:keepNext/>
            </w:pPr>
            <w:r w:rsidRPr="00222C32">
              <w:t>-1.5</w:t>
            </w:r>
          </w:p>
        </w:tc>
        <w:tc>
          <w:tcPr>
            <w:tcW w:w="1044" w:type="dxa"/>
            <w:tcBorders>
              <w:top w:val="single" w:sz="4" w:space="0" w:color="293F5B"/>
              <w:bottom w:val="single" w:sz="4" w:space="0" w:color="293F5B"/>
            </w:tcBorders>
          </w:tcPr>
          <w:p w14:paraId="44E44EC2"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05AE2EFD" w14:textId="77777777" w:rsidR="00BB2CB4" w:rsidRPr="00222C32" w:rsidRDefault="000674DA">
            <w:pPr>
              <w:pStyle w:val="MeasureTableDataRightAlignedwith2ptsspacing"/>
              <w:keepNext/>
            </w:pPr>
            <w:r w:rsidRPr="00222C32">
              <w:t>-</w:t>
            </w:r>
          </w:p>
        </w:tc>
      </w:tr>
      <w:tr w:rsidR="00BB2CB4" w:rsidRPr="00222C32" w14:paraId="58203986" w14:textId="77777777" w:rsidTr="00825163">
        <w:trPr>
          <w:cantSplit/>
        </w:trPr>
        <w:tc>
          <w:tcPr>
            <w:tcW w:w="2501" w:type="dxa"/>
            <w:tcBorders>
              <w:top w:val="single" w:sz="4" w:space="0" w:color="293F5B"/>
              <w:bottom w:val="single" w:sz="4" w:space="0" w:color="293F5B"/>
            </w:tcBorders>
          </w:tcPr>
          <w:p w14:paraId="5F14B3AE"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83DFAD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CCDFCA0" w14:textId="77777777" w:rsidR="00BB2CB4" w:rsidRPr="00222C32" w:rsidRDefault="000674DA">
            <w:pPr>
              <w:pStyle w:val="Totaldatarowrightaligned"/>
              <w:keepNext/>
            </w:pPr>
            <w:r w:rsidRPr="00222C32">
              <w:t>37.1</w:t>
            </w:r>
          </w:p>
        </w:tc>
        <w:tc>
          <w:tcPr>
            <w:tcW w:w="1044" w:type="dxa"/>
            <w:tcBorders>
              <w:top w:val="single" w:sz="4" w:space="0" w:color="293F5B"/>
              <w:bottom w:val="single" w:sz="4" w:space="0" w:color="293F5B"/>
            </w:tcBorders>
          </w:tcPr>
          <w:p w14:paraId="45616822" w14:textId="77777777" w:rsidR="00BB2CB4" w:rsidRPr="00222C32" w:rsidRDefault="000674DA">
            <w:pPr>
              <w:pStyle w:val="Totaldatarowrightaligned"/>
              <w:keepNext/>
            </w:pPr>
            <w:r w:rsidRPr="00222C32">
              <w:t>39.7</w:t>
            </w:r>
          </w:p>
        </w:tc>
        <w:tc>
          <w:tcPr>
            <w:tcW w:w="1044" w:type="dxa"/>
            <w:tcBorders>
              <w:top w:val="single" w:sz="4" w:space="0" w:color="293F5B"/>
              <w:bottom w:val="single" w:sz="4" w:space="0" w:color="293F5B"/>
            </w:tcBorders>
          </w:tcPr>
          <w:p w14:paraId="44E4AA4E" w14:textId="77777777" w:rsidR="00BB2CB4" w:rsidRPr="00222C32" w:rsidRDefault="000674DA">
            <w:pPr>
              <w:pStyle w:val="Totaldatarowrightaligned"/>
              <w:keepNext/>
            </w:pPr>
            <w:r w:rsidRPr="00222C32">
              <w:t>2.4</w:t>
            </w:r>
          </w:p>
        </w:tc>
        <w:tc>
          <w:tcPr>
            <w:tcW w:w="1044" w:type="dxa"/>
            <w:tcBorders>
              <w:top w:val="single" w:sz="4" w:space="0" w:color="293F5B"/>
              <w:bottom w:val="single" w:sz="4" w:space="0" w:color="293F5B"/>
            </w:tcBorders>
          </w:tcPr>
          <w:p w14:paraId="136656E5" w14:textId="77777777" w:rsidR="00BB2CB4" w:rsidRPr="00222C32" w:rsidRDefault="000674DA">
            <w:pPr>
              <w:pStyle w:val="Totaldatarowrightaligned"/>
              <w:keepNext/>
            </w:pPr>
            <w:r w:rsidRPr="00222C32">
              <w:t>3.4</w:t>
            </w:r>
          </w:p>
        </w:tc>
      </w:tr>
    </w:tbl>
    <w:p w14:paraId="6601A59A" w14:textId="77777777" w:rsidR="00A506BB" w:rsidRDefault="00A506BB" w:rsidP="00A506BB">
      <w:pPr>
        <w:pStyle w:val="SingleParagraph"/>
      </w:pPr>
    </w:p>
    <w:p w14:paraId="5F67AD79" w14:textId="63FBFD23" w:rsidR="00BB2CB4" w:rsidRDefault="000674DA">
      <w:pPr>
        <w:pStyle w:val="Normal2"/>
      </w:pPr>
      <w:r>
        <w:t>The Government will provide $85.1 million over four years from 2025–‍26 (and $3.5 million per year ongoing) to support the delivery of Government priorities in the Attorney‑General</w:t>
      </w:r>
      <w:r w:rsidR="00222C32">
        <w:t>’</w:t>
      </w:r>
      <w:r>
        <w:t xml:space="preserve">s </w:t>
      </w:r>
      <w:r w:rsidR="007A29FA">
        <w:t>p</w:t>
      </w:r>
      <w:r>
        <w:t>ortfolio, including:</w:t>
      </w:r>
    </w:p>
    <w:p w14:paraId="2776E834" w14:textId="77777777" w:rsidR="00BB2CB4" w:rsidRDefault="000674DA">
      <w:pPr>
        <w:pStyle w:val="Bullet"/>
      </w:pPr>
      <w:r>
        <w:t>$69.0 million over two years from 2025–‍26 to continue addressing the backlog of Administrative Review Tribunal cases</w:t>
      </w:r>
    </w:p>
    <w:p w14:paraId="17B6E64A" w14:textId="77777777" w:rsidR="00BB2CB4" w:rsidRDefault="000674DA">
      <w:pPr>
        <w:pStyle w:val="Bullet"/>
      </w:pPr>
      <w:r>
        <w:t>$16.1 million over four years from 2025–‍26 (and $3.5 million per year ongoing) for the Office of Parliamentary Counsel to increase its legislative drafting capacity.</w:t>
      </w:r>
    </w:p>
    <w:p w14:paraId="5EAD5EBA" w14:textId="552B1615" w:rsidR="00BB2CB4" w:rsidRDefault="000674DA">
      <w:pPr>
        <w:pStyle w:val="Normal2"/>
      </w:pPr>
      <w:r>
        <w:t>The Government will achieve savings of $2.5 million over two years from 2026–‍27 to partially offset new expenditure in the Attorney‑General</w:t>
      </w:r>
      <w:r w:rsidR="00222C32">
        <w:t>’</w:t>
      </w:r>
      <w:r>
        <w:t xml:space="preserve">s </w:t>
      </w:r>
      <w:r w:rsidR="007A29FA">
        <w:t>p</w:t>
      </w:r>
      <w:r>
        <w:t>ortfolio from a temporary reduction in the Expensive Commonwealth Criminal Cases Fund.</w:t>
      </w:r>
    </w:p>
    <w:p w14:paraId="3C17E81A" w14:textId="7E8C3795" w:rsidR="00BB2CB4" w:rsidRDefault="000674DA">
      <w:pPr>
        <w:pStyle w:val="Normal2"/>
      </w:pPr>
      <w:r>
        <w:t xml:space="preserve">Part of this measure extends the 2023–‍24 Budget measure titled </w:t>
      </w:r>
      <w:r w:rsidRPr="000674DA">
        <w:rPr>
          <w:i/>
        </w:rPr>
        <w:t>Institutional Reform to Australia</w:t>
      </w:r>
      <w:r w:rsidR="00222C32">
        <w:rPr>
          <w:i/>
        </w:rPr>
        <w:t>’</w:t>
      </w:r>
      <w:r w:rsidRPr="000674DA">
        <w:rPr>
          <w:i/>
        </w:rPr>
        <w:t>s System of Federal Administrative Review</w:t>
      </w:r>
      <w:r>
        <w:t>.</w:t>
      </w:r>
    </w:p>
    <w:p w14:paraId="22FDC1DD" w14:textId="77777777" w:rsidR="00BE7654" w:rsidRDefault="00BE7654" w:rsidP="00AB512D">
      <w:pPr>
        <w:pStyle w:val="MeasureTitle"/>
        <w:keepLines/>
      </w:pPr>
      <w:r>
        <w:br w:type="page"/>
      </w:r>
    </w:p>
    <w:p w14:paraId="7C3001D0" w14:textId="2B136B07" w:rsidR="00BB2CB4" w:rsidRDefault="000674DA" w:rsidP="00AB512D">
      <w:pPr>
        <w:pStyle w:val="MeasureTitle"/>
        <w:keepLines/>
      </w:pPr>
      <w:r>
        <w:lastRenderedPageBreak/>
        <w:t>Working With Children Checks Reform</w:t>
      </w:r>
    </w:p>
    <w:p w14:paraId="58C276A2" w14:textId="77777777" w:rsidR="00BB2CB4" w:rsidRDefault="000674DA" w:rsidP="00AB512D">
      <w:pPr>
        <w:pStyle w:val="MeasureTableHeading"/>
        <w:keepLines/>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6600A1D" w14:textId="77777777" w:rsidTr="00825163">
        <w:trPr>
          <w:cantSplit/>
        </w:trPr>
        <w:tc>
          <w:tcPr>
            <w:tcW w:w="2501" w:type="dxa"/>
            <w:tcBorders>
              <w:top w:val="single" w:sz="4" w:space="0" w:color="293F5B"/>
              <w:bottom w:val="single" w:sz="4" w:space="0" w:color="293F5B"/>
            </w:tcBorders>
          </w:tcPr>
          <w:p w14:paraId="374DF83F" w14:textId="77777777" w:rsidR="00BB2CB4" w:rsidRPr="00222C32" w:rsidRDefault="00BB2CB4" w:rsidP="00AB512D">
            <w:pPr>
              <w:pStyle w:val="MeasureTableYearHeadings"/>
              <w:keepNext/>
            </w:pPr>
          </w:p>
        </w:tc>
        <w:tc>
          <w:tcPr>
            <w:tcW w:w="1044" w:type="dxa"/>
            <w:tcBorders>
              <w:top w:val="single" w:sz="4" w:space="0" w:color="293F5B"/>
              <w:bottom w:val="single" w:sz="4" w:space="0" w:color="293F5B"/>
            </w:tcBorders>
          </w:tcPr>
          <w:p w14:paraId="45396918" w14:textId="77777777" w:rsidR="00BB2CB4" w:rsidRPr="00222C32" w:rsidRDefault="000674DA" w:rsidP="00AB512D">
            <w:pPr>
              <w:pStyle w:val="MeasureTableYearHeadings"/>
              <w:keepNext/>
            </w:pPr>
            <w:r w:rsidRPr="00222C32">
              <w:t>2024-25</w:t>
            </w:r>
          </w:p>
        </w:tc>
        <w:tc>
          <w:tcPr>
            <w:tcW w:w="1044" w:type="dxa"/>
            <w:tcBorders>
              <w:top w:val="single" w:sz="4" w:space="0" w:color="293F5B"/>
              <w:bottom w:val="single" w:sz="4" w:space="0" w:color="293F5B"/>
            </w:tcBorders>
          </w:tcPr>
          <w:p w14:paraId="4681A040" w14:textId="77777777" w:rsidR="00BB2CB4" w:rsidRPr="00222C32" w:rsidRDefault="000674DA" w:rsidP="00AB512D">
            <w:pPr>
              <w:pStyle w:val="MeasureTableYearHeadings"/>
              <w:keepNext/>
            </w:pPr>
            <w:r w:rsidRPr="00222C32">
              <w:t>2025-26</w:t>
            </w:r>
          </w:p>
        </w:tc>
        <w:tc>
          <w:tcPr>
            <w:tcW w:w="1044" w:type="dxa"/>
            <w:tcBorders>
              <w:top w:val="single" w:sz="4" w:space="0" w:color="293F5B"/>
              <w:bottom w:val="single" w:sz="4" w:space="0" w:color="293F5B"/>
            </w:tcBorders>
          </w:tcPr>
          <w:p w14:paraId="75ED8B9E" w14:textId="77777777" w:rsidR="00BB2CB4" w:rsidRPr="00222C32" w:rsidRDefault="000674DA" w:rsidP="00AB512D">
            <w:pPr>
              <w:pStyle w:val="MeasureTableYearHeadings"/>
              <w:keepNext/>
            </w:pPr>
            <w:r w:rsidRPr="00222C32">
              <w:t>2026-27</w:t>
            </w:r>
          </w:p>
        </w:tc>
        <w:tc>
          <w:tcPr>
            <w:tcW w:w="1044" w:type="dxa"/>
            <w:tcBorders>
              <w:top w:val="single" w:sz="4" w:space="0" w:color="293F5B"/>
              <w:bottom w:val="single" w:sz="4" w:space="0" w:color="293F5B"/>
            </w:tcBorders>
          </w:tcPr>
          <w:p w14:paraId="35121A78" w14:textId="77777777" w:rsidR="00BB2CB4" w:rsidRPr="00222C32" w:rsidRDefault="000674DA" w:rsidP="00AB512D">
            <w:pPr>
              <w:pStyle w:val="MeasureTableYearHeadings"/>
              <w:keepNext/>
            </w:pPr>
            <w:r w:rsidRPr="00222C32">
              <w:t>2027-28</w:t>
            </w:r>
          </w:p>
        </w:tc>
        <w:tc>
          <w:tcPr>
            <w:tcW w:w="1044" w:type="dxa"/>
            <w:tcBorders>
              <w:top w:val="single" w:sz="4" w:space="0" w:color="293F5B"/>
              <w:bottom w:val="single" w:sz="4" w:space="0" w:color="293F5B"/>
            </w:tcBorders>
          </w:tcPr>
          <w:p w14:paraId="128E40FE" w14:textId="77777777" w:rsidR="00BB2CB4" w:rsidRPr="00222C32" w:rsidRDefault="000674DA" w:rsidP="00AB512D">
            <w:pPr>
              <w:pStyle w:val="MeasureTableYearHeadings"/>
              <w:keepNext/>
            </w:pPr>
            <w:r w:rsidRPr="00222C32">
              <w:t>2028-29</w:t>
            </w:r>
          </w:p>
        </w:tc>
      </w:tr>
      <w:tr w:rsidR="00BB2CB4" w:rsidRPr="00222C32" w14:paraId="05936988" w14:textId="77777777" w:rsidTr="00825163">
        <w:trPr>
          <w:cantSplit/>
        </w:trPr>
        <w:tc>
          <w:tcPr>
            <w:tcW w:w="2501" w:type="dxa"/>
            <w:tcBorders>
              <w:top w:val="single" w:sz="4" w:space="0" w:color="293F5B"/>
              <w:bottom w:val="single" w:sz="4" w:space="0" w:color="293F5B"/>
            </w:tcBorders>
          </w:tcPr>
          <w:p w14:paraId="5D71036D" w14:textId="77777777" w:rsidR="00BB2CB4" w:rsidRPr="00222C32" w:rsidRDefault="000674DA" w:rsidP="00AB512D">
            <w:pPr>
              <w:pStyle w:val="MeasureTableHeadingleftalignedwith2ptsspacing"/>
              <w:keepNext/>
            </w:pPr>
            <w:r w:rsidRPr="00222C32">
              <w:t>Australian Criminal Intelligence Commission</w:t>
            </w:r>
          </w:p>
        </w:tc>
        <w:tc>
          <w:tcPr>
            <w:tcW w:w="1044" w:type="dxa"/>
            <w:tcBorders>
              <w:top w:val="single" w:sz="4" w:space="0" w:color="293F5B"/>
              <w:bottom w:val="single" w:sz="4" w:space="0" w:color="293F5B"/>
            </w:tcBorders>
          </w:tcPr>
          <w:p w14:paraId="539D6767"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5894CF74" w14:textId="77777777" w:rsidR="00BB2CB4" w:rsidRPr="00222C32" w:rsidRDefault="000674DA" w:rsidP="00AB512D">
            <w:pPr>
              <w:pStyle w:val="MeasureTableDataRightAlignedwith2ptsspacing"/>
              <w:keepNext/>
            </w:pPr>
            <w:r w:rsidRPr="00222C32">
              <w:t>1.4</w:t>
            </w:r>
          </w:p>
        </w:tc>
        <w:tc>
          <w:tcPr>
            <w:tcW w:w="1044" w:type="dxa"/>
            <w:tcBorders>
              <w:top w:val="single" w:sz="4" w:space="0" w:color="293F5B"/>
              <w:bottom w:val="single" w:sz="4" w:space="0" w:color="293F5B"/>
            </w:tcBorders>
          </w:tcPr>
          <w:p w14:paraId="5FE78AB4" w14:textId="77777777" w:rsidR="00BB2CB4" w:rsidRPr="00222C32" w:rsidRDefault="000674DA" w:rsidP="00AB512D">
            <w:pPr>
              <w:pStyle w:val="MeasureTableDataRightAlignedwith2ptsspacing"/>
              <w:keepNext/>
            </w:pPr>
            <w:r w:rsidRPr="00222C32">
              <w:t>11.3</w:t>
            </w:r>
          </w:p>
        </w:tc>
        <w:tc>
          <w:tcPr>
            <w:tcW w:w="1044" w:type="dxa"/>
            <w:tcBorders>
              <w:top w:val="single" w:sz="4" w:space="0" w:color="293F5B"/>
              <w:bottom w:val="single" w:sz="4" w:space="0" w:color="293F5B"/>
            </w:tcBorders>
          </w:tcPr>
          <w:p w14:paraId="50C0F501" w14:textId="77777777" w:rsidR="00BB2CB4" w:rsidRPr="00222C32" w:rsidRDefault="000674DA" w:rsidP="00AB512D">
            <w:pPr>
              <w:pStyle w:val="MeasureTableDataRightAlignedwith2ptsspacing"/>
              <w:keepNext/>
            </w:pPr>
            <w:r w:rsidRPr="00222C32">
              <w:t>11.2</w:t>
            </w:r>
          </w:p>
        </w:tc>
        <w:tc>
          <w:tcPr>
            <w:tcW w:w="1044" w:type="dxa"/>
            <w:tcBorders>
              <w:top w:val="single" w:sz="4" w:space="0" w:color="293F5B"/>
              <w:bottom w:val="single" w:sz="4" w:space="0" w:color="293F5B"/>
            </w:tcBorders>
          </w:tcPr>
          <w:p w14:paraId="15840A7F" w14:textId="77777777" w:rsidR="00BB2CB4" w:rsidRPr="00222C32" w:rsidRDefault="000674DA" w:rsidP="00AB512D">
            <w:pPr>
              <w:pStyle w:val="MeasureTableDataRightAlignedwith2ptsspacing"/>
              <w:keepNext/>
            </w:pPr>
            <w:r w:rsidRPr="00222C32">
              <w:t>10.8</w:t>
            </w:r>
          </w:p>
        </w:tc>
      </w:tr>
      <w:tr w:rsidR="00BB2CB4" w:rsidRPr="00222C32" w14:paraId="4FAAE34F" w14:textId="77777777" w:rsidTr="00825163">
        <w:trPr>
          <w:cantSplit/>
        </w:trPr>
        <w:tc>
          <w:tcPr>
            <w:tcW w:w="2501" w:type="dxa"/>
            <w:tcBorders>
              <w:top w:val="single" w:sz="4" w:space="0" w:color="293F5B"/>
              <w:bottom w:val="single" w:sz="4" w:space="0" w:color="293F5B"/>
            </w:tcBorders>
          </w:tcPr>
          <w:p w14:paraId="03442D26" w14:textId="70FB12D2" w:rsidR="00BB2CB4" w:rsidRPr="00222C32" w:rsidRDefault="000674DA" w:rsidP="00AB512D">
            <w:pPr>
              <w:pStyle w:val="MeasureTableHeadingleftalignedwith2ptsspacing"/>
              <w:keepNext/>
            </w:pPr>
            <w:r w:rsidRPr="00222C32">
              <w:t>Attorney‑General</w:t>
            </w:r>
            <w:r w:rsidR="007974EF">
              <w:t>’</w:t>
            </w:r>
            <w:r w:rsidRPr="00222C32">
              <w:t>s Department</w:t>
            </w:r>
          </w:p>
        </w:tc>
        <w:tc>
          <w:tcPr>
            <w:tcW w:w="1044" w:type="dxa"/>
            <w:tcBorders>
              <w:top w:val="single" w:sz="4" w:space="0" w:color="293F5B"/>
              <w:bottom w:val="single" w:sz="4" w:space="0" w:color="293F5B"/>
            </w:tcBorders>
          </w:tcPr>
          <w:p w14:paraId="6984BAC2"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23FD87E9" w14:textId="77777777" w:rsidR="00BB2CB4" w:rsidRPr="00222C32" w:rsidRDefault="000674DA" w:rsidP="00AB512D">
            <w:pPr>
              <w:pStyle w:val="MeasureTableDataRightAlignedwith2ptsspacing"/>
              <w:keepNext/>
            </w:pPr>
            <w:r w:rsidRPr="00222C32">
              <w:t>0.5</w:t>
            </w:r>
          </w:p>
        </w:tc>
        <w:tc>
          <w:tcPr>
            <w:tcW w:w="1044" w:type="dxa"/>
            <w:tcBorders>
              <w:top w:val="single" w:sz="4" w:space="0" w:color="293F5B"/>
              <w:bottom w:val="single" w:sz="4" w:space="0" w:color="293F5B"/>
            </w:tcBorders>
          </w:tcPr>
          <w:p w14:paraId="5053C18C"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3834F1C6"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622C1191" w14:textId="77777777" w:rsidR="00BB2CB4" w:rsidRPr="00222C32" w:rsidRDefault="000674DA" w:rsidP="00AB512D">
            <w:pPr>
              <w:pStyle w:val="MeasureTableDataRightAlignedwith2ptsspacing"/>
              <w:keepNext/>
            </w:pPr>
            <w:r w:rsidRPr="00222C32">
              <w:t>-</w:t>
            </w:r>
          </w:p>
        </w:tc>
      </w:tr>
      <w:tr w:rsidR="00BB2CB4" w:rsidRPr="00222C32" w14:paraId="37476D8E" w14:textId="77777777" w:rsidTr="00825163">
        <w:trPr>
          <w:cantSplit/>
        </w:trPr>
        <w:tc>
          <w:tcPr>
            <w:tcW w:w="2501" w:type="dxa"/>
            <w:tcBorders>
              <w:top w:val="single" w:sz="4" w:space="0" w:color="293F5B"/>
              <w:bottom w:val="single" w:sz="4" w:space="0" w:color="293F5B"/>
            </w:tcBorders>
          </w:tcPr>
          <w:p w14:paraId="69DF1C4C" w14:textId="77777777" w:rsidR="00BB2CB4" w:rsidRPr="00222C32" w:rsidRDefault="000674DA" w:rsidP="00AB512D">
            <w:pPr>
              <w:pStyle w:val="MeasureTableHeadingleftalignedwith2ptsspacing"/>
              <w:keepNext/>
            </w:pPr>
            <w:r w:rsidRPr="00222C32">
              <w:t>Australian Institute of Criminology</w:t>
            </w:r>
          </w:p>
        </w:tc>
        <w:tc>
          <w:tcPr>
            <w:tcW w:w="1044" w:type="dxa"/>
            <w:tcBorders>
              <w:top w:val="single" w:sz="4" w:space="0" w:color="293F5B"/>
              <w:bottom w:val="single" w:sz="4" w:space="0" w:color="293F5B"/>
            </w:tcBorders>
          </w:tcPr>
          <w:p w14:paraId="2F4D7E34"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4AEF6EA0" w14:textId="77777777" w:rsidR="00BB2CB4" w:rsidRPr="00222C32" w:rsidRDefault="000674DA" w:rsidP="00AB512D">
            <w:pPr>
              <w:pStyle w:val="MeasureTableDataRightAlignedwith2ptsspacing"/>
              <w:keepNext/>
            </w:pPr>
            <w:r w:rsidRPr="00222C32">
              <w:t>0.3</w:t>
            </w:r>
          </w:p>
        </w:tc>
        <w:tc>
          <w:tcPr>
            <w:tcW w:w="1044" w:type="dxa"/>
            <w:tcBorders>
              <w:top w:val="single" w:sz="4" w:space="0" w:color="293F5B"/>
              <w:bottom w:val="single" w:sz="4" w:space="0" w:color="293F5B"/>
            </w:tcBorders>
          </w:tcPr>
          <w:p w14:paraId="5E73D2E1" w14:textId="77777777" w:rsidR="00BB2CB4" w:rsidRPr="00222C32" w:rsidRDefault="000674DA" w:rsidP="00AB512D">
            <w:pPr>
              <w:pStyle w:val="MeasureTableDataRightAlignedwith2ptsspacing"/>
              <w:keepNext/>
            </w:pPr>
            <w:r w:rsidRPr="00222C32">
              <w:t>0.9</w:t>
            </w:r>
          </w:p>
        </w:tc>
        <w:tc>
          <w:tcPr>
            <w:tcW w:w="1044" w:type="dxa"/>
            <w:tcBorders>
              <w:top w:val="single" w:sz="4" w:space="0" w:color="293F5B"/>
              <w:bottom w:val="single" w:sz="4" w:space="0" w:color="293F5B"/>
            </w:tcBorders>
          </w:tcPr>
          <w:p w14:paraId="1C6DEB04" w14:textId="77777777" w:rsidR="00BB2CB4" w:rsidRPr="00222C32" w:rsidRDefault="000674DA" w:rsidP="00AB512D">
            <w:pPr>
              <w:pStyle w:val="MeasureTableDataRightAlignedwith2ptsspacing"/>
              <w:keepNext/>
            </w:pPr>
            <w:r w:rsidRPr="00222C32">
              <w:t>0.5</w:t>
            </w:r>
          </w:p>
        </w:tc>
        <w:tc>
          <w:tcPr>
            <w:tcW w:w="1044" w:type="dxa"/>
            <w:tcBorders>
              <w:top w:val="single" w:sz="4" w:space="0" w:color="293F5B"/>
              <w:bottom w:val="single" w:sz="4" w:space="0" w:color="293F5B"/>
            </w:tcBorders>
          </w:tcPr>
          <w:p w14:paraId="3FDDB3CC" w14:textId="77777777" w:rsidR="00BB2CB4" w:rsidRPr="00222C32" w:rsidRDefault="000674DA" w:rsidP="00AB512D">
            <w:pPr>
              <w:pStyle w:val="MeasureTableDataRightAlignedwith2ptsspacing"/>
              <w:keepNext/>
            </w:pPr>
            <w:r w:rsidRPr="00222C32">
              <w:t>-</w:t>
            </w:r>
          </w:p>
        </w:tc>
      </w:tr>
      <w:tr w:rsidR="00BB2CB4" w:rsidRPr="00222C32" w14:paraId="25A35FEB" w14:textId="77777777" w:rsidTr="00825163">
        <w:trPr>
          <w:cantSplit/>
        </w:trPr>
        <w:tc>
          <w:tcPr>
            <w:tcW w:w="2501" w:type="dxa"/>
            <w:tcBorders>
              <w:top w:val="single" w:sz="4" w:space="0" w:color="293F5B"/>
              <w:bottom w:val="single" w:sz="4" w:space="0" w:color="293F5B"/>
            </w:tcBorders>
          </w:tcPr>
          <w:p w14:paraId="4A42AF43" w14:textId="77777777" w:rsidR="00BB2CB4" w:rsidRPr="00222C32" w:rsidRDefault="000674DA" w:rsidP="00AB512D">
            <w:pPr>
              <w:pStyle w:val="MeasureTableHeadingleftalignedwith2ptsspacing"/>
              <w:keepNext/>
            </w:pPr>
            <w:r w:rsidRPr="00222C32">
              <w:t>Digital Transformation Agency</w:t>
            </w:r>
          </w:p>
        </w:tc>
        <w:tc>
          <w:tcPr>
            <w:tcW w:w="1044" w:type="dxa"/>
            <w:tcBorders>
              <w:top w:val="single" w:sz="4" w:space="0" w:color="293F5B"/>
              <w:bottom w:val="single" w:sz="4" w:space="0" w:color="293F5B"/>
            </w:tcBorders>
          </w:tcPr>
          <w:p w14:paraId="7B4A6C89"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7132C3BF"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438C5984"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7A5302C7"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5D9E86B9" w14:textId="77777777" w:rsidR="00BB2CB4" w:rsidRPr="00222C32" w:rsidRDefault="000674DA" w:rsidP="00AB512D">
            <w:pPr>
              <w:pStyle w:val="MeasureTableDataRightAlignedwith2ptsspacing"/>
              <w:keepNext/>
            </w:pPr>
            <w:r w:rsidRPr="00222C32">
              <w:t>..</w:t>
            </w:r>
          </w:p>
        </w:tc>
      </w:tr>
      <w:tr w:rsidR="00BB2CB4" w:rsidRPr="00222C32" w14:paraId="10A74374" w14:textId="77777777" w:rsidTr="00825163">
        <w:trPr>
          <w:cantSplit/>
        </w:trPr>
        <w:tc>
          <w:tcPr>
            <w:tcW w:w="2501" w:type="dxa"/>
            <w:tcBorders>
              <w:top w:val="single" w:sz="4" w:space="0" w:color="293F5B"/>
              <w:bottom w:val="single" w:sz="4" w:space="0" w:color="293F5B"/>
            </w:tcBorders>
          </w:tcPr>
          <w:p w14:paraId="07A385C1" w14:textId="77777777" w:rsidR="00BB2CB4" w:rsidRPr="00222C32" w:rsidRDefault="000674DA" w:rsidP="00AB512D">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74EE640" w14:textId="77777777" w:rsidR="00BB2CB4" w:rsidRPr="00222C32" w:rsidRDefault="000674DA" w:rsidP="00AB512D">
            <w:pPr>
              <w:pStyle w:val="MeasureTableDataRightAlignedwith2ptsspacing"/>
              <w:keepNext/>
            </w:pPr>
            <w:r w:rsidRPr="00222C32">
              <w:t>-</w:t>
            </w:r>
          </w:p>
        </w:tc>
        <w:tc>
          <w:tcPr>
            <w:tcW w:w="1044" w:type="dxa"/>
            <w:tcBorders>
              <w:top w:val="single" w:sz="4" w:space="0" w:color="293F5B"/>
              <w:bottom w:val="single" w:sz="4" w:space="0" w:color="293F5B"/>
            </w:tcBorders>
          </w:tcPr>
          <w:p w14:paraId="18E3F461" w14:textId="77777777" w:rsidR="00BB2CB4" w:rsidRPr="00222C32" w:rsidRDefault="000674DA" w:rsidP="00AB512D">
            <w:pPr>
              <w:pStyle w:val="MeasureTableDataRightAlignedwith2ptsspacing"/>
              <w:keepNext/>
            </w:pPr>
            <w:r w:rsidRPr="00222C32">
              <w:t>nfp</w:t>
            </w:r>
          </w:p>
        </w:tc>
        <w:tc>
          <w:tcPr>
            <w:tcW w:w="1044" w:type="dxa"/>
            <w:tcBorders>
              <w:top w:val="single" w:sz="4" w:space="0" w:color="293F5B"/>
              <w:bottom w:val="single" w:sz="4" w:space="0" w:color="293F5B"/>
            </w:tcBorders>
          </w:tcPr>
          <w:p w14:paraId="7C22D984" w14:textId="77777777" w:rsidR="00BB2CB4" w:rsidRPr="00222C32" w:rsidRDefault="000674DA" w:rsidP="00AB512D">
            <w:pPr>
              <w:pStyle w:val="MeasureTableDataRightAlignedwith2ptsspacing"/>
              <w:keepNext/>
            </w:pPr>
            <w:r w:rsidRPr="00222C32">
              <w:t>nfp</w:t>
            </w:r>
          </w:p>
        </w:tc>
        <w:tc>
          <w:tcPr>
            <w:tcW w:w="1044" w:type="dxa"/>
            <w:tcBorders>
              <w:top w:val="single" w:sz="4" w:space="0" w:color="293F5B"/>
              <w:bottom w:val="single" w:sz="4" w:space="0" w:color="293F5B"/>
            </w:tcBorders>
          </w:tcPr>
          <w:p w14:paraId="5FFFAA91" w14:textId="77777777" w:rsidR="00BB2CB4" w:rsidRPr="00222C32" w:rsidRDefault="000674DA" w:rsidP="00AB512D">
            <w:pPr>
              <w:pStyle w:val="MeasureTableDataRightAlignedwith2ptsspacing"/>
              <w:keepNext/>
            </w:pPr>
            <w:r w:rsidRPr="00222C32">
              <w:t>nfp</w:t>
            </w:r>
          </w:p>
        </w:tc>
        <w:tc>
          <w:tcPr>
            <w:tcW w:w="1044" w:type="dxa"/>
            <w:tcBorders>
              <w:top w:val="single" w:sz="4" w:space="0" w:color="293F5B"/>
              <w:bottom w:val="single" w:sz="4" w:space="0" w:color="293F5B"/>
            </w:tcBorders>
          </w:tcPr>
          <w:p w14:paraId="6E3F6233" w14:textId="77777777" w:rsidR="00BB2CB4" w:rsidRPr="00222C32" w:rsidRDefault="000674DA" w:rsidP="00AB512D">
            <w:pPr>
              <w:pStyle w:val="MeasureTableDataRightAlignedwith2ptsspacing"/>
              <w:keepNext/>
            </w:pPr>
            <w:r w:rsidRPr="00222C32">
              <w:t>-</w:t>
            </w:r>
          </w:p>
        </w:tc>
      </w:tr>
      <w:tr w:rsidR="00BB2CB4" w:rsidRPr="00222C32" w14:paraId="125D7F32" w14:textId="77777777" w:rsidTr="00825163">
        <w:trPr>
          <w:cantSplit/>
        </w:trPr>
        <w:tc>
          <w:tcPr>
            <w:tcW w:w="2501" w:type="dxa"/>
            <w:tcBorders>
              <w:top w:val="single" w:sz="4" w:space="0" w:color="293F5B"/>
              <w:bottom w:val="single" w:sz="4" w:space="0" w:color="293F5B"/>
            </w:tcBorders>
          </w:tcPr>
          <w:p w14:paraId="7BD3759B" w14:textId="77777777" w:rsidR="00BB2CB4" w:rsidRPr="00222C32" w:rsidRDefault="000674DA" w:rsidP="00AB512D">
            <w:pPr>
              <w:pStyle w:val="Totalrowleftaligned"/>
              <w:keepNext/>
            </w:pPr>
            <w:r w:rsidRPr="00222C32">
              <w:t>Total – Payments</w:t>
            </w:r>
          </w:p>
        </w:tc>
        <w:tc>
          <w:tcPr>
            <w:tcW w:w="1044" w:type="dxa"/>
            <w:tcBorders>
              <w:top w:val="single" w:sz="4" w:space="0" w:color="293F5B"/>
              <w:bottom w:val="single" w:sz="4" w:space="0" w:color="293F5B"/>
            </w:tcBorders>
          </w:tcPr>
          <w:p w14:paraId="7A53AB8C" w14:textId="77777777" w:rsidR="00BB2CB4" w:rsidRPr="00222C32" w:rsidRDefault="000674DA" w:rsidP="00AB512D">
            <w:pPr>
              <w:pStyle w:val="Totaldatarowrightaligned"/>
              <w:keepNext/>
            </w:pPr>
            <w:r w:rsidRPr="00222C32">
              <w:t>-</w:t>
            </w:r>
          </w:p>
        </w:tc>
        <w:tc>
          <w:tcPr>
            <w:tcW w:w="1044" w:type="dxa"/>
            <w:tcBorders>
              <w:top w:val="single" w:sz="4" w:space="0" w:color="293F5B"/>
              <w:bottom w:val="single" w:sz="4" w:space="0" w:color="293F5B"/>
            </w:tcBorders>
          </w:tcPr>
          <w:p w14:paraId="76E91DF4" w14:textId="77777777" w:rsidR="00BB2CB4" w:rsidRPr="00222C32" w:rsidRDefault="000674DA" w:rsidP="00AB512D">
            <w:pPr>
              <w:pStyle w:val="Totaldatarowrightaligned"/>
              <w:keepNext/>
            </w:pPr>
            <w:r w:rsidRPr="00222C32">
              <w:t>2.3</w:t>
            </w:r>
          </w:p>
        </w:tc>
        <w:tc>
          <w:tcPr>
            <w:tcW w:w="1044" w:type="dxa"/>
            <w:tcBorders>
              <w:top w:val="single" w:sz="4" w:space="0" w:color="293F5B"/>
              <w:bottom w:val="single" w:sz="4" w:space="0" w:color="293F5B"/>
            </w:tcBorders>
          </w:tcPr>
          <w:p w14:paraId="682F22D5" w14:textId="77777777" w:rsidR="00BB2CB4" w:rsidRPr="00222C32" w:rsidRDefault="000674DA" w:rsidP="00AB512D">
            <w:pPr>
              <w:pStyle w:val="Totaldatarowrightaligned"/>
              <w:keepNext/>
            </w:pPr>
            <w:r w:rsidRPr="00222C32">
              <w:t>12.2</w:t>
            </w:r>
          </w:p>
        </w:tc>
        <w:tc>
          <w:tcPr>
            <w:tcW w:w="1044" w:type="dxa"/>
            <w:tcBorders>
              <w:top w:val="single" w:sz="4" w:space="0" w:color="293F5B"/>
              <w:bottom w:val="single" w:sz="4" w:space="0" w:color="293F5B"/>
            </w:tcBorders>
          </w:tcPr>
          <w:p w14:paraId="735835B2" w14:textId="77777777" w:rsidR="00BB2CB4" w:rsidRPr="00222C32" w:rsidRDefault="000674DA" w:rsidP="00AB512D">
            <w:pPr>
              <w:pStyle w:val="Totaldatarowrightaligned"/>
              <w:keepNext/>
            </w:pPr>
            <w:r w:rsidRPr="00222C32">
              <w:t>11.7</w:t>
            </w:r>
          </w:p>
        </w:tc>
        <w:tc>
          <w:tcPr>
            <w:tcW w:w="1044" w:type="dxa"/>
            <w:tcBorders>
              <w:top w:val="single" w:sz="4" w:space="0" w:color="293F5B"/>
              <w:bottom w:val="single" w:sz="4" w:space="0" w:color="293F5B"/>
            </w:tcBorders>
          </w:tcPr>
          <w:p w14:paraId="1A10D238" w14:textId="77777777" w:rsidR="00BB2CB4" w:rsidRPr="00222C32" w:rsidRDefault="000674DA" w:rsidP="00AB512D">
            <w:pPr>
              <w:pStyle w:val="Totaldatarowrightaligned"/>
              <w:keepNext/>
            </w:pPr>
            <w:r w:rsidRPr="00222C32">
              <w:t>10.8</w:t>
            </w:r>
          </w:p>
        </w:tc>
      </w:tr>
    </w:tbl>
    <w:p w14:paraId="29426486" w14:textId="77777777" w:rsidR="00A506BB" w:rsidRDefault="00A506BB" w:rsidP="00AB512D">
      <w:pPr>
        <w:pStyle w:val="SingleParagraph"/>
        <w:keepNext/>
        <w:keepLines/>
      </w:pPr>
    </w:p>
    <w:p w14:paraId="23DE89E6" w14:textId="77777777" w:rsidR="00BB2CB4" w:rsidRDefault="000674DA" w:rsidP="00AB512D">
      <w:pPr>
        <w:pStyle w:val="Normal2"/>
        <w:keepNext/>
        <w:keepLines/>
      </w:pPr>
      <w:r>
        <w:t>The Government will provide funding to reform Working with Children Checks with states and territories, including:</w:t>
      </w:r>
    </w:p>
    <w:p w14:paraId="2B5D0430" w14:textId="77777777" w:rsidR="00BB2CB4" w:rsidRDefault="000674DA">
      <w:pPr>
        <w:pStyle w:val="Bullet"/>
      </w:pPr>
      <w:r>
        <w:t>$34.6 million over four years from 2025–‍26 (and an additional $2.4 million in 2029–‍30) for the Australian Criminal Intelligence Commission to develop, implement and sustain the National Continuous Checking Capability, to enable a national approach to Working with Children Checks screening</w:t>
      </w:r>
    </w:p>
    <w:p w14:paraId="2A7671CB" w14:textId="77777777" w:rsidR="00BB2CB4" w:rsidRDefault="000674DA">
      <w:pPr>
        <w:pStyle w:val="Bullet"/>
      </w:pPr>
      <w:r>
        <w:t>$1.7 million over three years from 2025–‍26 for the Australian Institute of Criminology to conduct research into perpetrator behaviour to inform future Working with Children Checks reform</w:t>
      </w:r>
    </w:p>
    <w:p w14:paraId="1CF82FBF" w14:textId="1D531610" w:rsidR="00BB2CB4" w:rsidRDefault="000674DA">
      <w:pPr>
        <w:pStyle w:val="Bullet"/>
      </w:pPr>
      <w:r>
        <w:t>$0.5 million in 2025–‍26 to the Attorney‑General</w:t>
      </w:r>
      <w:r w:rsidR="00222C32">
        <w:t>’</w:t>
      </w:r>
      <w:r>
        <w:t>s Department to enable the National Office of Child Safety to continue work on national child safety arrangements and implement the National Standards for Working with Children Checks.</w:t>
      </w:r>
    </w:p>
    <w:p w14:paraId="784C724C" w14:textId="77777777" w:rsidR="00BB2CB4" w:rsidRDefault="000674DA">
      <w:pPr>
        <w:pStyle w:val="Normal2"/>
      </w:pPr>
      <w:r>
        <w:t>Partial funding for this measure will be held in the Contingency Reserve until after jurisdictional onboarding to the National Continuous Checking Capability.</w:t>
      </w:r>
    </w:p>
    <w:p w14:paraId="27C9CB7E" w14:textId="77777777" w:rsidR="00BB2CB4" w:rsidRDefault="000674DA">
      <w:pPr>
        <w:pStyle w:val="Normal2"/>
      </w:pPr>
      <w:r w:rsidRPr="69C11E82">
        <w:rPr>
          <w:lang w:val="en-US"/>
        </w:rPr>
        <w:t xml:space="preserve">The cost of this measure will be partially met from a reprioritisation of funding from the 2025–‍26 MYEFO measure titled </w:t>
      </w:r>
      <w:r w:rsidRPr="69C11E82">
        <w:rPr>
          <w:i/>
          <w:lang w:val="en-US"/>
        </w:rPr>
        <w:t>Education – reprioritisation</w:t>
      </w:r>
      <w:r w:rsidRPr="69C11E82">
        <w:rPr>
          <w:lang w:val="en-US"/>
        </w:rPr>
        <w:t>.</w:t>
      </w:r>
    </w:p>
    <w:p w14:paraId="03905A3F" w14:textId="77777777" w:rsidR="00BB2CB4" w:rsidRDefault="000674DA">
      <w:pPr>
        <w:pStyle w:val="Normal2"/>
      </w:pPr>
      <w:r>
        <w:t>The Treasury manages Commonwealth payments to the states and territories.</w:t>
      </w:r>
    </w:p>
    <w:p w14:paraId="53E2E293" w14:textId="77777777" w:rsidR="00BB2CB4" w:rsidRDefault="000674DA">
      <w:pPr>
        <w:pStyle w:val="Normal2"/>
      </w:pPr>
      <w:r w:rsidRPr="42F5CE43">
        <w:rPr>
          <w:lang w:val="en-US"/>
        </w:rPr>
        <w:t>Some elements of this measure are not for publication (nfp) because it would prejudice Commonwealth negotiations with relevant jurisdictions on funding levels.</w:t>
      </w:r>
    </w:p>
    <w:p w14:paraId="421B0A61" w14:textId="77777777" w:rsidR="00BB2CB4" w:rsidRDefault="000674DA">
      <w:pPr>
        <w:pStyle w:val="Normal2"/>
      </w:pPr>
      <w:r>
        <w:t xml:space="preserve">This measure extends the 2023–‍24 MYEFO measure titled </w:t>
      </w:r>
      <w:r w:rsidRPr="000674DA">
        <w:rPr>
          <w:i/>
        </w:rPr>
        <w:t>National Strategy for the Care and Support Economy – delivering foundational initiatives</w:t>
      </w:r>
      <w:r>
        <w:t>.</w:t>
      </w:r>
    </w:p>
    <w:p w14:paraId="2269F113" w14:textId="77777777" w:rsidR="00BB2CB4" w:rsidRDefault="00BB2CB4">
      <w:pPr>
        <w:sectPr w:rsidR="00BB2CB4" w:rsidSect="00301ACF">
          <w:headerReference w:type="even" r:id="rId55"/>
          <w:headerReference w:type="default" r:id="rId56"/>
          <w:footerReference w:type="even" r:id="rId57"/>
          <w:footerReference w:type="default" r:id="rId58"/>
          <w:headerReference w:type="first" r:id="rId59"/>
          <w:footerReference w:type="first" r:id="rId60"/>
          <w:pgSz w:w="11906" w:h="16838" w:code="9"/>
          <w:pgMar w:top="2835" w:right="2098" w:bottom="2466" w:left="2098" w:header="1814" w:footer="1814" w:gutter="0"/>
          <w:cols w:space="720"/>
          <w:docGrid w:linePitch="272"/>
        </w:sectPr>
      </w:pPr>
    </w:p>
    <w:p w14:paraId="55522477" w14:textId="77777777" w:rsidR="00BB2CB4" w:rsidRDefault="000674DA" w:rsidP="000C2D78">
      <w:pPr>
        <w:pStyle w:val="PortfolioName"/>
        <w:spacing w:before="0"/>
      </w:pPr>
      <w:r>
        <w:lastRenderedPageBreak/>
        <w:t>Climate Change, Energy, the Environment and Water</w:t>
      </w:r>
    </w:p>
    <w:p w14:paraId="4B4DDCC5" w14:textId="77777777" w:rsidR="00BB2CB4" w:rsidRDefault="000674DA">
      <w:pPr>
        <w:pStyle w:val="MeasureTitle"/>
      </w:pPr>
      <w:r>
        <w:t>A Rapidly Transforming Energy System</w:t>
      </w:r>
    </w:p>
    <w:p w14:paraId="051B4ED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A438767" w14:textId="77777777" w:rsidTr="00825163">
        <w:tc>
          <w:tcPr>
            <w:tcW w:w="2501" w:type="dxa"/>
            <w:tcBorders>
              <w:top w:val="single" w:sz="4" w:space="0" w:color="293F5B"/>
              <w:bottom w:val="single" w:sz="4" w:space="0" w:color="293F5B"/>
            </w:tcBorders>
          </w:tcPr>
          <w:p w14:paraId="03ACE082"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A2D908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10D5DF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8DA699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E1129FB"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3846C83" w14:textId="77777777" w:rsidR="00BB2CB4" w:rsidRPr="00222C32" w:rsidRDefault="000674DA">
            <w:pPr>
              <w:pStyle w:val="MeasureTableYearHeadings"/>
              <w:keepNext/>
            </w:pPr>
            <w:r w:rsidRPr="00222C32">
              <w:t>2028-29</w:t>
            </w:r>
          </w:p>
        </w:tc>
      </w:tr>
      <w:tr w:rsidR="00BB2CB4" w:rsidRPr="00222C32" w14:paraId="79D92FB8" w14:textId="77777777" w:rsidTr="00825163">
        <w:tc>
          <w:tcPr>
            <w:tcW w:w="2501" w:type="dxa"/>
            <w:tcBorders>
              <w:top w:val="single" w:sz="4" w:space="0" w:color="293F5B"/>
              <w:bottom w:val="single" w:sz="4" w:space="0" w:color="293F5B"/>
            </w:tcBorders>
          </w:tcPr>
          <w:p w14:paraId="5BAE3B87"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462EA45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662EEC7" w14:textId="77777777" w:rsidR="00BB2CB4" w:rsidRPr="00222C32" w:rsidRDefault="000674DA">
            <w:pPr>
              <w:pStyle w:val="MeasureTableDataRightAlignedwith2ptsspacing"/>
              <w:keepNext/>
            </w:pPr>
            <w:r w:rsidRPr="00222C32">
              <w:t>96.6</w:t>
            </w:r>
          </w:p>
        </w:tc>
        <w:tc>
          <w:tcPr>
            <w:tcW w:w="1044" w:type="dxa"/>
            <w:tcBorders>
              <w:top w:val="single" w:sz="4" w:space="0" w:color="293F5B"/>
              <w:bottom w:val="single" w:sz="4" w:space="0" w:color="293F5B"/>
            </w:tcBorders>
          </w:tcPr>
          <w:p w14:paraId="1C6F0DFB" w14:textId="77777777" w:rsidR="00BB2CB4" w:rsidRPr="00222C32" w:rsidRDefault="000674DA">
            <w:pPr>
              <w:pStyle w:val="MeasureTableDataRightAlignedwith2ptsspacing"/>
              <w:keepNext/>
            </w:pPr>
            <w:r w:rsidRPr="00222C32">
              <w:t>4.4</w:t>
            </w:r>
          </w:p>
        </w:tc>
        <w:tc>
          <w:tcPr>
            <w:tcW w:w="1044" w:type="dxa"/>
            <w:tcBorders>
              <w:top w:val="single" w:sz="4" w:space="0" w:color="293F5B"/>
              <w:bottom w:val="single" w:sz="4" w:space="0" w:color="293F5B"/>
            </w:tcBorders>
          </w:tcPr>
          <w:p w14:paraId="6B7806C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6AA2EFA" w14:textId="77777777" w:rsidR="00BB2CB4" w:rsidRPr="00222C32" w:rsidRDefault="000674DA">
            <w:pPr>
              <w:pStyle w:val="MeasureTableDataRightAlignedwith2ptsspacing"/>
              <w:keepNext/>
            </w:pPr>
            <w:r w:rsidRPr="00222C32">
              <w:t>-</w:t>
            </w:r>
          </w:p>
        </w:tc>
      </w:tr>
      <w:tr w:rsidR="00BB2CB4" w:rsidRPr="00222C32" w14:paraId="28550D32" w14:textId="77777777" w:rsidTr="00825163">
        <w:tc>
          <w:tcPr>
            <w:tcW w:w="2501" w:type="dxa"/>
            <w:tcBorders>
              <w:top w:val="single" w:sz="4" w:space="0" w:color="293F5B"/>
              <w:bottom w:val="single" w:sz="4" w:space="0" w:color="293F5B"/>
            </w:tcBorders>
          </w:tcPr>
          <w:p w14:paraId="1C088C46"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0EFA189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B8E5DC8" w14:textId="77777777" w:rsidR="00BB2CB4" w:rsidRPr="00222C32" w:rsidRDefault="000674DA">
            <w:pPr>
              <w:pStyle w:val="MeasureTableDataRightAlignedwith2ptsspacing"/>
              <w:keepNext/>
            </w:pPr>
            <w:r w:rsidRPr="00222C32">
              <w:t>15.2</w:t>
            </w:r>
          </w:p>
        </w:tc>
        <w:tc>
          <w:tcPr>
            <w:tcW w:w="1044" w:type="dxa"/>
            <w:tcBorders>
              <w:top w:val="single" w:sz="4" w:space="0" w:color="293F5B"/>
              <w:bottom w:val="single" w:sz="4" w:space="0" w:color="293F5B"/>
            </w:tcBorders>
          </w:tcPr>
          <w:p w14:paraId="0FB07DFA" w14:textId="77777777" w:rsidR="00BB2CB4" w:rsidRPr="00222C32" w:rsidRDefault="000674DA">
            <w:pPr>
              <w:pStyle w:val="MeasureTableDataRightAlignedwith2ptsspacing"/>
              <w:keepNext/>
            </w:pPr>
            <w:r w:rsidRPr="00222C32">
              <w:t>11.2</w:t>
            </w:r>
          </w:p>
        </w:tc>
        <w:tc>
          <w:tcPr>
            <w:tcW w:w="1044" w:type="dxa"/>
            <w:tcBorders>
              <w:top w:val="single" w:sz="4" w:space="0" w:color="293F5B"/>
              <w:bottom w:val="single" w:sz="4" w:space="0" w:color="293F5B"/>
            </w:tcBorders>
          </w:tcPr>
          <w:p w14:paraId="00DD9BC4" w14:textId="77777777" w:rsidR="00BB2CB4" w:rsidRPr="00222C32" w:rsidRDefault="000674DA">
            <w:pPr>
              <w:pStyle w:val="MeasureTableDataRightAlignedwith2ptsspacing"/>
              <w:keepNext/>
            </w:pPr>
            <w:r w:rsidRPr="00222C32">
              <w:t>3.3</w:t>
            </w:r>
          </w:p>
        </w:tc>
        <w:tc>
          <w:tcPr>
            <w:tcW w:w="1044" w:type="dxa"/>
            <w:tcBorders>
              <w:top w:val="single" w:sz="4" w:space="0" w:color="293F5B"/>
              <w:bottom w:val="single" w:sz="4" w:space="0" w:color="293F5B"/>
            </w:tcBorders>
          </w:tcPr>
          <w:p w14:paraId="50AD6DAB" w14:textId="77777777" w:rsidR="00BB2CB4" w:rsidRPr="00222C32" w:rsidRDefault="000674DA">
            <w:pPr>
              <w:pStyle w:val="MeasureTableDataRightAlignedwith2ptsspacing"/>
              <w:keepNext/>
            </w:pPr>
            <w:r w:rsidRPr="00222C32">
              <w:t>3.3</w:t>
            </w:r>
          </w:p>
        </w:tc>
      </w:tr>
      <w:tr w:rsidR="00BB2CB4" w:rsidRPr="00222C32" w14:paraId="46747A23" w14:textId="77777777" w:rsidTr="00825163">
        <w:tc>
          <w:tcPr>
            <w:tcW w:w="2501" w:type="dxa"/>
            <w:tcBorders>
              <w:top w:val="single" w:sz="4" w:space="0" w:color="293F5B"/>
              <w:bottom w:val="single" w:sz="4" w:space="0" w:color="293F5B"/>
            </w:tcBorders>
          </w:tcPr>
          <w:p w14:paraId="61E7EE76" w14:textId="77777777" w:rsidR="00BB2CB4" w:rsidRPr="00222C32" w:rsidRDefault="000674DA">
            <w:pPr>
              <w:pStyle w:val="MeasureTableHeadingleftalignedwith2ptsspacing"/>
              <w:keepNext/>
            </w:pPr>
            <w:r w:rsidRPr="00222C32">
              <w:t>Department of Finance</w:t>
            </w:r>
          </w:p>
        </w:tc>
        <w:tc>
          <w:tcPr>
            <w:tcW w:w="1044" w:type="dxa"/>
            <w:tcBorders>
              <w:top w:val="single" w:sz="4" w:space="0" w:color="293F5B"/>
              <w:bottom w:val="single" w:sz="4" w:space="0" w:color="293F5B"/>
            </w:tcBorders>
          </w:tcPr>
          <w:p w14:paraId="19B400A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89F41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64EB25" w14:textId="77777777" w:rsidR="00BB2CB4" w:rsidRPr="00222C32" w:rsidRDefault="000674DA">
            <w:pPr>
              <w:pStyle w:val="MeasureTableDataRightAlignedwith2ptsspacing"/>
              <w:keepNext/>
            </w:pPr>
            <w:r w:rsidRPr="00222C32">
              <w:t>1.1</w:t>
            </w:r>
          </w:p>
        </w:tc>
        <w:tc>
          <w:tcPr>
            <w:tcW w:w="1044" w:type="dxa"/>
            <w:tcBorders>
              <w:top w:val="single" w:sz="4" w:space="0" w:color="293F5B"/>
              <w:bottom w:val="single" w:sz="4" w:space="0" w:color="293F5B"/>
            </w:tcBorders>
          </w:tcPr>
          <w:p w14:paraId="369DC268" w14:textId="77777777" w:rsidR="00BB2CB4" w:rsidRPr="00222C32" w:rsidRDefault="000674DA">
            <w:pPr>
              <w:pStyle w:val="MeasureTableDataRightAlignedwith2ptsspacing"/>
              <w:keepNext/>
            </w:pPr>
            <w:r w:rsidRPr="00222C32">
              <w:t>1.1</w:t>
            </w:r>
          </w:p>
        </w:tc>
        <w:tc>
          <w:tcPr>
            <w:tcW w:w="1044" w:type="dxa"/>
            <w:tcBorders>
              <w:top w:val="single" w:sz="4" w:space="0" w:color="293F5B"/>
              <w:bottom w:val="single" w:sz="4" w:space="0" w:color="293F5B"/>
            </w:tcBorders>
          </w:tcPr>
          <w:p w14:paraId="5D37F30F" w14:textId="77777777" w:rsidR="00BB2CB4" w:rsidRPr="00222C32" w:rsidRDefault="000674DA">
            <w:pPr>
              <w:pStyle w:val="MeasureTableDataRightAlignedwith2ptsspacing"/>
              <w:keepNext/>
            </w:pPr>
            <w:r w:rsidRPr="00222C32">
              <w:t>1.1</w:t>
            </w:r>
          </w:p>
        </w:tc>
      </w:tr>
      <w:tr w:rsidR="00BB2CB4" w:rsidRPr="00222C32" w14:paraId="42E0F2E3" w14:textId="77777777" w:rsidTr="00825163">
        <w:tc>
          <w:tcPr>
            <w:tcW w:w="2501" w:type="dxa"/>
            <w:tcBorders>
              <w:top w:val="single" w:sz="4" w:space="0" w:color="293F5B"/>
              <w:bottom w:val="single" w:sz="4" w:space="0" w:color="293F5B"/>
            </w:tcBorders>
          </w:tcPr>
          <w:p w14:paraId="7D7E7BEF" w14:textId="77777777" w:rsidR="00BB2CB4" w:rsidRPr="00222C32" w:rsidRDefault="000674DA">
            <w:pPr>
              <w:pStyle w:val="MeasureTableHeadingleftalignedwith2ptsspacing"/>
              <w:keepNext/>
            </w:pPr>
            <w:r w:rsidRPr="00222C32">
              <w:t>Department of Industry, Science and Resources</w:t>
            </w:r>
          </w:p>
        </w:tc>
        <w:tc>
          <w:tcPr>
            <w:tcW w:w="1044" w:type="dxa"/>
            <w:tcBorders>
              <w:top w:val="single" w:sz="4" w:space="0" w:color="293F5B"/>
              <w:bottom w:val="single" w:sz="4" w:space="0" w:color="293F5B"/>
            </w:tcBorders>
          </w:tcPr>
          <w:p w14:paraId="78657D4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883032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51CAF3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87B4FE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DB48F0E" w14:textId="77777777" w:rsidR="00BB2CB4" w:rsidRPr="00222C32" w:rsidRDefault="000674DA">
            <w:pPr>
              <w:pStyle w:val="MeasureTableDataRightAlignedwith2ptsspacing"/>
              <w:keepNext/>
            </w:pPr>
            <w:r w:rsidRPr="00222C32">
              <w:t>-</w:t>
            </w:r>
          </w:p>
        </w:tc>
      </w:tr>
      <w:tr w:rsidR="00BB2CB4" w:rsidRPr="00222C32" w14:paraId="626F088B" w14:textId="77777777" w:rsidTr="00825163">
        <w:tc>
          <w:tcPr>
            <w:tcW w:w="2501" w:type="dxa"/>
            <w:tcBorders>
              <w:top w:val="single" w:sz="4" w:space="0" w:color="293F5B"/>
              <w:bottom w:val="single" w:sz="4" w:space="0" w:color="293F5B"/>
            </w:tcBorders>
          </w:tcPr>
          <w:p w14:paraId="4AD2D065" w14:textId="77777777" w:rsidR="00BB2CB4" w:rsidRPr="00222C32" w:rsidRDefault="000674DA">
            <w:pPr>
              <w:pStyle w:val="MeasureTableHeadingleftalignedwith2ptsspacing"/>
              <w:keepNext/>
            </w:pPr>
            <w:r w:rsidRPr="00222C32">
              <w:t>National Offshore Petroleum Safety and Environmental Management Authority</w:t>
            </w:r>
          </w:p>
        </w:tc>
        <w:tc>
          <w:tcPr>
            <w:tcW w:w="1044" w:type="dxa"/>
            <w:tcBorders>
              <w:top w:val="single" w:sz="4" w:space="0" w:color="293F5B"/>
              <w:bottom w:val="single" w:sz="4" w:space="0" w:color="293F5B"/>
            </w:tcBorders>
          </w:tcPr>
          <w:p w14:paraId="14919C0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11C144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D43EB0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19C143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BC0E71C" w14:textId="77777777" w:rsidR="00BB2CB4" w:rsidRPr="00222C32" w:rsidRDefault="000674DA">
            <w:pPr>
              <w:pStyle w:val="MeasureTableDataRightAlignedwith2ptsspacing"/>
              <w:keepNext/>
            </w:pPr>
            <w:r w:rsidRPr="00222C32">
              <w:t>-</w:t>
            </w:r>
          </w:p>
        </w:tc>
      </w:tr>
      <w:tr w:rsidR="00BB2CB4" w:rsidRPr="00222C32" w14:paraId="3F2D2DD0" w14:textId="77777777" w:rsidTr="00825163">
        <w:tc>
          <w:tcPr>
            <w:tcW w:w="2501" w:type="dxa"/>
            <w:tcBorders>
              <w:top w:val="single" w:sz="4" w:space="0" w:color="293F5B"/>
              <w:bottom w:val="single" w:sz="4" w:space="0" w:color="293F5B"/>
            </w:tcBorders>
          </w:tcPr>
          <w:p w14:paraId="58A7A193"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1EE5F84"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0D32000" w14:textId="77777777" w:rsidR="00BB2CB4" w:rsidRPr="00222C32" w:rsidRDefault="000674DA">
            <w:pPr>
              <w:pStyle w:val="Totaldatarowrightaligned"/>
              <w:keepNext/>
            </w:pPr>
            <w:r w:rsidRPr="00222C32">
              <w:t>111.8</w:t>
            </w:r>
          </w:p>
        </w:tc>
        <w:tc>
          <w:tcPr>
            <w:tcW w:w="1044" w:type="dxa"/>
            <w:tcBorders>
              <w:top w:val="single" w:sz="4" w:space="0" w:color="293F5B"/>
              <w:bottom w:val="single" w:sz="4" w:space="0" w:color="293F5B"/>
            </w:tcBorders>
          </w:tcPr>
          <w:p w14:paraId="5E7F59B1" w14:textId="77777777" w:rsidR="00BB2CB4" w:rsidRPr="00222C32" w:rsidRDefault="000674DA">
            <w:pPr>
              <w:pStyle w:val="Totaldatarowrightaligned"/>
              <w:keepNext/>
            </w:pPr>
            <w:r w:rsidRPr="00222C32">
              <w:t>16.7</w:t>
            </w:r>
          </w:p>
        </w:tc>
        <w:tc>
          <w:tcPr>
            <w:tcW w:w="1044" w:type="dxa"/>
            <w:tcBorders>
              <w:top w:val="single" w:sz="4" w:space="0" w:color="293F5B"/>
              <w:bottom w:val="single" w:sz="4" w:space="0" w:color="293F5B"/>
            </w:tcBorders>
          </w:tcPr>
          <w:p w14:paraId="56A0D642" w14:textId="77777777" w:rsidR="00BB2CB4" w:rsidRPr="00222C32" w:rsidRDefault="000674DA">
            <w:pPr>
              <w:pStyle w:val="Totaldatarowrightaligned"/>
              <w:keepNext/>
            </w:pPr>
            <w:r w:rsidRPr="00222C32">
              <w:t>4.4</w:t>
            </w:r>
          </w:p>
        </w:tc>
        <w:tc>
          <w:tcPr>
            <w:tcW w:w="1044" w:type="dxa"/>
            <w:tcBorders>
              <w:top w:val="single" w:sz="4" w:space="0" w:color="293F5B"/>
              <w:bottom w:val="single" w:sz="4" w:space="0" w:color="293F5B"/>
            </w:tcBorders>
          </w:tcPr>
          <w:p w14:paraId="73487E96" w14:textId="77777777" w:rsidR="00BB2CB4" w:rsidRPr="00222C32" w:rsidRDefault="000674DA">
            <w:pPr>
              <w:pStyle w:val="Totaldatarowrightaligned"/>
              <w:keepNext/>
            </w:pPr>
            <w:r w:rsidRPr="00222C32">
              <w:t>4.4</w:t>
            </w:r>
          </w:p>
        </w:tc>
      </w:tr>
      <w:tr w:rsidR="00BB2CB4" w:rsidRPr="00222C32" w14:paraId="7243F18A" w14:textId="77777777" w:rsidTr="00825163">
        <w:tc>
          <w:tcPr>
            <w:tcW w:w="2501" w:type="dxa"/>
            <w:tcBorders>
              <w:top w:val="single" w:sz="4" w:space="0" w:color="293F5B"/>
              <w:bottom w:val="nil"/>
            </w:tcBorders>
          </w:tcPr>
          <w:p w14:paraId="43435F00"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0AA0660F" w14:textId="77777777" w:rsidR="00BB2CB4" w:rsidRPr="00222C32" w:rsidRDefault="00BB2CB4">
            <w:pPr>
              <w:pStyle w:val="AgencyName"/>
              <w:keepNext/>
            </w:pPr>
          </w:p>
        </w:tc>
        <w:tc>
          <w:tcPr>
            <w:tcW w:w="1044" w:type="dxa"/>
            <w:tcBorders>
              <w:top w:val="single" w:sz="4" w:space="0" w:color="293F5B"/>
              <w:bottom w:val="nil"/>
            </w:tcBorders>
          </w:tcPr>
          <w:p w14:paraId="467805DF" w14:textId="77777777" w:rsidR="00BB2CB4" w:rsidRPr="00222C32" w:rsidRDefault="00BB2CB4">
            <w:pPr>
              <w:pStyle w:val="AgencyName"/>
              <w:keepNext/>
            </w:pPr>
          </w:p>
        </w:tc>
        <w:tc>
          <w:tcPr>
            <w:tcW w:w="1044" w:type="dxa"/>
            <w:tcBorders>
              <w:top w:val="single" w:sz="4" w:space="0" w:color="293F5B"/>
              <w:bottom w:val="nil"/>
            </w:tcBorders>
          </w:tcPr>
          <w:p w14:paraId="05860D3D" w14:textId="77777777" w:rsidR="00BB2CB4" w:rsidRPr="00222C32" w:rsidRDefault="00BB2CB4">
            <w:pPr>
              <w:pStyle w:val="AgencyName"/>
              <w:keepNext/>
            </w:pPr>
          </w:p>
        </w:tc>
        <w:tc>
          <w:tcPr>
            <w:tcW w:w="1044" w:type="dxa"/>
            <w:tcBorders>
              <w:top w:val="single" w:sz="4" w:space="0" w:color="293F5B"/>
              <w:bottom w:val="nil"/>
            </w:tcBorders>
          </w:tcPr>
          <w:p w14:paraId="02B68CBE" w14:textId="77777777" w:rsidR="00BB2CB4" w:rsidRPr="00222C32" w:rsidRDefault="00BB2CB4">
            <w:pPr>
              <w:pStyle w:val="AgencyName"/>
              <w:keepNext/>
            </w:pPr>
          </w:p>
        </w:tc>
        <w:tc>
          <w:tcPr>
            <w:tcW w:w="1044" w:type="dxa"/>
            <w:tcBorders>
              <w:top w:val="single" w:sz="4" w:space="0" w:color="293F5B"/>
              <w:bottom w:val="nil"/>
            </w:tcBorders>
          </w:tcPr>
          <w:p w14:paraId="3042159D" w14:textId="77777777" w:rsidR="00BB2CB4" w:rsidRPr="00222C32" w:rsidRDefault="00BB2CB4">
            <w:pPr>
              <w:pStyle w:val="AgencyName"/>
              <w:keepNext/>
            </w:pPr>
          </w:p>
        </w:tc>
      </w:tr>
      <w:tr w:rsidR="00BB2CB4" w:rsidRPr="00222C32" w14:paraId="7D07E5DE" w14:textId="77777777" w:rsidTr="00825163">
        <w:tc>
          <w:tcPr>
            <w:tcW w:w="2501" w:type="dxa"/>
            <w:tcBorders>
              <w:top w:val="nil"/>
              <w:bottom w:val="single" w:sz="4" w:space="0" w:color="293F5B"/>
            </w:tcBorders>
          </w:tcPr>
          <w:p w14:paraId="3396333E" w14:textId="77777777" w:rsidR="00BB2CB4" w:rsidRPr="00222C32" w:rsidRDefault="000674DA">
            <w:pPr>
              <w:pStyle w:val="AgencyNamewith2ptsspacing"/>
              <w:keepNext/>
            </w:pPr>
            <w:r w:rsidRPr="00222C32">
              <w:t>Department of Industry, Science and Resources</w:t>
            </w:r>
          </w:p>
        </w:tc>
        <w:tc>
          <w:tcPr>
            <w:tcW w:w="1044" w:type="dxa"/>
            <w:tcBorders>
              <w:top w:val="nil"/>
              <w:bottom w:val="single" w:sz="4" w:space="0" w:color="293F5B"/>
            </w:tcBorders>
          </w:tcPr>
          <w:p w14:paraId="2438B1F5"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E0FD514" w14:textId="77777777" w:rsidR="00BB2CB4" w:rsidRPr="00222C32" w:rsidRDefault="000674DA">
            <w:pPr>
              <w:pStyle w:val="Measuretabledatarightaligneditalics"/>
              <w:keepNext/>
            </w:pPr>
            <w:r w:rsidRPr="00222C32">
              <w:t>-3.5</w:t>
            </w:r>
          </w:p>
        </w:tc>
        <w:tc>
          <w:tcPr>
            <w:tcW w:w="1044" w:type="dxa"/>
            <w:tcBorders>
              <w:top w:val="nil"/>
              <w:bottom w:val="single" w:sz="4" w:space="0" w:color="293F5B"/>
            </w:tcBorders>
          </w:tcPr>
          <w:p w14:paraId="306E2846" w14:textId="77777777" w:rsidR="00BB2CB4" w:rsidRPr="00222C32" w:rsidRDefault="000674DA">
            <w:pPr>
              <w:pStyle w:val="Measuretabledatarightaligneditalics"/>
              <w:keepNext/>
            </w:pPr>
            <w:r w:rsidRPr="00222C32">
              <w:t>-25.3</w:t>
            </w:r>
          </w:p>
        </w:tc>
        <w:tc>
          <w:tcPr>
            <w:tcW w:w="1044" w:type="dxa"/>
            <w:tcBorders>
              <w:top w:val="nil"/>
              <w:bottom w:val="single" w:sz="4" w:space="0" w:color="293F5B"/>
            </w:tcBorders>
          </w:tcPr>
          <w:p w14:paraId="0D0BCE43" w14:textId="77777777" w:rsidR="00BB2CB4" w:rsidRPr="00222C32" w:rsidRDefault="000674DA">
            <w:pPr>
              <w:pStyle w:val="Measuretabledatarightaligneditalics"/>
              <w:keepNext/>
            </w:pPr>
            <w:r w:rsidRPr="00222C32">
              <w:t>-18.4</w:t>
            </w:r>
          </w:p>
        </w:tc>
        <w:tc>
          <w:tcPr>
            <w:tcW w:w="1044" w:type="dxa"/>
            <w:tcBorders>
              <w:top w:val="nil"/>
              <w:bottom w:val="single" w:sz="4" w:space="0" w:color="293F5B"/>
            </w:tcBorders>
          </w:tcPr>
          <w:p w14:paraId="18F4A919" w14:textId="77777777" w:rsidR="00BB2CB4" w:rsidRPr="00222C32" w:rsidRDefault="000674DA">
            <w:pPr>
              <w:pStyle w:val="Measuretabledatarightaligneditalics"/>
              <w:keepNext/>
            </w:pPr>
            <w:r w:rsidRPr="00222C32">
              <w:t>-0.2</w:t>
            </w:r>
          </w:p>
        </w:tc>
      </w:tr>
    </w:tbl>
    <w:p w14:paraId="2089AECB" w14:textId="77777777" w:rsidR="009249FA" w:rsidRDefault="009249FA" w:rsidP="009249FA">
      <w:pPr>
        <w:pStyle w:val="SingleParagraph"/>
      </w:pPr>
    </w:p>
    <w:p w14:paraId="305B6058" w14:textId="75961A1C" w:rsidR="00BB2CB4" w:rsidRDefault="000674DA" w:rsidP="005F6F76">
      <w:pPr>
        <w:pStyle w:val="Normal2"/>
        <w:spacing w:before="100"/>
      </w:pPr>
      <w:r>
        <w:t>The Government will provide $487.5 million over five years from 2025–‍26 (and $1.9 million per year ongoing) to transform Australia</w:t>
      </w:r>
      <w:r w:rsidR="00222C32">
        <w:t>’</w:t>
      </w:r>
      <w:r>
        <w:t>s energy system by driving innovation and investment in energy markets that deliver reliable and low‑cost energy for all Australians. Funding includes:</w:t>
      </w:r>
    </w:p>
    <w:p w14:paraId="3C8BDFFE" w14:textId="77777777" w:rsidR="00BB2CB4" w:rsidRDefault="000674DA" w:rsidP="005F6F76">
      <w:pPr>
        <w:pStyle w:val="Bullet"/>
        <w:spacing w:before="100" w:after="100"/>
      </w:pPr>
      <w:r>
        <w:t>$346.0 million in 2029–‍30 to assist the Tasmanian Government to defray network costs for consumers and support the North West Transmission Developments</w:t>
      </w:r>
    </w:p>
    <w:p w14:paraId="5D1CECD0" w14:textId="08AA5F00" w:rsidR="00BB2CB4" w:rsidRDefault="000674DA" w:rsidP="005F6F76">
      <w:pPr>
        <w:pStyle w:val="Bullet"/>
        <w:spacing w:before="100" w:after="100"/>
      </w:pPr>
      <w:r>
        <w:t>$101.0 million over two years from 2025–‍26 to support augmentations to Victoria</w:t>
      </w:r>
      <w:r w:rsidR="00222C32">
        <w:t>’</w:t>
      </w:r>
      <w:r>
        <w:t>s Renewable Energy Zone developments and the broader energy transition</w:t>
      </w:r>
    </w:p>
    <w:p w14:paraId="39B5C3BA" w14:textId="34B528BD" w:rsidR="00BB2CB4" w:rsidRPr="005F6F76" w:rsidRDefault="000674DA" w:rsidP="005F6F76">
      <w:pPr>
        <w:pStyle w:val="Bullet"/>
        <w:spacing w:before="100" w:after="100"/>
        <w:rPr>
          <w:spacing w:val="-2"/>
        </w:rPr>
      </w:pPr>
      <w:r w:rsidRPr="005F6F76">
        <w:rPr>
          <w:spacing w:val="-2"/>
        </w:rPr>
        <w:t>$18.5 million over five years from 2025–‍26 (and $1.9 million per year ongoing) to provide oversight and governance to ensure the efficient delivery of the Marinus Link</w:t>
      </w:r>
      <w:r w:rsidR="00EB1AB3" w:rsidRPr="005F6F76">
        <w:rPr>
          <w:spacing w:val="-2"/>
        </w:rPr>
        <w:t> </w:t>
      </w:r>
      <w:r w:rsidRPr="005F6F76">
        <w:rPr>
          <w:spacing w:val="-2"/>
        </w:rPr>
        <w:t>project</w:t>
      </w:r>
    </w:p>
    <w:p w14:paraId="0D227A16" w14:textId="77777777" w:rsidR="00BB2CB4" w:rsidRDefault="000674DA" w:rsidP="005F6F76">
      <w:pPr>
        <w:pStyle w:val="Bullet"/>
        <w:spacing w:before="100" w:after="100"/>
      </w:pPr>
      <w:r>
        <w:t>$15.4 million over two years from 2025–‍26 for critical retail and consumer reforms to promote investments in firmed, renewable generation and storage capacity</w:t>
      </w:r>
    </w:p>
    <w:p w14:paraId="7EB2445A" w14:textId="77777777" w:rsidR="00BB2CB4" w:rsidRDefault="000674DA" w:rsidP="005F6F76">
      <w:pPr>
        <w:pStyle w:val="Bullet"/>
        <w:spacing w:before="100"/>
      </w:pPr>
      <w:r>
        <w:t>$6.5 million in 2025–‍26 to continue gas market modelling and policy analysis to support market reliability and energy security reforms.</w:t>
      </w:r>
    </w:p>
    <w:p w14:paraId="17F530E7" w14:textId="77777777" w:rsidR="00BB2CB4" w:rsidRDefault="000674DA" w:rsidP="005F6F76">
      <w:pPr>
        <w:pStyle w:val="Normal2"/>
        <w:spacing w:before="100" w:after="100"/>
      </w:pPr>
      <w:r w:rsidRPr="69C11E82">
        <w:rPr>
          <w:lang w:val="en-US"/>
        </w:rPr>
        <w:t>The Government will also adjust cost recovery arrangements to provide temporary financial relief for offshore electricity infrastructure licence holders which will reduce revenue by $47.4 million over four years from 2025–‍26.</w:t>
      </w:r>
    </w:p>
    <w:p w14:paraId="3461B94D" w14:textId="77777777" w:rsidR="00BB2CB4" w:rsidRPr="005F6F76" w:rsidRDefault="000674DA" w:rsidP="005F6F76">
      <w:pPr>
        <w:pStyle w:val="Normal2"/>
        <w:spacing w:before="100" w:after="100"/>
        <w:rPr>
          <w:spacing w:val="-2"/>
        </w:rPr>
      </w:pPr>
      <w:r w:rsidRPr="005F6F76">
        <w:rPr>
          <w:spacing w:val="-2"/>
          <w:lang w:val="en-US"/>
        </w:rPr>
        <w:t xml:space="preserve">The cost of this measure will be partially met from savings identified in the 2025–‍26 MYEFO measure titled </w:t>
      </w:r>
      <w:r w:rsidRPr="005F6F76">
        <w:rPr>
          <w:i/>
          <w:spacing w:val="-2"/>
          <w:lang w:val="en-US"/>
        </w:rPr>
        <w:t>Climate Change, Energy, the Environment and Water – reprioritisation</w:t>
      </w:r>
      <w:r w:rsidRPr="005F6F76">
        <w:rPr>
          <w:spacing w:val="-2"/>
          <w:lang w:val="en-US"/>
        </w:rPr>
        <w:t>.</w:t>
      </w:r>
    </w:p>
    <w:p w14:paraId="240E9F55" w14:textId="77777777" w:rsidR="00BB2CB4" w:rsidRDefault="000674DA" w:rsidP="005F6F76">
      <w:pPr>
        <w:pStyle w:val="Normal2"/>
        <w:spacing w:before="100" w:after="100"/>
      </w:pPr>
      <w:r>
        <w:t>The Treasury manages Commonwealth payments to the states and territories.</w:t>
      </w:r>
    </w:p>
    <w:p w14:paraId="600349FB" w14:textId="77777777" w:rsidR="00BB2CB4" w:rsidRDefault="000674DA" w:rsidP="005F6F76">
      <w:pPr>
        <w:pStyle w:val="Normal2"/>
        <w:spacing w:before="100" w:after="100"/>
      </w:pPr>
      <w:r>
        <w:t xml:space="preserve">This measure builds on the 2022–‍23 October Budget measure titled </w:t>
      </w:r>
      <w:r w:rsidRPr="000674DA">
        <w:rPr>
          <w:i/>
        </w:rPr>
        <w:t xml:space="preserve">Support for Energy Security and Reliability </w:t>
      </w:r>
      <w:r>
        <w:t xml:space="preserve">and the 2024–‍25 MYEFO measure titled </w:t>
      </w:r>
      <w:r w:rsidRPr="000674DA">
        <w:rPr>
          <w:i/>
        </w:rPr>
        <w:t>Enabling a Reliable and Secure Energy Transition.</w:t>
      </w:r>
    </w:p>
    <w:p w14:paraId="793A14AC" w14:textId="77777777" w:rsidR="00BB2CB4" w:rsidRDefault="000674DA">
      <w:pPr>
        <w:pStyle w:val="MeasureTitle"/>
      </w:pPr>
      <w:r>
        <w:lastRenderedPageBreak/>
        <w:t>Australian Antarctic Program – continuing funding</w:t>
      </w:r>
    </w:p>
    <w:p w14:paraId="4437F94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AB567D7" w14:textId="77777777" w:rsidTr="00825163">
        <w:trPr>
          <w:cantSplit/>
        </w:trPr>
        <w:tc>
          <w:tcPr>
            <w:tcW w:w="2501" w:type="dxa"/>
            <w:tcBorders>
              <w:top w:val="single" w:sz="4" w:space="0" w:color="293F5B"/>
              <w:bottom w:val="single" w:sz="4" w:space="0" w:color="293F5B"/>
            </w:tcBorders>
          </w:tcPr>
          <w:p w14:paraId="3263F1B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F3BCA4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3CCABE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DEAFAF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AAB4F0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9033281" w14:textId="77777777" w:rsidR="00BB2CB4" w:rsidRPr="00222C32" w:rsidRDefault="000674DA">
            <w:pPr>
              <w:pStyle w:val="MeasureTableYearHeadings"/>
              <w:keepNext/>
            </w:pPr>
            <w:r w:rsidRPr="00222C32">
              <w:t>2028-29</w:t>
            </w:r>
          </w:p>
        </w:tc>
      </w:tr>
      <w:tr w:rsidR="00BB2CB4" w:rsidRPr="00222C32" w14:paraId="098E72A4" w14:textId="77777777" w:rsidTr="00825163">
        <w:trPr>
          <w:cantSplit/>
        </w:trPr>
        <w:tc>
          <w:tcPr>
            <w:tcW w:w="2501" w:type="dxa"/>
            <w:tcBorders>
              <w:top w:val="single" w:sz="4" w:space="0" w:color="293F5B"/>
              <w:bottom w:val="single" w:sz="4" w:space="0" w:color="293F5B"/>
            </w:tcBorders>
          </w:tcPr>
          <w:p w14:paraId="5C5D68F0"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068FA41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F97E013" w14:textId="77777777" w:rsidR="00BB2CB4" w:rsidRPr="00222C32" w:rsidRDefault="000674DA">
            <w:pPr>
              <w:pStyle w:val="MeasureTableDataRightAlignedwith2ptsspacing"/>
              <w:keepNext/>
            </w:pPr>
            <w:r w:rsidRPr="00222C32">
              <w:t>0.6</w:t>
            </w:r>
          </w:p>
        </w:tc>
        <w:tc>
          <w:tcPr>
            <w:tcW w:w="1044" w:type="dxa"/>
            <w:tcBorders>
              <w:top w:val="single" w:sz="4" w:space="0" w:color="293F5B"/>
              <w:bottom w:val="single" w:sz="4" w:space="0" w:color="293F5B"/>
            </w:tcBorders>
          </w:tcPr>
          <w:p w14:paraId="107C1631" w14:textId="77777777" w:rsidR="00BB2CB4" w:rsidRPr="00222C32" w:rsidRDefault="000674DA">
            <w:pPr>
              <w:pStyle w:val="MeasureTableDataRightAlignedwith2ptsspacing"/>
              <w:keepNext/>
            </w:pPr>
            <w:r w:rsidRPr="00222C32">
              <w:t>16.0</w:t>
            </w:r>
          </w:p>
        </w:tc>
        <w:tc>
          <w:tcPr>
            <w:tcW w:w="1044" w:type="dxa"/>
            <w:tcBorders>
              <w:top w:val="single" w:sz="4" w:space="0" w:color="293F5B"/>
              <w:bottom w:val="single" w:sz="4" w:space="0" w:color="293F5B"/>
            </w:tcBorders>
          </w:tcPr>
          <w:p w14:paraId="036C0EC0" w14:textId="77777777" w:rsidR="00BB2CB4" w:rsidRPr="00222C32" w:rsidRDefault="000674DA">
            <w:pPr>
              <w:pStyle w:val="MeasureTableDataRightAlignedwith2ptsspacing"/>
              <w:keepNext/>
            </w:pPr>
            <w:r w:rsidRPr="00222C32">
              <w:t>48.6</w:t>
            </w:r>
          </w:p>
        </w:tc>
        <w:tc>
          <w:tcPr>
            <w:tcW w:w="1044" w:type="dxa"/>
            <w:tcBorders>
              <w:top w:val="single" w:sz="4" w:space="0" w:color="293F5B"/>
              <w:bottom w:val="single" w:sz="4" w:space="0" w:color="293F5B"/>
            </w:tcBorders>
          </w:tcPr>
          <w:p w14:paraId="637E9106" w14:textId="77777777" w:rsidR="00BB2CB4" w:rsidRPr="00222C32" w:rsidRDefault="000674DA">
            <w:pPr>
              <w:pStyle w:val="MeasureTableDataRightAlignedwith2ptsspacing"/>
              <w:keepNext/>
            </w:pPr>
            <w:r w:rsidRPr="00222C32">
              <w:t>49.7</w:t>
            </w:r>
          </w:p>
        </w:tc>
      </w:tr>
    </w:tbl>
    <w:p w14:paraId="718C1F2F" w14:textId="77777777" w:rsidR="009249FA" w:rsidRDefault="009249FA" w:rsidP="009249FA">
      <w:pPr>
        <w:pStyle w:val="SingleParagraph"/>
      </w:pPr>
    </w:p>
    <w:p w14:paraId="3B80DC9A" w14:textId="49E7C477" w:rsidR="00BB2CB4" w:rsidRDefault="000674DA" w:rsidP="0081015C">
      <w:pPr>
        <w:pStyle w:val="Normal2"/>
        <w:spacing w:before="100" w:after="100"/>
      </w:pPr>
      <w:r w:rsidRPr="42F5CE43">
        <w:rPr>
          <w:lang w:val="en-US"/>
        </w:rPr>
        <w:t>The Government will provide $114.9 million over four years from 2025–‍26 (and an additional $93.8 million from 2029–‍30 to 2031–‍32) to continue Australian Antarctic program operations and Australia</w:t>
      </w:r>
      <w:r w:rsidR="00222C32">
        <w:rPr>
          <w:lang w:val="en-US"/>
        </w:rPr>
        <w:t>’</w:t>
      </w:r>
      <w:r w:rsidRPr="42F5CE43">
        <w:rPr>
          <w:lang w:val="en-US"/>
        </w:rPr>
        <w:t>s international scientific activities. Funding includes:</w:t>
      </w:r>
    </w:p>
    <w:p w14:paraId="599BC3E7" w14:textId="77777777" w:rsidR="00BB2CB4" w:rsidRDefault="000674DA" w:rsidP="0081015C">
      <w:pPr>
        <w:pStyle w:val="Bullet"/>
        <w:spacing w:before="100" w:after="100"/>
      </w:pPr>
      <w:r>
        <w:t xml:space="preserve">$65.3 million over three years from 2026–‍27 (and an additional $27.6 million in 2029–‍30) to support operations of the RSV </w:t>
      </w:r>
      <w:r w:rsidRPr="000674DA">
        <w:rPr>
          <w:i/>
        </w:rPr>
        <w:t>Nuyina</w:t>
      </w:r>
      <w:r>
        <w:t xml:space="preserve"> and increase its operational days at sea to enable delivery of additional marine science activities</w:t>
      </w:r>
    </w:p>
    <w:p w14:paraId="47B76B74" w14:textId="6085EA99" w:rsidR="00BB2CB4" w:rsidRDefault="000674DA" w:rsidP="0081015C">
      <w:pPr>
        <w:pStyle w:val="Bullet"/>
        <w:spacing w:before="100" w:after="100"/>
      </w:pPr>
      <w:r>
        <w:t>$44.4 million over four years from 2025–‍26 (and an additional $66.2 million from 2029–‍30 to 2031–‍32) to maintain Australia</w:t>
      </w:r>
      <w:r w:rsidR="00222C32">
        <w:t>’</w:t>
      </w:r>
      <w:r>
        <w:t>s Antarctic aviation capability</w:t>
      </w:r>
    </w:p>
    <w:p w14:paraId="62A2289D" w14:textId="77777777" w:rsidR="00BB2CB4" w:rsidRDefault="000674DA" w:rsidP="0081015C">
      <w:pPr>
        <w:pStyle w:val="Bullet"/>
        <w:spacing w:before="100" w:after="100"/>
      </w:pPr>
      <w:r>
        <w:t>$5.2 million over three years from 2025–‍26 in additional funding for the Australian Centre for Excellence in Antarctic Science.</w:t>
      </w:r>
    </w:p>
    <w:p w14:paraId="01FD0952" w14:textId="77777777" w:rsidR="00BB2CB4" w:rsidRDefault="000674DA" w:rsidP="0081015C">
      <w:pPr>
        <w:pStyle w:val="Normal2"/>
        <w:spacing w:before="100" w:after="100"/>
      </w:pPr>
      <w:r w:rsidRPr="42F5CE43">
        <w:rPr>
          <w:lang w:val="en-US"/>
        </w:rPr>
        <w:t xml:space="preserve">This measure builds on the 2024–‍25 Budget measure titled </w:t>
      </w:r>
      <w:r w:rsidRPr="42F5CE43">
        <w:rPr>
          <w:i/>
          <w:lang w:val="en-US"/>
        </w:rPr>
        <w:t>Australian Antarctic Program – additional funding</w:t>
      </w:r>
      <w:r w:rsidRPr="42F5CE43">
        <w:rPr>
          <w:lang w:val="en-US"/>
        </w:rPr>
        <w:t>.</w:t>
      </w:r>
    </w:p>
    <w:p w14:paraId="635B530C" w14:textId="77777777" w:rsidR="00BB2CB4" w:rsidRDefault="000674DA" w:rsidP="0081015C">
      <w:pPr>
        <w:pStyle w:val="MeasureTitle"/>
        <w:spacing w:before="340"/>
      </w:pPr>
      <w:r>
        <w:t>Australian Energy Regulator Uplift</w:t>
      </w:r>
    </w:p>
    <w:p w14:paraId="418DDF6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1CC0A90" w14:textId="77777777" w:rsidTr="00825163">
        <w:trPr>
          <w:cantSplit/>
        </w:trPr>
        <w:tc>
          <w:tcPr>
            <w:tcW w:w="2501" w:type="dxa"/>
            <w:tcBorders>
              <w:top w:val="single" w:sz="4" w:space="0" w:color="293F5B"/>
              <w:bottom w:val="single" w:sz="4" w:space="0" w:color="293F5B"/>
            </w:tcBorders>
          </w:tcPr>
          <w:p w14:paraId="7AC086C6"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6FF4CA5"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B2C336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9BBD71E"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63893A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3857451" w14:textId="77777777" w:rsidR="00BB2CB4" w:rsidRPr="00222C32" w:rsidRDefault="000674DA">
            <w:pPr>
              <w:pStyle w:val="MeasureTableYearHeadings"/>
              <w:keepNext/>
            </w:pPr>
            <w:r w:rsidRPr="00222C32">
              <w:t>2028-29</w:t>
            </w:r>
          </w:p>
        </w:tc>
      </w:tr>
      <w:tr w:rsidR="00BB2CB4" w:rsidRPr="00222C32" w14:paraId="4C653849" w14:textId="77777777" w:rsidTr="00825163">
        <w:trPr>
          <w:cantSplit/>
        </w:trPr>
        <w:tc>
          <w:tcPr>
            <w:tcW w:w="2501" w:type="dxa"/>
            <w:tcBorders>
              <w:top w:val="single" w:sz="4" w:space="0" w:color="293F5B"/>
              <w:bottom w:val="single" w:sz="4" w:space="0" w:color="293F5B"/>
            </w:tcBorders>
          </w:tcPr>
          <w:p w14:paraId="2BBE0690" w14:textId="77777777" w:rsidR="00BB2CB4" w:rsidRPr="00222C32" w:rsidRDefault="000674DA">
            <w:pPr>
              <w:pStyle w:val="MeasureTableHeadingleftalignedwith2ptsspacing"/>
              <w:keepNext/>
            </w:pPr>
            <w:r w:rsidRPr="00222C32">
              <w:t>Australian Competition and Consumer Commission</w:t>
            </w:r>
          </w:p>
        </w:tc>
        <w:tc>
          <w:tcPr>
            <w:tcW w:w="1044" w:type="dxa"/>
            <w:tcBorders>
              <w:top w:val="single" w:sz="4" w:space="0" w:color="293F5B"/>
              <w:bottom w:val="single" w:sz="4" w:space="0" w:color="293F5B"/>
            </w:tcBorders>
          </w:tcPr>
          <w:p w14:paraId="340E8A6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E0147E"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2B7EEA69" w14:textId="77777777" w:rsidR="00BB2CB4" w:rsidRPr="00222C32" w:rsidRDefault="000674DA">
            <w:pPr>
              <w:pStyle w:val="MeasureTableDataRightAlignedwith2ptsspacing"/>
              <w:keepNext/>
            </w:pPr>
            <w:r w:rsidRPr="00222C32">
              <w:t>11.8</w:t>
            </w:r>
          </w:p>
        </w:tc>
        <w:tc>
          <w:tcPr>
            <w:tcW w:w="1044" w:type="dxa"/>
            <w:tcBorders>
              <w:top w:val="single" w:sz="4" w:space="0" w:color="293F5B"/>
              <w:bottom w:val="single" w:sz="4" w:space="0" w:color="293F5B"/>
            </w:tcBorders>
          </w:tcPr>
          <w:p w14:paraId="3EF3804E" w14:textId="77777777" w:rsidR="00BB2CB4" w:rsidRPr="00222C32" w:rsidRDefault="000674DA">
            <w:pPr>
              <w:pStyle w:val="MeasureTableDataRightAlignedwith2ptsspacing"/>
              <w:keepNext/>
            </w:pPr>
            <w:r w:rsidRPr="00222C32">
              <w:t>11.6</w:t>
            </w:r>
          </w:p>
        </w:tc>
        <w:tc>
          <w:tcPr>
            <w:tcW w:w="1044" w:type="dxa"/>
            <w:tcBorders>
              <w:top w:val="single" w:sz="4" w:space="0" w:color="293F5B"/>
              <w:bottom w:val="single" w:sz="4" w:space="0" w:color="293F5B"/>
            </w:tcBorders>
          </w:tcPr>
          <w:p w14:paraId="1E8E1917" w14:textId="77777777" w:rsidR="00BB2CB4" w:rsidRPr="00222C32" w:rsidRDefault="000674DA">
            <w:pPr>
              <w:pStyle w:val="MeasureTableDataRightAlignedwith2ptsspacing"/>
              <w:keepNext/>
            </w:pPr>
            <w:r w:rsidRPr="00222C32">
              <w:t>11.2</w:t>
            </w:r>
          </w:p>
        </w:tc>
      </w:tr>
      <w:tr w:rsidR="00BB2CB4" w:rsidRPr="00222C32" w14:paraId="5FAFCECA" w14:textId="77777777" w:rsidTr="00825163">
        <w:trPr>
          <w:cantSplit/>
        </w:trPr>
        <w:tc>
          <w:tcPr>
            <w:tcW w:w="2501" w:type="dxa"/>
            <w:tcBorders>
              <w:top w:val="single" w:sz="4" w:space="0" w:color="293F5B"/>
              <w:bottom w:val="single" w:sz="4" w:space="0" w:color="293F5B"/>
            </w:tcBorders>
          </w:tcPr>
          <w:p w14:paraId="622D1372" w14:textId="77777777" w:rsidR="00BB2CB4" w:rsidRPr="00222C32" w:rsidRDefault="000674DA">
            <w:pPr>
              <w:pStyle w:val="MeasureTableHeadingleftalignedwith2ptsspacing"/>
              <w:keepNext/>
            </w:pPr>
            <w:r w:rsidRPr="00222C32">
              <w:t>Digital Transformation Agency</w:t>
            </w:r>
          </w:p>
        </w:tc>
        <w:tc>
          <w:tcPr>
            <w:tcW w:w="1044" w:type="dxa"/>
            <w:tcBorders>
              <w:top w:val="single" w:sz="4" w:space="0" w:color="293F5B"/>
              <w:bottom w:val="single" w:sz="4" w:space="0" w:color="293F5B"/>
            </w:tcBorders>
          </w:tcPr>
          <w:p w14:paraId="764FEED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38A22D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5686F3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27EB53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1FA0573" w14:textId="77777777" w:rsidR="00BB2CB4" w:rsidRPr="00222C32" w:rsidRDefault="000674DA">
            <w:pPr>
              <w:pStyle w:val="MeasureTableDataRightAlignedwith2ptsspacing"/>
              <w:keepNext/>
            </w:pPr>
            <w:r w:rsidRPr="00222C32">
              <w:t>..</w:t>
            </w:r>
          </w:p>
        </w:tc>
      </w:tr>
      <w:tr w:rsidR="00BB2CB4" w:rsidRPr="00222C32" w14:paraId="64FD3477" w14:textId="77777777" w:rsidTr="00825163">
        <w:trPr>
          <w:cantSplit/>
        </w:trPr>
        <w:tc>
          <w:tcPr>
            <w:tcW w:w="2501" w:type="dxa"/>
            <w:tcBorders>
              <w:top w:val="single" w:sz="4" w:space="0" w:color="293F5B"/>
              <w:bottom w:val="single" w:sz="4" w:space="0" w:color="293F5B"/>
            </w:tcBorders>
          </w:tcPr>
          <w:p w14:paraId="769CF631"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7E9DBBB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4368C4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B0804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36AAC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542F6A7" w14:textId="77777777" w:rsidR="00BB2CB4" w:rsidRPr="00222C32" w:rsidRDefault="000674DA">
            <w:pPr>
              <w:pStyle w:val="MeasureTableDataRightAlignedwith2ptsspacing"/>
              <w:keepNext/>
            </w:pPr>
            <w:r w:rsidRPr="00222C32">
              <w:t>-</w:t>
            </w:r>
          </w:p>
        </w:tc>
      </w:tr>
      <w:tr w:rsidR="00BB2CB4" w:rsidRPr="00222C32" w14:paraId="11CBE874" w14:textId="77777777" w:rsidTr="00825163">
        <w:trPr>
          <w:cantSplit/>
        </w:trPr>
        <w:tc>
          <w:tcPr>
            <w:tcW w:w="2501" w:type="dxa"/>
            <w:tcBorders>
              <w:top w:val="single" w:sz="4" w:space="0" w:color="293F5B"/>
              <w:bottom w:val="single" w:sz="4" w:space="0" w:color="293F5B"/>
            </w:tcBorders>
          </w:tcPr>
          <w:p w14:paraId="60D2A43A"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0BF32D99"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B2908F9" w14:textId="77777777" w:rsidR="00BB2CB4" w:rsidRPr="00222C32" w:rsidRDefault="000674DA">
            <w:pPr>
              <w:pStyle w:val="Totaldatarowrightaligned"/>
              <w:keepNext/>
            </w:pPr>
            <w:r w:rsidRPr="00222C32">
              <w:t>6.4</w:t>
            </w:r>
          </w:p>
        </w:tc>
        <w:tc>
          <w:tcPr>
            <w:tcW w:w="1044" w:type="dxa"/>
            <w:tcBorders>
              <w:top w:val="single" w:sz="4" w:space="0" w:color="293F5B"/>
              <w:bottom w:val="single" w:sz="4" w:space="0" w:color="293F5B"/>
            </w:tcBorders>
          </w:tcPr>
          <w:p w14:paraId="4049E963" w14:textId="77777777" w:rsidR="00BB2CB4" w:rsidRPr="00222C32" w:rsidRDefault="000674DA">
            <w:pPr>
              <w:pStyle w:val="Totaldatarowrightaligned"/>
              <w:keepNext/>
            </w:pPr>
            <w:r w:rsidRPr="00222C32">
              <w:t>11.9</w:t>
            </w:r>
          </w:p>
        </w:tc>
        <w:tc>
          <w:tcPr>
            <w:tcW w:w="1044" w:type="dxa"/>
            <w:tcBorders>
              <w:top w:val="single" w:sz="4" w:space="0" w:color="293F5B"/>
              <w:bottom w:val="single" w:sz="4" w:space="0" w:color="293F5B"/>
            </w:tcBorders>
          </w:tcPr>
          <w:p w14:paraId="6E8B45E4" w14:textId="77777777" w:rsidR="00BB2CB4" w:rsidRPr="00222C32" w:rsidRDefault="000674DA">
            <w:pPr>
              <w:pStyle w:val="Totaldatarowrightaligned"/>
              <w:keepNext/>
            </w:pPr>
            <w:r w:rsidRPr="00222C32">
              <w:t>11.7</w:t>
            </w:r>
          </w:p>
        </w:tc>
        <w:tc>
          <w:tcPr>
            <w:tcW w:w="1044" w:type="dxa"/>
            <w:tcBorders>
              <w:top w:val="single" w:sz="4" w:space="0" w:color="293F5B"/>
              <w:bottom w:val="single" w:sz="4" w:space="0" w:color="293F5B"/>
            </w:tcBorders>
          </w:tcPr>
          <w:p w14:paraId="70052E3E" w14:textId="77777777" w:rsidR="00BB2CB4" w:rsidRPr="00222C32" w:rsidRDefault="000674DA">
            <w:pPr>
              <w:pStyle w:val="Totaldatarowrightaligned"/>
              <w:keepNext/>
            </w:pPr>
            <w:r w:rsidRPr="00222C32">
              <w:t>11.2</w:t>
            </w:r>
          </w:p>
        </w:tc>
      </w:tr>
    </w:tbl>
    <w:p w14:paraId="14BDC022" w14:textId="77777777" w:rsidR="009249FA" w:rsidRDefault="009249FA" w:rsidP="009249FA">
      <w:pPr>
        <w:pStyle w:val="SingleParagraph"/>
      </w:pPr>
    </w:p>
    <w:p w14:paraId="07354C36" w14:textId="77777777" w:rsidR="00BB2CB4" w:rsidRPr="0081015C" w:rsidRDefault="000674DA" w:rsidP="0072102C">
      <w:pPr>
        <w:pStyle w:val="Normal2"/>
        <w:spacing w:before="100" w:after="100"/>
        <w:rPr>
          <w:spacing w:val="-2"/>
        </w:rPr>
      </w:pPr>
      <w:r w:rsidRPr="0081015C">
        <w:rPr>
          <w:spacing w:val="-2"/>
        </w:rPr>
        <w:t>The Government will provide $49.6 million over five years from 2025–‍26 (and $8.3 million per year ongoing) for the Australian Energy Regulator (AER) to uplift its core data and digital systems and support reforms to deliver better outcomes for consumers. Funding includes:</w:t>
      </w:r>
    </w:p>
    <w:p w14:paraId="22B9776E" w14:textId="07FC72D4" w:rsidR="00BB2CB4" w:rsidRDefault="000674DA" w:rsidP="0072102C">
      <w:pPr>
        <w:pStyle w:val="Bullet"/>
        <w:spacing w:before="100" w:after="100"/>
      </w:pPr>
      <w:r>
        <w:t>$44.1 million over five years from 2025–‍26 (and $7.1 million per year ongoing) to upgrade AER</w:t>
      </w:r>
      <w:r w:rsidR="00222C32">
        <w:t>’</w:t>
      </w:r>
      <w:r>
        <w:t>s data and digital systems and reduce regulatory burden</w:t>
      </w:r>
    </w:p>
    <w:p w14:paraId="40277933" w14:textId="77777777" w:rsidR="00BB2CB4" w:rsidRDefault="000674DA" w:rsidP="0072102C">
      <w:pPr>
        <w:pStyle w:val="Bullet"/>
        <w:spacing w:before="100" w:after="100"/>
      </w:pPr>
      <w:r>
        <w:t>$5.6 million over five years from 2025–‍26 (and $1.1 million per year ongoing) to develop and implement reforms to the Default Market Offer.</w:t>
      </w:r>
    </w:p>
    <w:p w14:paraId="456162E2" w14:textId="6B0DF168" w:rsidR="00BB2CB4" w:rsidRDefault="000674DA" w:rsidP="0081015C">
      <w:pPr>
        <w:pStyle w:val="Normal2"/>
        <w:spacing w:before="100" w:after="100"/>
      </w:pPr>
      <w:r w:rsidRPr="42F5CE43">
        <w:rPr>
          <w:lang w:val="en-US"/>
        </w:rPr>
        <w:t xml:space="preserve">The cost of this measure will be partially met from savings identified in the 2025–‍26 MYEFO measure titled </w:t>
      </w:r>
      <w:r w:rsidRPr="42F5CE43">
        <w:rPr>
          <w:i/>
          <w:lang w:val="en-US"/>
        </w:rPr>
        <w:t>Climate Change, Energy, the Environment and Water – reprioritisation.</w:t>
      </w:r>
    </w:p>
    <w:p w14:paraId="441B4B46" w14:textId="77777777" w:rsidR="00BB2CB4" w:rsidRDefault="000674DA" w:rsidP="0081015C">
      <w:pPr>
        <w:pStyle w:val="Normal2"/>
        <w:spacing w:before="100" w:after="100"/>
      </w:pPr>
      <w:r>
        <w:t xml:space="preserve">This measure builds on the 2024–‍25 Budget measure titled </w:t>
      </w:r>
      <w:r w:rsidRPr="000674DA">
        <w:rPr>
          <w:i/>
        </w:rPr>
        <w:t xml:space="preserve">Harnessing the Energy Transition to Benefit Consumers. </w:t>
      </w:r>
    </w:p>
    <w:p w14:paraId="662387BB" w14:textId="619BDA63" w:rsidR="00BB2CB4" w:rsidRDefault="000674DA">
      <w:pPr>
        <w:pStyle w:val="MeasureTitle"/>
      </w:pPr>
      <w:r>
        <w:lastRenderedPageBreak/>
        <w:t xml:space="preserve">Climate Change, Energy, the Environment and Water – </w:t>
      </w:r>
      <w:r w:rsidR="00197CEC">
        <w:t>c</w:t>
      </w:r>
      <w:r>
        <w:t>ontinuing</w:t>
      </w:r>
      <w:r w:rsidR="00FE4AB9">
        <w:t xml:space="preserve"> </w:t>
      </w:r>
      <w:r w:rsidR="00197CEC">
        <w:t>r</w:t>
      </w:r>
      <w:r>
        <w:t>egulatory</w:t>
      </w:r>
      <w:r w:rsidR="00FE4AB9">
        <w:t xml:space="preserve"> </w:t>
      </w:r>
      <w:r>
        <w:t>functions</w:t>
      </w:r>
    </w:p>
    <w:p w14:paraId="7C1AFFD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C339BF3" w14:textId="77777777" w:rsidTr="00825163">
        <w:trPr>
          <w:cantSplit/>
        </w:trPr>
        <w:tc>
          <w:tcPr>
            <w:tcW w:w="2501" w:type="dxa"/>
            <w:tcBorders>
              <w:top w:val="single" w:sz="4" w:space="0" w:color="293F5B"/>
              <w:bottom w:val="single" w:sz="4" w:space="0" w:color="293F5B"/>
            </w:tcBorders>
          </w:tcPr>
          <w:p w14:paraId="32D53B4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94F4BB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2176A51"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75674E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AD0773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A7A985B" w14:textId="77777777" w:rsidR="00BB2CB4" w:rsidRPr="00222C32" w:rsidRDefault="000674DA">
            <w:pPr>
              <w:pStyle w:val="MeasureTableYearHeadings"/>
              <w:keepNext/>
            </w:pPr>
            <w:r w:rsidRPr="00222C32">
              <w:t>2028-29</w:t>
            </w:r>
          </w:p>
        </w:tc>
      </w:tr>
      <w:tr w:rsidR="00BB2CB4" w:rsidRPr="00222C32" w14:paraId="39213D21" w14:textId="77777777" w:rsidTr="00825163">
        <w:trPr>
          <w:cantSplit/>
        </w:trPr>
        <w:tc>
          <w:tcPr>
            <w:tcW w:w="2501" w:type="dxa"/>
            <w:tcBorders>
              <w:top w:val="single" w:sz="4" w:space="0" w:color="293F5B"/>
              <w:bottom w:val="single" w:sz="4" w:space="0" w:color="293F5B"/>
            </w:tcBorders>
          </w:tcPr>
          <w:p w14:paraId="02F2784C"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2AFDA5D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FD12092"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74DB799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2D4C66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7CB9BB4" w14:textId="77777777" w:rsidR="00BB2CB4" w:rsidRPr="00222C32" w:rsidRDefault="000674DA">
            <w:pPr>
              <w:pStyle w:val="MeasureTableDataRightAlignedwith2ptsspacing"/>
              <w:keepNext/>
            </w:pPr>
            <w:r w:rsidRPr="00222C32">
              <w:t>-</w:t>
            </w:r>
          </w:p>
        </w:tc>
      </w:tr>
    </w:tbl>
    <w:p w14:paraId="1E160C6B" w14:textId="77777777" w:rsidR="00514B2B" w:rsidRDefault="00514B2B" w:rsidP="00514B2B">
      <w:pPr>
        <w:pStyle w:val="SingleParagraph"/>
      </w:pPr>
    </w:p>
    <w:p w14:paraId="7CE17AF1" w14:textId="77777777" w:rsidR="00BB2CB4" w:rsidRDefault="000674DA">
      <w:pPr>
        <w:pStyle w:val="Normal2"/>
      </w:pPr>
      <w:r w:rsidRPr="42F5CE43">
        <w:rPr>
          <w:lang w:val="en-US"/>
        </w:rPr>
        <w:t>The Government will provide additional funding of $6.4 million in 2025–‍26 to the Department of Climate Change, Energy, the Environment and Water to support regulatory functions associated with cost recovery arrangements. Funding includes:</w:t>
      </w:r>
    </w:p>
    <w:p w14:paraId="7136778B" w14:textId="77777777" w:rsidR="00BB2CB4" w:rsidRDefault="000674DA">
      <w:pPr>
        <w:pStyle w:val="Bullet"/>
      </w:pPr>
      <w:r>
        <w:t xml:space="preserve">$6.2 million in 2025–‍26 to continue administering the Waste Export Licencing scheme under the </w:t>
      </w:r>
      <w:r w:rsidRPr="000674DA">
        <w:rPr>
          <w:i/>
        </w:rPr>
        <w:t>Recycling and Waste Reduction Act 2020</w:t>
      </w:r>
    </w:p>
    <w:p w14:paraId="51950369" w14:textId="44EA4ACD" w:rsidR="00BB2CB4" w:rsidRDefault="000674DA">
      <w:pPr>
        <w:pStyle w:val="Bullet"/>
      </w:pPr>
      <w:r>
        <w:t>$0.2 million in 2025–‍26 to continue the Commonwealth</w:t>
      </w:r>
      <w:r w:rsidR="00222C32">
        <w:t>’</w:t>
      </w:r>
      <w:r>
        <w:t>s contribution to the Water Efficiency Labelling and Standards scheme.</w:t>
      </w:r>
    </w:p>
    <w:p w14:paraId="5CB0ACFB" w14:textId="3E56D9E7" w:rsidR="00BB2CB4" w:rsidRDefault="000674DA">
      <w:pPr>
        <w:pStyle w:val="Normal2"/>
      </w:pPr>
      <w:r>
        <w:t>The Government may consider further funding for these functions pending consideration of the department</w:t>
      </w:r>
      <w:r w:rsidR="00222C32">
        <w:t>’</w:t>
      </w:r>
      <w:r>
        <w:t>s broader cost recovery policies.</w:t>
      </w:r>
    </w:p>
    <w:p w14:paraId="00E91139" w14:textId="77777777" w:rsidR="00BB2CB4" w:rsidRDefault="000674DA">
      <w:pPr>
        <w:pStyle w:val="Normal2"/>
      </w:pPr>
      <w:r>
        <w:t xml:space="preserve">This measure extends the 2024–‍25 Budget measure titled </w:t>
      </w:r>
      <w:r w:rsidRPr="000674DA">
        <w:rPr>
          <w:i/>
        </w:rPr>
        <w:t>Climate Change, Energy, the Environment and Water – cost recovery arrangements.</w:t>
      </w:r>
    </w:p>
    <w:p w14:paraId="08466ABD" w14:textId="77777777" w:rsidR="00BB2CB4" w:rsidRDefault="000674DA">
      <w:pPr>
        <w:pStyle w:val="MeasureTitle"/>
        <w:rPr>
          <w:lang w:val="en-US"/>
        </w:rPr>
      </w:pPr>
      <w:r w:rsidRPr="69C11E82">
        <w:rPr>
          <w:lang w:val="en-US"/>
        </w:rPr>
        <w:t>Climate Change, Energy, the Environment and Water – reprioritisation</w:t>
      </w:r>
    </w:p>
    <w:p w14:paraId="10797C87"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0D1224A" w14:textId="77777777" w:rsidTr="00825163">
        <w:trPr>
          <w:cantSplit/>
        </w:trPr>
        <w:tc>
          <w:tcPr>
            <w:tcW w:w="2501" w:type="dxa"/>
            <w:tcBorders>
              <w:top w:val="single" w:sz="4" w:space="0" w:color="293F5B"/>
              <w:bottom w:val="single" w:sz="4" w:space="0" w:color="293F5B"/>
            </w:tcBorders>
          </w:tcPr>
          <w:p w14:paraId="1FAAF7F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CF66672"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3C52B1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E123951"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C2DA1DA"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DA728B3" w14:textId="77777777" w:rsidR="00BB2CB4" w:rsidRPr="00222C32" w:rsidRDefault="000674DA">
            <w:pPr>
              <w:pStyle w:val="MeasureTableYearHeadings"/>
              <w:keepNext/>
            </w:pPr>
            <w:r w:rsidRPr="00222C32">
              <w:t>2028-29</w:t>
            </w:r>
          </w:p>
        </w:tc>
      </w:tr>
      <w:tr w:rsidR="00BB2CB4" w:rsidRPr="00222C32" w14:paraId="439CE6E2" w14:textId="77777777" w:rsidTr="00825163">
        <w:trPr>
          <w:cantSplit/>
        </w:trPr>
        <w:tc>
          <w:tcPr>
            <w:tcW w:w="2501" w:type="dxa"/>
            <w:tcBorders>
              <w:top w:val="single" w:sz="4" w:space="0" w:color="293F5B"/>
              <w:bottom w:val="single" w:sz="4" w:space="0" w:color="293F5B"/>
            </w:tcBorders>
          </w:tcPr>
          <w:p w14:paraId="721D1A64" w14:textId="77777777" w:rsidR="00BB2CB4" w:rsidRPr="00222C32" w:rsidRDefault="000674DA">
            <w:pPr>
              <w:pStyle w:val="MeasureTableHeadingleftalignedwith2ptsspacing"/>
              <w:keepNext/>
            </w:pPr>
            <w:r w:rsidRPr="00222C32">
              <w:t>Australian Renewable Energy Agency</w:t>
            </w:r>
          </w:p>
        </w:tc>
        <w:tc>
          <w:tcPr>
            <w:tcW w:w="1044" w:type="dxa"/>
            <w:tcBorders>
              <w:top w:val="single" w:sz="4" w:space="0" w:color="293F5B"/>
              <w:bottom w:val="single" w:sz="4" w:space="0" w:color="293F5B"/>
            </w:tcBorders>
          </w:tcPr>
          <w:p w14:paraId="618A604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49D0D4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812B262" w14:textId="77777777" w:rsidR="00BB2CB4" w:rsidRPr="00222C32" w:rsidRDefault="000674DA">
            <w:pPr>
              <w:pStyle w:val="MeasureTableDataRightAlignedwith2ptsspacing"/>
              <w:keepNext/>
            </w:pPr>
            <w:r w:rsidRPr="00222C32">
              <w:t>-57.8</w:t>
            </w:r>
          </w:p>
        </w:tc>
        <w:tc>
          <w:tcPr>
            <w:tcW w:w="1044" w:type="dxa"/>
            <w:tcBorders>
              <w:top w:val="single" w:sz="4" w:space="0" w:color="293F5B"/>
              <w:bottom w:val="single" w:sz="4" w:space="0" w:color="293F5B"/>
            </w:tcBorders>
          </w:tcPr>
          <w:p w14:paraId="30523AC9" w14:textId="77777777" w:rsidR="00BB2CB4" w:rsidRPr="00222C32" w:rsidRDefault="000674DA">
            <w:pPr>
              <w:pStyle w:val="MeasureTableDataRightAlignedwith2ptsspacing"/>
              <w:keepNext/>
            </w:pPr>
            <w:r w:rsidRPr="00222C32">
              <w:t>-154.2</w:t>
            </w:r>
          </w:p>
        </w:tc>
        <w:tc>
          <w:tcPr>
            <w:tcW w:w="1044" w:type="dxa"/>
            <w:tcBorders>
              <w:top w:val="single" w:sz="4" w:space="0" w:color="293F5B"/>
              <w:bottom w:val="single" w:sz="4" w:space="0" w:color="293F5B"/>
            </w:tcBorders>
          </w:tcPr>
          <w:p w14:paraId="5DA5FB0C" w14:textId="77777777" w:rsidR="00BB2CB4" w:rsidRPr="00222C32" w:rsidRDefault="000674DA">
            <w:pPr>
              <w:pStyle w:val="MeasureTableDataRightAlignedwith2ptsspacing"/>
              <w:keepNext/>
            </w:pPr>
            <w:r w:rsidRPr="00222C32">
              <w:t>-212.7</w:t>
            </w:r>
          </w:p>
        </w:tc>
      </w:tr>
      <w:tr w:rsidR="00BB2CB4" w:rsidRPr="00222C32" w14:paraId="4C78F903" w14:textId="77777777" w:rsidTr="00825163">
        <w:trPr>
          <w:cantSplit/>
        </w:trPr>
        <w:tc>
          <w:tcPr>
            <w:tcW w:w="2501" w:type="dxa"/>
            <w:tcBorders>
              <w:top w:val="single" w:sz="4" w:space="0" w:color="293F5B"/>
              <w:bottom w:val="single" w:sz="4" w:space="0" w:color="293F5B"/>
            </w:tcBorders>
          </w:tcPr>
          <w:p w14:paraId="755238AD"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6E55371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6302D86" w14:textId="77777777" w:rsidR="00BB2CB4" w:rsidRPr="00222C32" w:rsidRDefault="000674DA">
            <w:pPr>
              <w:pStyle w:val="MeasureTableDataRightAlignedwith2ptsspacing"/>
              <w:keepNext/>
            </w:pPr>
            <w:r w:rsidRPr="00222C32">
              <w:t>-2.5</w:t>
            </w:r>
          </w:p>
        </w:tc>
        <w:tc>
          <w:tcPr>
            <w:tcW w:w="1044" w:type="dxa"/>
            <w:tcBorders>
              <w:top w:val="single" w:sz="4" w:space="0" w:color="293F5B"/>
              <w:bottom w:val="single" w:sz="4" w:space="0" w:color="293F5B"/>
            </w:tcBorders>
          </w:tcPr>
          <w:p w14:paraId="114F4D5E" w14:textId="77777777" w:rsidR="00BB2CB4" w:rsidRPr="00222C32" w:rsidRDefault="000674DA">
            <w:pPr>
              <w:pStyle w:val="MeasureTableDataRightAlignedwith2ptsspacing"/>
              <w:keepNext/>
            </w:pPr>
            <w:r w:rsidRPr="00222C32">
              <w:t>-25.3</w:t>
            </w:r>
          </w:p>
        </w:tc>
        <w:tc>
          <w:tcPr>
            <w:tcW w:w="1044" w:type="dxa"/>
            <w:tcBorders>
              <w:top w:val="single" w:sz="4" w:space="0" w:color="293F5B"/>
              <w:bottom w:val="single" w:sz="4" w:space="0" w:color="293F5B"/>
            </w:tcBorders>
          </w:tcPr>
          <w:p w14:paraId="2A57C0E7" w14:textId="77777777" w:rsidR="00BB2CB4" w:rsidRPr="00222C32" w:rsidRDefault="000674DA">
            <w:pPr>
              <w:pStyle w:val="MeasureTableDataRightAlignedwith2ptsspacing"/>
              <w:keepNext/>
            </w:pPr>
            <w:r w:rsidRPr="00222C32">
              <w:t>-36.2</w:t>
            </w:r>
          </w:p>
        </w:tc>
        <w:tc>
          <w:tcPr>
            <w:tcW w:w="1044" w:type="dxa"/>
            <w:tcBorders>
              <w:top w:val="single" w:sz="4" w:space="0" w:color="293F5B"/>
              <w:bottom w:val="single" w:sz="4" w:space="0" w:color="293F5B"/>
            </w:tcBorders>
          </w:tcPr>
          <w:p w14:paraId="039028C6" w14:textId="77777777" w:rsidR="00BB2CB4" w:rsidRPr="00222C32" w:rsidRDefault="000674DA">
            <w:pPr>
              <w:pStyle w:val="MeasureTableDataRightAlignedwith2ptsspacing"/>
              <w:keepNext/>
            </w:pPr>
            <w:r w:rsidRPr="00222C32">
              <w:t>-20.7</w:t>
            </w:r>
          </w:p>
        </w:tc>
      </w:tr>
      <w:tr w:rsidR="00BB2CB4" w:rsidRPr="00222C32" w14:paraId="0F34D1A7" w14:textId="77777777" w:rsidTr="00825163">
        <w:trPr>
          <w:cantSplit/>
        </w:trPr>
        <w:tc>
          <w:tcPr>
            <w:tcW w:w="2501" w:type="dxa"/>
            <w:tcBorders>
              <w:top w:val="single" w:sz="4" w:space="0" w:color="293F5B"/>
              <w:bottom w:val="single" w:sz="4" w:space="0" w:color="293F5B"/>
            </w:tcBorders>
          </w:tcPr>
          <w:p w14:paraId="57F5D40F"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0CD539D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B18A047" w14:textId="77777777" w:rsidR="00BB2CB4" w:rsidRPr="00222C32" w:rsidRDefault="000674DA">
            <w:pPr>
              <w:pStyle w:val="MeasureTableDataRightAlignedwith2ptsspacing"/>
              <w:keepNext/>
            </w:pPr>
            <w:r w:rsidRPr="00222C32">
              <w:t>-25.1</w:t>
            </w:r>
          </w:p>
        </w:tc>
        <w:tc>
          <w:tcPr>
            <w:tcW w:w="1044" w:type="dxa"/>
            <w:tcBorders>
              <w:top w:val="single" w:sz="4" w:space="0" w:color="293F5B"/>
              <w:bottom w:val="single" w:sz="4" w:space="0" w:color="293F5B"/>
            </w:tcBorders>
          </w:tcPr>
          <w:p w14:paraId="2AC9C65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9C9FB7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4C04570" w14:textId="77777777" w:rsidR="00BB2CB4" w:rsidRPr="00222C32" w:rsidRDefault="000674DA">
            <w:pPr>
              <w:pStyle w:val="MeasureTableDataRightAlignedwith2ptsspacing"/>
              <w:keepNext/>
            </w:pPr>
            <w:r w:rsidRPr="00222C32">
              <w:t>-</w:t>
            </w:r>
          </w:p>
        </w:tc>
      </w:tr>
      <w:tr w:rsidR="00BB2CB4" w:rsidRPr="00222C32" w14:paraId="1C282BED" w14:textId="77777777" w:rsidTr="00825163">
        <w:trPr>
          <w:cantSplit/>
        </w:trPr>
        <w:tc>
          <w:tcPr>
            <w:tcW w:w="2501" w:type="dxa"/>
            <w:tcBorders>
              <w:top w:val="single" w:sz="4" w:space="0" w:color="293F5B"/>
              <w:bottom w:val="single" w:sz="4" w:space="0" w:color="293F5B"/>
            </w:tcBorders>
          </w:tcPr>
          <w:p w14:paraId="785B9FCC"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E0E54C9"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6D790A4" w14:textId="77777777" w:rsidR="00BB2CB4" w:rsidRPr="00222C32" w:rsidRDefault="000674DA">
            <w:pPr>
              <w:pStyle w:val="Totaldatarowrightaligned"/>
              <w:keepNext/>
            </w:pPr>
            <w:r w:rsidRPr="00222C32">
              <w:t>-27.6</w:t>
            </w:r>
          </w:p>
        </w:tc>
        <w:tc>
          <w:tcPr>
            <w:tcW w:w="1044" w:type="dxa"/>
            <w:tcBorders>
              <w:top w:val="single" w:sz="4" w:space="0" w:color="293F5B"/>
              <w:bottom w:val="single" w:sz="4" w:space="0" w:color="293F5B"/>
            </w:tcBorders>
          </w:tcPr>
          <w:p w14:paraId="06D4B388" w14:textId="77777777" w:rsidR="00BB2CB4" w:rsidRPr="00222C32" w:rsidRDefault="000674DA">
            <w:pPr>
              <w:pStyle w:val="Totaldatarowrightaligned"/>
              <w:keepNext/>
            </w:pPr>
            <w:r w:rsidRPr="00222C32">
              <w:t>-83.1</w:t>
            </w:r>
          </w:p>
        </w:tc>
        <w:tc>
          <w:tcPr>
            <w:tcW w:w="1044" w:type="dxa"/>
            <w:tcBorders>
              <w:top w:val="single" w:sz="4" w:space="0" w:color="293F5B"/>
              <w:bottom w:val="single" w:sz="4" w:space="0" w:color="293F5B"/>
            </w:tcBorders>
          </w:tcPr>
          <w:p w14:paraId="28F8149E" w14:textId="77777777" w:rsidR="00BB2CB4" w:rsidRPr="00222C32" w:rsidRDefault="000674DA">
            <w:pPr>
              <w:pStyle w:val="Totaldatarowrightaligned"/>
              <w:keepNext/>
            </w:pPr>
            <w:r w:rsidRPr="00222C32">
              <w:t>-190.3</w:t>
            </w:r>
          </w:p>
        </w:tc>
        <w:tc>
          <w:tcPr>
            <w:tcW w:w="1044" w:type="dxa"/>
            <w:tcBorders>
              <w:top w:val="single" w:sz="4" w:space="0" w:color="293F5B"/>
              <w:bottom w:val="single" w:sz="4" w:space="0" w:color="293F5B"/>
            </w:tcBorders>
          </w:tcPr>
          <w:p w14:paraId="503BAB51" w14:textId="77777777" w:rsidR="00BB2CB4" w:rsidRPr="00222C32" w:rsidRDefault="000674DA">
            <w:pPr>
              <w:pStyle w:val="Totaldatarowrightaligned"/>
              <w:keepNext/>
            </w:pPr>
            <w:r w:rsidRPr="00222C32">
              <w:t>-233.4</w:t>
            </w:r>
          </w:p>
        </w:tc>
      </w:tr>
    </w:tbl>
    <w:p w14:paraId="79CCF21C" w14:textId="77777777" w:rsidR="00514B2B" w:rsidRDefault="00514B2B" w:rsidP="00514B2B">
      <w:pPr>
        <w:pStyle w:val="SingleParagraph"/>
      </w:pPr>
    </w:p>
    <w:p w14:paraId="0069656B" w14:textId="77777777" w:rsidR="00BB2CB4" w:rsidRDefault="000674DA" w:rsidP="000F6B2C">
      <w:pPr>
        <w:pStyle w:val="Normal2"/>
        <w:spacing w:before="100" w:after="100"/>
      </w:pPr>
      <w:r w:rsidRPr="42F5CE43">
        <w:rPr>
          <w:lang w:val="en-US"/>
        </w:rPr>
        <w:t>The Government will reprioritise $534.4 million over four years from 2025–‍26 across the Climate Change, Energy, the Environment and Water portfolio to deliver on key Government priorities. This includes:</w:t>
      </w:r>
    </w:p>
    <w:p w14:paraId="6664634E" w14:textId="77777777" w:rsidR="00BB2CB4" w:rsidRDefault="000674DA" w:rsidP="000F6B2C">
      <w:pPr>
        <w:pStyle w:val="Bullet"/>
        <w:keepLines w:val="0"/>
        <w:spacing w:before="100" w:after="100"/>
      </w:pPr>
      <w:r>
        <w:t xml:space="preserve">$424.7 million over three years from 2026–‍27 from reprioritising funding not committed under the 2023–‍24 Budget measure titled </w:t>
      </w:r>
      <w:r w:rsidRPr="000674DA">
        <w:rPr>
          <w:i/>
        </w:rPr>
        <w:t>Hydrogen Headstart</w:t>
      </w:r>
      <w:r w:rsidRPr="00825163">
        <w:t>,</w:t>
      </w:r>
      <w:r>
        <w:t xml:space="preserve"> to support low and zero emissions technology across the economy</w:t>
      </w:r>
    </w:p>
    <w:p w14:paraId="34429256" w14:textId="77777777" w:rsidR="00BB2CB4" w:rsidRDefault="000674DA">
      <w:pPr>
        <w:pStyle w:val="Bullet"/>
      </w:pPr>
      <w:r>
        <w:t>$47.4 million over four years from 2025–‍26, by streamlining departmental resourcing and reprioritising uncommitted funding from the Powering the Regions Fund</w:t>
      </w:r>
    </w:p>
    <w:p w14:paraId="78F4BDC9" w14:textId="77777777" w:rsidR="00BB2CB4" w:rsidRDefault="000674DA">
      <w:pPr>
        <w:pStyle w:val="Bullet"/>
      </w:pPr>
      <w:r>
        <w:t xml:space="preserve">$25.1 million in 2025–‍26 from reprioritising uncontracted funding under the 2022–‍23 October Budget measure titled </w:t>
      </w:r>
      <w:r w:rsidRPr="000674DA">
        <w:rPr>
          <w:i/>
        </w:rPr>
        <w:t>Powering Australia – Solar Banks</w:t>
      </w:r>
    </w:p>
    <w:p w14:paraId="6021D256" w14:textId="77777777" w:rsidR="00BB2CB4" w:rsidRDefault="000674DA">
      <w:pPr>
        <w:pStyle w:val="Bullet"/>
      </w:pPr>
      <w:r>
        <w:lastRenderedPageBreak/>
        <w:t xml:space="preserve">$25.1 million over two years from 2027–‍28 from the partial reversal of the 2022–‍23 October Budget measure titled </w:t>
      </w:r>
      <w:r w:rsidRPr="000674DA">
        <w:rPr>
          <w:i/>
        </w:rPr>
        <w:t>Next Phase of Natural Heritage Trust Funding</w:t>
      </w:r>
      <w:r w:rsidRPr="00825163">
        <w:t>,</w:t>
      </w:r>
      <w:r w:rsidRPr="000674DA">
        <w:rPr>
          <w:i/>
        </w:rPr>
        <w:t xml:space="preserve"> </w:t>
      </w:r>
      <w:r>
        <w:t>by reducing funding from the Landcare Rangers program</w:t>
      </w:r>
    </w:p>
    <w:p w14:paraId="0C8F1313" w14:textId="77777777" w:rsidR="00BB2CB4" w:rsidRDefault="000674DA">
      <w:pPr>
        <w:pStyle w:val="Bullet"/>
      </w:pPr>
      <w:r>
        <w:t>$12.2 million in 2026–‍27 by reducing uncommitted funding from the National Environmental Science program.</w:t>
      </w:r>
    </w:p>
    <w:p w14:paraId="67DB6D9B" w14:textId="77777777" w:rsidR="00BB2CB4" w:rsidRDefault="000674DA">
      <w:pPr>
        <w:pStyle w:val="MeasureTitle"/>
      </w:pPr>
      <w:r w:rsidRPr="42F5CE43">
        <w:rPr>
          <w:lang w:val="en-US"/>
        </w:rPr>
        <w:t>Commonwealth Leadership for a Safe Circular Economy – additional funding</w:t>
      </w:r>
    </w:p>
    <w:p w14:paraId="6808CBD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511F829" w14:textId="77777777" w:rsidTr="00825163">
        <w:trPr>
          <w:cantSplit/>
        </w:trPr>
        <w:tc>
          <w:tcPr>
            <w:tcW w:w="2501" w:type="dxa"/>
            <w:tcBorders>
              <w:top w:val="single" w:sz="4" w:space="0" w:color="293F5B"/>
              <w:bottom w:val="single" w:sz="4" w:space="0" w:color="293F5B"/>
            </w:tcBorders>
          </w:tcPr>
          <w:p w14:paraId="3481E77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69924E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C28C079"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26CE228"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62D10A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9E44403" w14:textId="77777777" w:rsidR="00BB2CB4" w:rsidRPr="00222C32" w:rsidRDefault="000674DA">
            <w:pPr>
              <w:pStyle w:val="MeasureTableYearHeadings"/>
              <w:keepNext/>
            </w:pPr>
            <w:r w:rsidRPr="00222C32">
              <w:t>2028-29</w:t>
            </w:r>
          </w:p>
        </w:tc>
      </w:tr>
      <w:tr w:rsidR="00BB2CB4" w:rsidRPr="00222C32" w14:paraId="7CD5FB20" w14:textId="77777777" w:rsidTr="00825163">
        <w:trPr>
          <w:cantSplit/>
        </w:trPr>
        <w:tc>
          <w:tcPr>
            <w:tcW w:w="2501" w:type="dxa"/>
            <w:tcBorders>
              <w:top w:val="single" w:sz="4" w:space="0" w:color="293F5B"/>
              <w:bottom w:val="single" w:sz="4" w:space="0" w:color="293F5B"/>
            </w:tcBorders>
          </w:tcPr>
          <w:p w14:paraId="7D6A2B43"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6D0A988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A8A8886" w14:textId="77777777" w:rsidR="00BB2CB4" w:rsidRPr="00222C32" w:rsidRDefault="000674DA">
            <w:pPr>
              <w:pStyle w:val="MeasureTableDataRightAlignedwith2ptsspacing"/>
              <w:keepNext/>
            </w:pPr>
            <w:r w:rsidRPr="00222C32">
              <w:t>20.6</w:t>
            </w:r>
          </w:p>
        </w:tc>
        <w:tc>
          <w:tcPr>
            <w:tcW w:w="1044" w:type="dxa"/>
            <w:tcBorders>
              <w:top w:val="single" w:sz="4" w:space="0" w:color="293F5B"/>
              <w:bottom w:val="single" w:sz="4" w:space="0" w:color="293F5B"/>
            </w:tcBorders>
          </w:tcPr>
          <w:p w14:paraId="3FA464E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0BFE52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CC7174E" w14:textId="77777777" w:rsidR="00BB2CB4" w:rsidRPr="00222C32" w:rsidRDefault="000674DA">
            <w:pPr>
              <w:pStyle w:val="MeasureTableDataRightAlignedwith2ptsspacing"/>
              <w:keepNext/>
            </w:pPr>
            <w:r w:rsidRPr="00222C32">
              <w:t>-</w:t>
            </w:r>
          </w:p>
        </w:tc>
      </w:tr>
    </w:tbl>
    <w:p w14:paraId="77961D05" w14:textId="77777777" w:rsidR="005E03AE" w:rsidRDefault="005E03AE" w:rsidP="005E03AE">
      <w:pPr>
        <w:pStyle w:val="SingleParagraph"/>
      </w:pPr>
    </w:p>
    <w:p w14:paraId="5821E83E" w14:textId="0093E7D7" w:rsidR="00BB2CB4" w:rsidRDefault="000674DA">
      <w:pPr>
        <w:pStyle w:val="Normal2"/>
      </w:pPr>
      <w:r w:rsidRPr="42F5CE43">
        <w:rPr>
          <w:lang w:val="en-US"/>
        </w:rPr>
        <w:t>The Government will provide additional funding of $20.6 million in 2025–‍26 to continue delivery of the Government</w:t>
      </w:r>
      <w:r w:rsidR="00222C32">
        <w:rPr>
          <w:lang w:val="en-US"/>
        </w:rPr>
        <w:t>’</w:t>
      </w:r>
      <w:r w:rsidRPr="42F5CE43">
        <w:rPr>
          <w:lang w:val="en-US"/>
        </w:rPr>
        <w:t>s circular economy policy, program and legislative functions.</w:t>
      </w:r>
    </w:p>
    <w:p w14:paraId="27D788C3" w14:textId="77777777" w:rsidR="00BB2CB4" w:rsidRDefault="000674DA">
      <w:pPr>
        <w:pStyle w:val="Normal2"/>
      </w:pPr>
      <w:r w:rsidRPr="42F5CE43">
        <w:rPr>
          <w:lang w:val="en-US"/>
        </w:rPr>
        <w:t>The Government may consider further funding for this function following the consideration of broader circular economy commitments.</w:t>
      </w:r>
    </w:p>
    <w:p w14:paraId="12A66C72" w14:textId="77777777" w:rsidR="00BB2CB4" w:rsidRDefault="000674DA">
      <w:pPr>
        <w:pStyle w:val="Normal2"/>
      </w:pPr>
      <w:r>
        <w:t xml:space="preserve">This measure extends the 2024–‍25 Budget measure titled </w:t>
      </w:r>
      <w:r w:rsidRPr="000674DA">
        <w:rPr>
          <w:i/>
        </w:rPr>
        <w:t>Commonwealth Leadership for a Safe Circular Economy – continuing delivery</w:t>
      </w:r>
      <w:r>
        <w:t>.</w:t>
      </w:r>
    </w:p>
    <w:p w14:paraId="159B0F75" w14:textId="77777777" w:rsidR="00BB2CB4" w:rsidRDefault="000674DA">
      <w:pPr>
        <w:pStyle w:val="MeasureTitle"/>
      </w:pPr>
      <w:r>
        <w:t>Continuing to Streamline and Strengthen our National Environmental Laws</w:t>
      </w:r>
    </w:p>
    <w:p w14:paraId="78ACBE4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BE44F20" w14:textId="77777777" w:rsidTr="00825163">
        <w:trPr>
          <w:cantSplit/>
        </w:trPr>
        <w:tc>
          <w:tcPr>
            <w:tcW w:w="2501" w:type="dxa"/>
            <w:tcBorders>
              <w:top w:val="single" w:sz="4" w:space="0" w:color="293F5B"/>
              <w:bottom w:val="single" w:sz="4" w:space="0" w:color="293F5B"/>
            </w:tcBorders>
          </w:tcPr>
          <w:p w14:paraId="160C0A7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6FAA0C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7F7679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94E99A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76A38B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10DDD01" w14:textId="77777777" w:rsidR="00BB2CB4" w:rsidRPr="00222C32" w:rsidRDefault="000674DA">
            <w:pPr>
              <w:pStyle w:val="MeasureTableYearHeadings"/>
              <w:keepNext/>
            </w:pPr>
            <w:r w:rsidRPr="00222C32">
              <w:t>2028-29</w:t>
            </w:r>
          </w:p>
        </w:tc>
      </w:tr>
      <w:tr w:rsidR="00BB2CB4" w:rsidRPr="00222C32" w14:paraId="3169A78B" w14:textId="77777777" w:rsidTr="00825163">
        <w:trPr>
          <w:cantSplit/>
        </w:trPr>
        <w:tc>
          <w:tcPr>
            <w:tcW w:w="2501" w:type="dxa"/>
            <w:tcBorders>
              <w:top w:val="single" w:sz="4" w:space="0" w:color="293F5B"/>
              <w:bottom w:val="single" w:sz="4" w:space="0" w:color="293F5B"/>
            </w:tcBorders>
          </w:tcPr>
          <w:p w14:paraId="20BC3759"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6FA4181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53C09A3" w14:textId="77777777" w:rsidR="00BB2CB4" w:rsidRPr="00222C32" w:rsidRDefault="000674DA">
            <w:pPr>
              <w:pStyle w:val="MeasureTableDataRightAlignedwith2ptsspacing"/>
              <w:keepNext/>
            </w:pPr>
            <w:r w:rsidRPr="00222C32">
              <w:t>14.4</w:t>
            </w:r>
          </w:p>
        </w:tc>
        <w:tc>
          <w:tcPr>
            <w:tcW w:w="1044" w:type="dxa"/>
            <w:tcBorders>
              <w:top w:val="single" w:sz="4" w:space="0" w:color="293F5B"/>
              <w:bottom w:val="single" w:sz="4" w:space="0" w:color="293F5B"/>
            </w:tcBorders>
          </w:tcPr>
          <w:p w14:paraId="6B4A746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25F6FA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24A2491" w14:textId="77777777" w:rsidR="00BB2CB4" w:rsidRPr="00222C32" w:rsidRDefault="000674DA">
            <w:pPr>
              <w:pStyle w:val="MeasureTableDataRightAlignedwith2ptsspacing"/>
              <w:keepNext/>
            </w:pPr>
            <w:r w:rsidRPr="00222C32">
              <w:t>-</w:t>
            </w:r>
          </w:p>
        </w:tc>
      </w:tr>
    </w:tbl>
    <w:p w14:paraId="7D4A6164" w14:textId="77777777" w:rsidR="005E03AE" w:rsidRDefault="005E03AE" w:rsidP="005E03AE">
      <w:pPr>
        <w:pStyle w:val="SingleParagraph"/>
      </w:pPr>
    </w:p>
    <w:p w14:paraId="581BEFEF" w14:textId="77777777" w:rsidR="00BB2CB4" w:rsidRDefault="000674DA">
      <w:pPr>
        <w:pStyle w:val="Normal2"/>
      </w:pPr>
      <w:r w:rsidRPr="42F5CE43">
        <w:rPr>
          <w:lang w:val="en-US"/>
        </w:rPr>
        <w:t>The Government will provide additional funding of $14.4 million in 2025–‍26 to continue strengthening and streamlining national environmental laws to address the recommendations of the second independent review of the</w:t>
      </w:r>
      <w:r w:rsidRPr="42F5CE43">
        <w:rPr>
          <w:i/>
          <w:lang w:val="en-US"/>
        </w:rPr>
        <w:t xml:space="preserve"> Environment Protection and Biodiversity Conservation Act 1999</w:t>
      </w:r>
      <w:r w:rsidRPr="42F5CE43">
        <w:rPr>
          <w:lang w:val="en-US"/>
        </w:rPr>
        <w:t xml:space="preserve"> (EPBC Act).</w:t>
      </w:r>
    </w:p>
    <w:p w14:paraId="42D0938B" w14:textId="77777777" w:rsidR="00BB2CB4" w:rsidRDefault="000674DA">
      <w:pPr>
        <w:pStyle w:val="Normal2"/>
      </w:pPr>
      <w:r>
        <w:t>The Government may consider future funding to implement reforms related to the package of EPBC Act legislative amendments that were passed by the Parliament in November 2025.</w:t>
      </w:r>
    </w:p>
    <w:p w14:paraId="56B90EAA" w14:textId="77777777" w:rsidR="00BB2CB4" w:rsidRDefault="000674DA">
      <w:pPr>
        <w:pStyle w:val="Normal2"/>
      </w:pPr>
      <w:r>
        <w:t xml:space="preserve">This measure extends the 2023–‍24 Budget measure titled </w:t>
      </w:r>
      <w:r w:rsidRPr="000674DA">
        <w:rPr>
          <w:i/>
        </w:rPr>
        <w:t>Nature Positive Plan – better for the environment, better for business.</w:t>
      </w:r>
    </w:p>
    <w:p w14:paraId="6AE0DCC8" w14:textId="77777777" w:rsidR="0081015C" w:rsidRDefault="0081015C">
      <w:pPr>
        <w:pStyle w:val="MeasureTitle"/>
      </w:pPr>
      <w:r>
        <w:br w:type="page"/>
      </w:r>
    </w:p>
    <w:p w14:paraId="1474816D" w14:textId="0D0744A3" w:rsidR="00BB2CB4" w:rsidRDefault="000674DA">
      <w:pPr>
        <w:pStyle w:val="MeasureTitle"/>
      </w:pPr>
      <w:r>
        <w:lastRenderedPageBreak/>
        <w:t>Continuing to Support Healthy Oceans</w:t>
      </w:r>
    </w:p>
    <w:p w14:paraId="5495FB2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83D09A3" w14:textId="77777777" w:rsidTr="00825163">
        <w:trPr>
          <w:cantSplit/>
        </w:trPr>
        <w:tc>
          <w:tcPr>
            <w:tcW w:w="2501" w:type="dxa"/>
            <w:tcBorders>
              <w:top w:val="single" w:sz="4" w:space="0" w:color="293F5B"/>
              <w:bottom w:val="single" w:sz="4" w:space="0" w:color="293F5B"/>
            </w:tcBorders>
          </w:tcPr>
          <w:p w14:paraId="18CFF43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CD9741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D469AF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8B32FF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D44392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D524564" w14:textId="77777777" w:rsidR="00BB2CB4" w:rsidRPr="00222C32" w:rsidRDefault="000674DA">
            <w:pPr>
              <w:pStyle w:val="MeasureTableYearHeadings"/>
              <w:keepNext/>
            </w:pPr>
            <w:r w:rsidRPr="00222C32">
              <w:t>2028-29</w:t>
            </w:r>
          </w:p>
        </w:tc>
      </w:tr>
      <w:tr w:rsidR="00BB2CB4" w:rsidRPr="00222C32" w14:paraId="2604E1B8" w14:textId="77777777" w:rsidTr="00825163">
        <w:trPr>
          <w:cantSplit/>
        </w:trPr>
        <w:tc>
          <w:tcPr>
            <w:tcW w:w="2501" w:type="dxa"/>
            <w:tcBorders>
              <w:top w:val="single" w:sz="4" w:space="0" w:color="293F5B"/>
              <w:bottom w:val="single" w:sz="4" w:space="0" w:color="293F5B"/>
            </w:tcBorders>
          </w:tcPr>
          <w:p w14:paraId="28A772E1" w14:textId="77777777" w:rsidR="00BB2CB4" w:rsidRPr="00222C32" w:rsidRDefault="000674DA">
            <w:pPr>
              <w:pStyle w:val="MeasureTableHeadingleftalignedwith2ptsspacing"/>
              <w:keepNext/>
            </w:pPr>
            <w:r w:rsidRPr="00222C32">
              <w:t>Director of National Parks</w:t>
            </w:r>
          </w:p>
        </w:tc>
        <w:tc>
          <w:tcPr>
            <w:tcW w:w="1044" w:type="dxa"/>
            <w:tcBorders>
              <w:top w:val="single" w:sz="4" w:space="0" w:color="293F5B"/>
              <w:bottom w:val="single" w:sz="4" w:space="0" w:color="293F5B"/>
            </w:tcBorders>
          </w:tcPr>
          <w:p w14:paraId="3AEEF23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BCEDE9A" w14:textId="77777777" w:rsidR="00BB2CB4" w:rsidRPr="00222C32" w:rsidRDefault="000674DA">
            <w:pPr>
              <w:pStyle w:val="MeasureTableDataRightAlignedwith2ptsspacing"/>
              <w:keepNext/>
            </w:pPr>
            <w:r w:rsidRPr="00222C32">
              <w:t>3.7</w:t>
            </w:r>
          </w:p>
        </w:tc>
        <w:tc>
          <w:tcPr>
            <w:tcW w:w="1044" w:type="dxa"/>
            <w:tcBorders>
              <w:top w:val="single" w:sz="4" w:space="0" w:color="293F5B"/>
              <w:bottom w:val="single" w:sz="4" w:space="0" w:color="293F5B"/>
            </w:tcBorders>
          </w:tcPr>
          <w:p w14:paraId="4A3EA3BE" w14:textId="77777777" w:rsidR="00BB2CB4" w:rsidRPr="00222C32" w:rsidRDefault="000674DA">
            <w:pPr>
              <w:pStyle w:val="MeasureTableDataRightAlignedwith2ptsspacing"/>
              <w:keepNext/>
            </w:pPr>
            <w:r w:rsidRPr="00222C32">
              <w:t>6.9</w:t>
            </w:r>
          </w:p>
        </w:tc>
        <w:tc>
          <w:tcPr>
            <w:tcW w:w="1044" w:type="dxa"/>
            <w:tcBorders>
              <w:top w:val="single" w:sz="4" w:space="0" w:color="293F5B"/>
              <w:bottom w:val="single" w:sz="4" w:space="0" w:color="293F5B"/>
            </w:tcBorders>
          </w:tcPr>
          <w:p w14:paraId="601C9C25" w14:textId="77777777" w:rsidR="00BB2CB4" w:rsidRPr="00222C32" w:rsidRDefault="000674DA">
            <w:pPr>
              <w:pStyle w:val="MeasureTableDataRightAlignedwith2ptsspacing"/>
              <w:keepNext/>
            </w:pPr>
            <w:r w:rsidRPr="00222C32">
              <w:t>7.2</w:t>
            </w:r>
          </w:p>
        </w:tc>
        <w:tc>
          <w:tcPr>
            <w:tcW w:w="1044" w:type="dxa"/>
            <w:tcBorders>
              <w:top w:val="single" w:sz="4" w:space="0" w:color="293F5B"/>
              <w:bottom w:val="single" w:sz="4" w:space="0" w:color="293F5B"/>
            </w:tcBorders>
          </w:tcPr>
          <w:p w14:paraId="449F1567" w14:textId="77777777" w:rsidR="00BB2CB4" w:rsidRPr="00222C32" w:rsidRDefault="000674DA">
            <w:pPr>
              <w:pStyle w:val="MeasureTableDataRightAlignedwith2ptsspacing"/>
              <w:keepNext/>
            </w:pPr>
            <w:r w:rsidRPr="00222C32">
              <w:t>7.3</w:t>
            </w:r>
          </w:p>
        </w:tc>
      </w:tr>
    </w:tbl>
    <w:p w14:paraId="224D6CD7" w14:textId="77777777" w:rsidR="00CE0FE2" w:rsidRDefault="00CE0FE2" w:rsidP="00CE0FE2">
      <w:pPr>
        <w:pStyle w:val="SingleParagraph"/>
      </w:pPr>
    </w:p>
    <w:p w14:paraId="46860D29" w14:textId="1CB86B3C" w:rsidR="00BB2CB4" w:rsidRDefault="000674DA">
      <w:pPr>
        <w:pStyle w:val="Normal2"/>
      </w:pPr>
      <w:r>
        <w:t>The Government will provide $25.1 million over four years from 2025–‍26 to continue removing discarded fishing nets and marine debris from Australia</w:t>
      </w:r>
      <w:r w:rsidR="00222C32">
        <w:t>’</w:t>
      </w:r>
      <w:r>
        <w:t>s northern waters and further expand this work to other coastal areas around Western Australia, the Torres Strait, and the Arafura and Timor seas to reduce plastic pollution and support the health and management of Australia</w:t>
      </w:r>
      <w:r w:rsidR="00222C32">
        <w:t>’</w:t>
      </w:r>
      <w:r>
        <w:t>s oceans.</w:t>
      </w:r>
    </w:p>
    <w:p w14:paraId="1FB3A7C7" w14:textId="77777777" w:rsidR="00BB2CB4" w:rsidRDefault="000674DA">
      <w:pPr>
        <w:pStyle w:val="Normal2"/>
      </w:pPr>
      <w:r w:rsidRPr="42F5CE43">
        <w:rPr>
          <w:lang w:val="en-US"/>
        </w:rPr>
        <w:t xml:space="preserve">The cost of this measure will be met from savings identified in the 2025–‍26 MYEFO measure titled </w:t>
      </w:r>
      <w:r w:rsidRPr="42F5CE43">
        <w:rPr>
          <w:i/>
          <w:lang w:val="en-US"/>
        </w:rPr>
        <w:t>Climate Change, Energy, the Environment and Water – reprioritisation.</w:t>
      </w:r>
    </w:p>
    <w:p w14:paraId="4A383484" w14:textId="77777777" w:rsidR="00BB2CB4" w:rsidRDefault="000674DA">
      <w:pPr>
        <w:pStyle w:val="MeasureTitle"/>
      </w:pPr>
      <w:r>
        <w:t>Expanding the Capacity Investment Scheme</w:t>
      </w:r>
    </w:p>
    <w:p w14:paraId="694380C5"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6298A5D" w14:textId="77777777" w:rsidTr="00825163">
        <w:trPr>
          <w:cantSplit/>
        </w:trPr>
        <w:tc>
          <w:tcPr>
            <w:tcW w:w="2501" w:type="dxa"/>
            <w:tcBorders>
              <w:top w:val="single" w:sz="4" w:space="0" w:color="293F5B"/>
              <w:bottom w:val="single" w:sz="4" w:space="0" w:color="293F5B"/>
            </w:tcBorders>
          </w:tcPr>
          <w:p w14:paraId="5DAFF71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2A6C19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25D72F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610D8B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F56633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028BEB8" w14:textId="77777777" w:rsidR="00BB2CB4" w:rsidRPr="00222C32" w:rsidRDefault="000674DA">
            <w:pPr>
              <w:pStyle w:val="MeasureTableYearHeadings"/>
              <w:keepNext/>
            </w:pPr>
            <w:r w:rsidRPr="00222C32">
              <w:t>2028-29</w:t>
            </w:r>
          </w:p>
        </w:tc>
      </w:tr>
      <w:tr w:rsidR="00BB2CB4" w:rsidRPr="00222C32" w14:paraId="69DA745A" w14:textId="77777777" w:rsidTr="00825163">
        <w:trPr>
          <w:cantSplit/>
        </w:trPr>
        <w:tc>
          <w:tcPr>
            <w:tcW w:w="2501" w:type="dxa"/>
            <w:tcBorders>
              <w:top w:val="single" w:sz="4" w:space="0" w:color="293F5B"/>
              <w:bottom w:val="single" w:sz="4" w:space="0" w:color="293F5B"/>
            </w:tcBorders>
          </w:tcPr>
          <w:p w14:paraId="52ADCC61"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708680B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305311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39312C"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12203B88"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79987C03" w14:textId="77777777" w:rsidR="00BB2CB4" w:rsidRPr="00222C32" w:rsidRDefault="000674DA">
            <w:pPr>
              <w:pStyle w:val="MeasureTableDataRightAlignedwith2ptsspacing"/>
              <w:keepNext/>
            </w:pPr>
            <w:r w:rsidRPr="00222C32">
              <w:t>nfp</w:t>
            </w:r>
          </w:p>
        </w:tc>
      </w:tr>
    </w:tbl>
    <w:p w14:paraId="7F8ECFD2" w14:textId="77777777" w:rsidR="00CE0FE2" w:rsidRDefault="00CE0FE2" w:rsidP="00CE0FE2">
      <w:pPr>
        <w:pStyle w:val="SingleParagraph"/>
      </w:pPr>
    </w:p>
    <w:p w14:paraId="4E2C5998" w14:textId="329F43E3" w:rsidR="00BB2CB4" w:rsidRDefault="000674DA">
      <w:pPr>
        <w:pStyle w:val="Normal2"/>
      </w:pPr>
      <w:r w:rsidRPr="42F5CE43">
        <w:rPr>
          <w:lang w:val="en-US"/>
        </w:rPr>
        <w:t>The Government will expand the Capacity Investment Scheme to underwrite additional investment in clean dispatchable capacity and variable renewable energy generation to ensure energy reliability and affordability. The financial implications of this measure are not for publication (nfp) as disclosure of the expected additional underwriting costs for clean energy projects selected through the tender process would impair the Commonwealth</w:t>
      </w:r>
      <w:r w:rsidR="00222C32">
        <w:rPr>
          <w:lang w:val="en-US"/>
        </w:rPr>
        <w:t>’</w:t>
      </w:r>
      <w:r w:rsidRPr="42F5CE43">
        <w:rPr>
          <w:lang w:val="en-US"/>
        </w:rPr>
        <w:t>s position in negotiating these contracts with industry.</w:t>
      </w:r>
    </w:p>
    <w:p w14:paraId="1675FC5B" w14:textId="77777777" w:rsidR="00BB2CB4" w:rsidRDefault="000674DA">
      <w:pPr>
        <w:pStyle w:val="Normal2"/>
      </w:pPr>
      <w:r>
        <w:t>The Government will also provide $17.1 million over three years from 2026–‍27 for the Department of Climate Change, Energy, the Environment and Water to undertake contract management and payment verification activities to support the continued delivery of the Capacity Investment Scheme.</w:t>
      </w:r>
    </w:p>
    <w:p w14:paraId="475EE442" w14:textId="10F30B02" w:rsidR="00BB2CB4" w:rsidRDefault="000674DA">
      <w:pPr>
        <w:pStyle w:val="Normal2"/>
      </w:pPr>
      <w:r w:rsidRPr="42F5CE43">
        <w:rPr>
          <w:lang w:val="en-US"/>
        </w:rPr>
        <w:t xml:space="preserve">The cost of this measure will be partially met from savings identified in the 2025–‍26 MYEFO measure titled </w:t>
      </w:r>
      <w:r w:rsidRPr="42F5CE43">
        <w:rPr>
          <w:i/>
          <w:lang w:val="en-US"/>
        </w:rPr>
        <w:t>Climate Change, Energy, the Environment and Water – reprioritisation</w:t>
      </w:r>
      <w:r w:rsidRPr="42F5CE43">
        <w:rPr>
          <w:lang w:val="en-US"/>
        </w:rPr>
        <w:t>.</w:t>
      </w:r>
    </w:p>
    <w:p w14:paraId="1E679078" w14:textId="77777777" w:rsidR="00BB2CB4" w:rsidRDefault="000674DA">
      <w:pPr>
        <w:pStyle w:val="Normal2"/>
      </w:pPr>
      <w:r>
        <w:t xml:space="preserve">This measure builds on the 2023–‍24 Budget measure titled </w:t>
      </w:r>
      <w:r w:rsidRPr="000674DA">
        <w:rPr>
          <w:i/>
        </w:rPr>
        <w:t xml:space="preserve">Capacity Investment Scheme </w:t>
      </w:r>
      <w:r>
        <w:t xml:space="preserve">and the 2023–‍24 MYEFO measure titled </w:t>
      </w:r>
      <w:r w:rsidRPr="000674DA">
        <w:rPr>
          <w:i/>
        </w:rPr>
        <w:t>Capacity Investment Scheme – expansion</w:t>
      </w:r>
      <w:r>
        <w:t>.</w:t>
      </w:r>
    </w:p>
    <w:p w14:paraId="061E12EE" w14:textId="405F2577" w:rsidR="00BB2CB4" w:rsidRDefault="000674DA">
      <w:pPr>
        <w:pStyle w:val="MeasureTitle"/>
      </w:pPr>
      <w:r>
        <w:lastRenderedPageBreak/>
        <w:t>Extending Australia</w:t>
      </w:r>
      <w:r w:rsidR="00222C32">
        <w:t>’</w:t>
      </w:r>
      <w:r>
        <w:t>s International Climate Change Engagement</w:t>
      </w:r>
    </w:p>
    <w:p w14:paraId="4AC8E4F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990FEEA" w14:textId="77777777" w:rsidTr="00825163">
        <w:trPr>
          <w:cantSplit/>
        </w:trPr>
        <w:tc>
          <w:tcPr>
            <w:tcW w:w="2501" w:type="dxa"/>
            <w:tcBorders>
              <w:top w:val="single" w:sz="4" w:space="0" w:color="293F5B"/>
              <w:bottom w:val="single" w:sz="4" w:space="0" w:color="293F5B"/>
            </w:tcBorders>
          </w:tcPr>
          <w:p w14:paraId="1803B90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1DE4CA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830BB2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08992D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8D479E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A56A8A8" w14:textId="77777777" w:rsidR="00BB2CB4" w:rsidRPr="00222C32" w:rsidRDefault="000674DA">
            <w:pPr>
              <w:pStyle w:val="MeasureTableYearHeadings"/>
              <w:keepNext/>
            </w:pPr>
            <w:r w:rsidRPr="00222C32">
              <w:t>2028-29</w:t>
            </w:r>
          </w:p>
        </w:tc>
      </w:tr>
      <w:tr w:rsidR="00BB2CB4" w:rsidRPr="00222C32" w14:paraId="156F29DD" w14:textId="77777777" w:rsidTr="00825163">
        <w:trPr>
          <w:cantSplit/>
        </w:trPr>
        <w:tc>
          <w:tcPr>
            <w:tcW w:w="2501" w:type="dxa"/>
            <w:tcBorders>
              <w:top w:val="single" w:sz="4" w:space="0" w:color="293F5B"/>
              <w:bottom w:val="single" w:sz="4" w:space="0" w:color="293F5B"/>
            </w:tcBorders>
          </w:tcPr>
          <w:p w14:paraId="3A900E3B"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437EC24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0EF02C4" w14:textId="77777777" w:rsidR="00BB2CB4" w:rsidRPr="00222C32" w:rsidRDefault="000674DA">
            <w:pPr>
              <w:pStyle w:val="MeasureTableDataRightAlignedwith2ptsspacing"/>
              <w:keepNext/>
            </w:pPr>
            <w:r w:rsidRPr="00222C32">
              <w:t>13.6</w:t>
            </w:r>
          </w:p>
        </w:tc>
        <w:tc>
          <w:tcPr>
            <w:tcW w:w="1044" w:type="dxa"/>
            <w:tcBorders>
              <w:top w:val="single" w:sz="4" w:space="0" w:color="293F5B"/>
              <w:bottom w:val="single" w:sz="4" w:space="0" w:color="293F5B"/>
            </w:tcBorders>
          </w:tcPr>
          <w:p w14:paraId="1C49FA2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D0ED28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CAF8ADE" w14:textId="77777777" w:rsidR="00BB2CB4" w:rsidRPr="00222C32" w:rsidRDefault="000674DA">
            <w:pPr>
              <w:pStyle w:val="MeasureTableDataRightAlignedwith2ptsspacing"/>
              <w:keepNext/>
            </w:pPr>
            <w:r w:rsidRPr="00222C32">
              <w:t>-</w:t>
            </w:r>
          </w:p>
        </w:tc>
      </w:tr>
      <w:tr w:rsidR="00BB2CB4" w:rsidRPr="00222C32" w14:paraId="27F90BE2" w14:textId="77777777" w:rsidTr="00825163">
        <w:trPr>
          <w:cantSplit/>
        </w:trPr>
        <w:tc>
          <w:tcPr>
            <w:tcW w:w="2501" w:type="dxa"/>
            <w:tcBorders>
              <w:top w:val="single" w:sz="4" w:space="0" w:color="293F5B"/>
              <w:bottom w:val="single" w:sz="4" w:space="0" w:color="293F5B"/>
            </w:tcBorders>
          </w:tcPr>
          <w:p w14:paraId="64A5B423" w14:textId="77777777" w:rsidR="00BB2CB4" w:rsidRPr="00222C32" w:rsidRDefault="000674DA">
            <w:pPr>
              <w:pStyle w:val="MeasureTableHeadingleftalignedwith2ptsspacing"/>
              <w:keepNext/>
            </w:pPr>
            <w:r w:rsidRPr="00222C32">
              <w:t>Department of Foreign Affairs and Trade</w:t>
            </w:r>
          </w:p>
        </w:tc>
        <w:tc>
          <w:tcPr>
            <w:tcW w:w="1044" w:type="dxa"/>
            <w:tcBorders>
              <w:top w:val="single" w:sz="4" w:space="0" w:color="293F5B"/>
              <w:bottom w:val="single" w:sz="4" w:space="0" w:color="293F5B"/>
            </w:tcBorders>
          </w:tcPr>
          <w:p w14:paraId="43FC8D0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ABB88CE" w14:textId="77777777" w:rsidR="00BB2CB4" w:rsidRPr="00222C32" w:rsidRDefault="000674DA">
            <w:pPr>
              <w:pStyle w:val="MeasureTableDataRightAlignedwith2ptsspacing"/>
              <w:keepNext/>
            </w:pPr>
            <w:r w:rsidRPr="00222C32">
              <w:t>6.3</w:t>
            </w:r>
          </w:p>
        </w:tc>
        <w:tc>
          <w:tcPr>
            <w:tcW w:w="1044" w:type="dxa"/>
            <w:tcBorders>
              <w:top w:val="single" w:sz="4" w:space="0" w:color="293F5B"/>
              <w:bottom w:val="single" w:sz="4" w:space="0" w:color="293F5B"/>
            </w:tcBorders>
          </w:tcPr>
          <w:p w14:paraId="177C2E5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0986F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8C35CF" w14:textId="77777777" w:rsidR="00BB2CB4" w:rsidRPr="00222C32" w:rsidRDefault="000674DA">
            <w:pPr>
              <w:pStyle w:val="MeasureTableDataRightAlignedwith2ptsspacing"/>
              <w:keepNext/>
            </w:pPr>
            <w:r w:rsidRPr="00222C32">
              <w:t>-</w:t>
            </w:r>
          </w:p>
        </w:tc>
      </w:tr>
      <w:tr w:rsidR="00BB2CB4" w:rsidRPr="00222C32" w14:paraId="41CD0FC8" w14:textId="77777777" w:rsidTr="00825163">
        <w:trPr>
          <w:cantSplit/>
        </w:trPr>
        <w:tc>
          <w:tcPr>
            <w:tcW w:w="2501" w:type="dxa"/>
            <w:tcBorders>
              <w:top w:val="single" w:sz="4" w:space="0" w:color="293F5B"/>
              <w:bottom w:val="single" w:sz="4" w:space="0" w:color="293F5B"/>
            </w:tcBorders>
          </w:tcPr>
          <w:p w14:paraId="1849B419"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E8ED223"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8206541" w14:textId="77777777" w:rsidR="00BB2CB4" w:rsidRPr="00222C32" w:rsidRDefault="000674DA">
            <w:pPr>
              <w:pStyle w:val="Totaldatarowrightaligned"/>
              <w:keepNext/>
            </w:pPr>
            <w:r w:rsidRPr="00222C32">
              <w:t>19.9</w:t>
            </w:r>
          </w:p>
        </w:tc>
        <w:tc>
          <w:tcPr>
            <w:tcW w:w="1044" w:type="dxa"/>
            <w:tcBorders>
              <w:top w:val="single" w:sz="4" w:space="0" w:color="293F5B"/>
              <w:bottom w:val="single" w:sz="4" w:space="0" w:color="293F5B"/>
            </w:tcBorders>
          </w:tcPr>
          <w:p w14:paraId="7DD92E99"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FDDA86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5935FC0" w14:textId="77777777" w:rsidR="00BB2CB4" w:rsidRPr="00222C32" w:rsidRDefault="000674DA">
            <w:pPr>
              <w:pStyle w:val="Totaldatarowrightaligned"/>
              <w:keepNext/>
            </w:pPr>
            <w:r w:rsidRPr="00222C32">
              <w:t>-</w:t>
            </w:r>
          </w:p>
        </w:tc>
      </w:tr>
    </w:tbl>
    <w:p w14:paraId="78DBD75F" w14:textId="77777777" w:rsidR="005E03AE" w:rsidRDefault="005E03AE" w:rsidP="005E03AE">
      <w:pPr>
        <w:pStyle w:val="SingleParagraph"/>
      </w:pPr>
    </w:p>
    <w:p w14:paraId="150D5DE1" w14:textId="675F4245" w:rsidR="00BB2CB4" w:rsidRDefault="000674DA">
      <w:pPr>
        <w:pStyle w:val="Normal2"/>
      </w:pPr>
      <w:r w:rsidRPr="42F5CE43">
        <w:rPr>
          <w:lang w:val="en-US"/>
        </w:rPr>
        <w:t>The Government will provide an additional $19.9 million in 2025–‍26 to support Australia</w:t>
      </w:r>
      <w:r w:rsidR="00222C32">
        <w:rPr>
          <w:lang w:val="en-US"/>
        </w:rPr>
        <w:t>’</w:t>
      </w:r>
      <w:r w:rsidRPr="42F5CE43">
        <w:rPr>
          <w:lang w:val="en-US"/>
        </w:rPr>
        <w:t>s continued international engagement on climate change and energy transition issues, including through its role in the 31st Conference of the Parties.</w:t>
      </w:r>
    </w:p>
    <w:p w14:paraId="3CD73DCE" w14:textId="216B9EFF" w:rsidR="00BB2CB4" w:rsidRDefault="000674DA">
      <w:pPr>
        <w:pStyle w:val="Normal2"/>
      </w:pPr>
      <w:r>
        <w:t xml:space="preserve">This measure extends the 2024–‍25 Budget measure titled </w:t>
      </w:r>
      <w:r w:rsidRPr="000674DA">
        <w:rPr>
          <w:i/>
        </w:rPr>
        <w:t>Australia</w:t>
      </w:r>
      <w:r w:rsidR="00222C32">
        <w:rPr>
          <w:i/>
        </w:rPr>
        <w:t>’</w:t>
      </w:r>
      <w:r w:rsidRPr="000674DA">
        <w:rPr>
          <w:i/>
        </w:rPr>
        <w:t>s International Climate Change Engagement.</w:t>
      </w:r>
    </w:p>
    <w:p w14:paraId="286AE31A" w14:textId="77777777" w:rsidR="00BB2CB4" w:rsidRDefault="000674DA">
      <w:pPr>
        <w:pStyle w:val="MeasureTitle"/>
      </w:pPr>
      <w:r>
        <w:t>Local Environment Projects</w:t>
      </w:r>
    </w:p>
    <w:p w14:paraId="2797191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551888" w14:textId="77777777" w:rsidTr="00825163">
        <w:trPr>
          <w:cantSplit/>
        </w:trPr>
        <w:tc>
          <w:tcPr>
            <w:tcW w:w="2501" w:type="dxa"/>
            <w:tcBorders>
              <w:top w:val="single" w:sz="4" w:space="0" w:color="293F5B"/>
              <w:bottom w:val="single" w:sz="4" w:space="0" w:color="293F5B"/>
            </w:tcBorders>
          </w:tcPr>
          <w:p w14:paraId="6AA952A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CD3BFD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27323F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636E58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310A4D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08FBD12" w14:textId="77777777" w:rsidR="00BB2CB4" w:rsidRPr="00222C32" w:rsidRDefault="000674DA">
            <w:pPr>
              <w:pStyle w:val="MeasureTableYearHeadings"/>
              <w:keepNext/>
            </w:pPr>
            <w:r w:rsidRPr="00222C32">
              <w:t>2028-29</w:t>
            </w:r>
          </w:p>
        </w:tc>
      </w:tr>
      <w:tr w:rsidR="00BB2CB4" w:rsidRPr="00222C32" w14:paraId="2C537C5B" w14:textId="77777777" w:rsidTr="00825163">
        <w:trPr>
          <w:cantSplit/>
        </w:trPr>
        <w:tc>
          <w:tcPr>
            <w:tcW w:w="2501" w:type="dxa"/>
            <w:tcBorders>
              <w:top w:val="single" w:sz="4" w:space="0" w:color="293F5B"/>
              <w:bottom w:val="single" w:sz="4" w:space="0" w:color="293F5B"/>
            </w:tcBorders>
          </w:tcPr>
          <w:p w14:paraId="6C9AEDB3"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0E9DD32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7B9706E" w14:textId="77777777" w:rsidR="00BB2CB4" w:rsidRPr="00222C32" w:rsidRDefault="000674DA">
            <w:pPr>
              <w:pStyle w:val="MeasureTableDataRightAlignedwith2ptsspacing"/>
              <w:keepNext/>
            </w:pPr>
            <w:r w:rsidRPr="00222C32">
              <w:t>18.4</w:t>
            </w:r>
          </w:p>
        </w:tc>
        <w:tc>
          <w:tcPr>
            <w:tcW w:w="1044" w:type="dxa"/>
            <w:tcBorders>
              <w:top w:val="single" w:sz="4" w:space="0" w:color="293F5B"/>
              <w:bottom w:val="single" w:sz="4" w:space="0" w:color="293F5B"/>
            </w:tcBorders>
          </w:tcPr>
          <w:p w14:paraId="001B04D5" w14:textId="77777777" w:rsidR="00BB2CB4" w:rsidRPr="00222C32" w:rsidRDefault="000674DA">
            <w:pPr>
              <w:pStyle w:val="MeasureTableDataRightAlignedwith2ptsspacing"/>
              <w:keepNext/>
            </w:pPr>
            <w:r w:rsidRPr="00222C32">
              <w:t>25.2</w:t>
            </w:r>
          </w:p>
        </w:tc>
        <w:tc>
          <w:tcPr>
            <w:tcW w:w="1044" w:type="dxa"/>
            <w:tcBorders>
              <w:top w:val="single" w:sz="4" w:space="0" w:color="293F5B"/>
              <w:bottom w:val="single" w:sz="4" w:space="0" w:color="293F5B"/>
            </w:tcBorders>
          </w:tcPr>
          <w:p w14:paraId="2794FCD4" w14:textId="77777777" w:rsidR="00BB2CB4" w:rsidRPr="00222C32" w:rsidRDefault="000674DA">
            <w:pPr>
              <w:pStyle w:val="MeasureTableDataRightAlignedwith2ptsspacing"/>
              <w:keepNext/>
            </w:pPr>
            <w:r w:rsidRPr="00222C32">
              <w:t>10.9</w:t>
            </w:r>
          </w:p>
        </w:tc>
        <w:tc>
          <w:tcPr>
            <w:tcW w:w="1044" w:type="dxa"/>
            <w:tcBorders>
              <w:top w:val="single" w:sz="4" w:space="0" w:color="293F5B"/>
              <w:bottom w:val="single" w:sz="4" w:space="0" w:color="293F5B"/>
            </w:tcBorders>
          </w:tcPr>
          <w:p w14:paraId="19B41342" w14:textId="77777777" w:rsidR="00BB2CB4" w:rsidRPr="00222C32" w:rsidRDefault="000674DA">
            <w:pPr>
              <w:pStyle w:val="MeasureTableDataRightAlignedwith2ptsspacing"/>
              <w:keepNext/>
            </w:pPr>
            <w:r w:rsidRPr="00222C32">
              <w:t>-</w:t>
            </w:r>
          </w:p>
        </w:tc>
      </w:tr>
      <w:tr w:rsidR="00BB2CB4" w:rsidRPr="00222C32" w14:paraId="59186F13" w14:textId="77777777" w:rsidTr="00825163">
        <w:trPr>
          <w:cantSplit/>
        </w:trPr>
        <w:tc>
          <w:tcPr>
            <w:tcW w:w="2501" w:type="dxa"/>
            <w:tcBorders>
              <w:top w:val="single" w:sz="4" w:space="0" w:color="293F5B"/>
              <w:bottom w:val="single" w:sz="4" w:space="0" w:color="293F5B"/>
            </w:tcBorders>
          </w:tcPr>
          <w:p w14:paraId="19D67D70"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5496E50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DC8E30" w14:textId="77777777" w:rsidR="00BB2CB4" w:rsidRPr="00222C32" w:rsidRDefault="000674DA">
            <w:pPr>
              <w:pStyle w:val="MeasureTableDataRightAlignedwith2ptsspacing"/>
              <w:keepNext/>
            </w:pPr>
            <w:r w:rsidRPr="00222C32">
              <w:t>12.5</w:t>
            </w:r>
          </w:p>
        </w:tc>
        <w:tc>
          <w:tcPr>
            <w:tcW w:w="1044" w:type="dxa"/>
            <w:tcBorders>
              <w:top w:val="single" w:sz="4" w:space="0" w:color="293F5B"/>
              <w:bottom w:val="single" w:sz="4" w:space="0" w:color="293F5B"/>
            </w:tcBorders>
          </w:tcPr>
          <w:p w14:paraId="1747A912" w14:textId="77777777" w:rsidR="00BB2CB4" w:rsidRPr="00222C32" w:rsidRDefault="000674DA">
            <w:pPr>
              <w:pStyle w:val="MeasureTableDataRightAlignedwith2ptsspacing"/>
              <w:keepNext/>
            </w:pPr>
            <w:r w:rsidRPr="00222C32">
              <w:t>4.5</w:t>
            </w:r>
          </w:p>
        </w:tc>
        <w:tc>
          <w:tcPr>
            <w:tcW w:w="1044" w:type="dxa"/>
            <w:tcBorders>
              <w:top w:val="single" w:sz="4" w:space="0" w:color="293F5B"/>
              <w:bottom w:val="single" w:sz="4" w:space="0" w:color="293F5B"/>
            </w:tcBorders>
          </w:tcPr>
          <w:p w14:paraId="332DE504" w14:textId="77777777" w:rsidR="00BB2CB4" w:rsidRPr="00222C32" w:rsidRDefault="000674DA">
            <w:pPr>
              <w:pStyle w:val="MeasureTableDataRightAlignedwith2ptsspacing"/>
              <w:keepNext/>
            </w:pPr>
            <w:r w:rsidRPr="00222C32">
              <w:t>1.2</w:t>
            </w:r>
          </w:p>
        </w:tc>
        <w:tc>
          <w:tcPr>
            <w:tcW w:w="1044" w:type="dxa"/>
            <w:tcBorders>
              <w:top w:val="single" w:sz="4" w:space="0" w:color="293F5B"/>
              <w:bottom w:val="single" w:sz="4" w:space="0" w:color="293F5B"/>
            </w:tcBorders>
          </w:tcPr>
          <w:p w14:paraId="02B79D41" w14:textId="77777777" w:rsidR="00BB2CB4" w:rsidRPr="00222C32" w:rsidRDefault="000674DA">
            <w:pPr>
              <w:pStyle w:val="MeasureTableDataRightAlignedwith2ptsspacing"/>
              <w:keepNext/>
            </w:pPr>
            <w:r w:rsidRPr="00222C32">
              <w:t>-</w:t>
            </w:r>
          </w:p>
        </w:tc>
      </w:tr>
      <w:tr w:rsidR="00BB2CB4" w:rsidRPr="00222C32" w14:paraId="29C13AE0" w14:textId="77777777" w:rsidTr="00825163">
        <w:trPr>
          <w:cantSplit/>
        </w:trPr>
        <w:tc>
          <w:tcPr>
            <w:tcW w:w="2501" w:type="dxa"/>
            <w:tcBorders>
              <w:top w:val="single" w:sz="4" w:space="0" w:color="293F5B"/>
              <w:bottom w:val="single" w:sz="4" w:space="0" w:color="293F5B"/>
            </w:tcBorders>
          </w:tcPr>
          <w:p w14:paraId="196A090B" w14:textId="77777777" w:rsidR="00BB2CB4" w:rsidRPr="00222C32" w:rsidRDefault="000674DA">
            <w:pPr>
              <w:pStyle w:val="MeasureTableHeadingleftalignedwith2ptsspacing"/>
              <w:keepNext/>
            </w:pPr>
            <w:r w:rsidRPr="00222C32">
              <w:t>Sydney Harbour Federation Trust</w:t>
            </w:r>
          </w:p>
        </w:tc>
        <w:tc>
          <w:tcPr>
            <w:tcW w:w="1044" w:type="dxa"/>
            <w:tcBorders>
              <w:top w:val="single" w:sz="4" w:space="0" w:color="293F5B"/>
              <w:bottom w:val="single" w:sz="4" w:space="0" w:color="293F5B"/>
            </w:tcBorders>
          </w:tcPr>
          <w:p w14:paraId="13E9AD0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69F008B"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1CE48DAB" w14:textId="77777777" w:rsidR="00BB2CB4" w:rsidRPr="00222C32" w:rsidRDefault="000674DA">
            <w:pPr>
              <w:pStyle w:val="MeasureTableDataRightAlignedwith2ptsspacing"/>
              <w:keepNext/>
            </w:pPr>
            <w:r w:rsidRPr="00222C32">
              <w:t>3.2</w:t>
            </w:r>
          </w:p>
        </w:tc>
        <w:tc>
          <w:tcPr>
            <w:tcW w:w="1044" w:type="dxa"/>
            <w:tcBorders>
              <w:top w:val="single" w:sz="4" w:space="0" w:color="293F5B"/>
              <w:bottom w:val="single" w:sz="4" w:space="0" w:color="293F5B"/>
            </w:tcBorders>
          </w:tcPr>
          <w:p w14:paraId="071BA34E" w14:textId="77777777" w:rsidR="00BB2CB4" w:rsidRPr="00222C32" w:rsidRDefault="000674DA">
            <w:pPr>
              <w:pStyle w:val="MeasureTableDataRightAlignedwith2ptsspacing"/>
              <w:keepNext/>
            </w:pPr>
            <w:r w:rsidRPr="00222C32">
              <w:t>5.0</w:t>
            </w:r>
          </w:p>
        </w:tc>
        <w:tc>
          <w:tcPr>
            <w:tcW w:w="1044" w:type="dxa"/>
            <w:tcBorders>
              <w:top w:val="single" w:sz="4" w:space="0" w:color="293F5B"/>
              <w:bottom w:val="single" w:sz="4" w:space="0" w:color="293F5B"/>
            </w:tcBorders>
          </w:tcPr>
          <w:p w14:paraId="4A549411" w14:textId="77777777" w:rsidR="00BB2CB4" w:rsidRPr="00222C32" w:rsidRDefault="000674DA">
            <w:pPr>
              <w:pStyle w:val="MeasureTableDataRightAlignedwith2ptsspacing"/>
              <w:keepNext/>
            </w:pPr>
            <w:r w:rsidRPr="00222C32">
              <w:t>-</w:t>
            </w:r>
          </w:p>
        </w:tc>
      </w:tr>
      <w:tr w:rsidR="00BB2CB4" w:rsidRPr="00222C32" w14:paraId="0EC8862C" w14:textId="77777777" w:rsidTr="00825163">
        <w:trPr>
          <w:cantSplit/>
        </w:trPr>
        <w:tc>
          <w:tcPr>
            <w:tcW w:w="2501" w:type="dxa"/>
            <w:tcBorders>
              <w:top w:val="single" w:sz="4" w:space="0" w:color="293F5B"/>
              <w:bottom w:val="single" w:sz="4" w:space="0" w:color="293F5B"/>
            </w:tcBorders>
          </w:tcPr>
          <w:p w14:paraId="74FC7006"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13628F6B"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724AB73" w14:textId="77777777" w:rsidR="00BB2CB4" w:rsidRPr="00222C32" w:rsidRDefault="000674DA">
            <w:pPr>
              <w:pStyle w:val="Totaldatarowrightaligned"/>
              <w:keepNext/>
            </w:pPr>
            <w:r w:rsidRPr="00222C32">
              <w:t>32.9</w:t>
            </w:r>
          </w:p>
        </w:tc>
        <w:tc>
          <w:tcPr>
            <w:tcW w:w="1044" w:type="dxa"/>
            <w:tcBorders>
              <w:top w:val="single" w:sz="4" w:space="0" w:color="293F5B"/>
              <w:bottom w:val="single" w:sz="4" w:space="0" w:color="293F5B"/>
            </w:tcBorders>
          </w:tcPr>
          <w:p w14:paraId="64D241BA" w14:textId="77777777" w:rsidR="00BB2CB4" w:rsidRPr="00222C32" w:rsidRDefault="000674DA">
            <w:pPr>
              <w:pStyle w:val="Totaldatarowrightaligned"/>
              <w:keepNext/>
            </w:pPr>
            <w:r w:rsidRPr="00222C32">
              <w:t>32.9</w:t>
            </w:r>
          </w:p>
        </w:tc>
        <w:tc>
          <w:tcPr>
            <w:tcW w:w="1044" w:type="dxa"/>
            <w:tcBorders>
              <w:top w:val="single" w:sz="4" w:space="0" w:color="293F5B"/>
              <w:bottom w:val="single" w:sz="4" w:space="0" w:color="293F5B"/>
            </w:tcBorders>
          </w:tcPr>
          <w:p w14:paraId="71306C70" w14:textId="77777777" w:rsidR="00BB2CB4" w:rsidRPr="00222C32" w:rsidRDefault="000674DA">
            <w:pPr>
              <w:pStyle w:val="Totaldatarowrightaligned"/>
              <w:keepNext/>
            </w:pPr>
            <w:r w:rsidRPr="00222C32">
              <w:t>17.1</w:t>
            </w:r>
          </w:p>
        </w:tc>
        <w:tc>
          <w:tcPr>
            <w:tcW w:w="1044" w:type="dxa"/>
            <w:tcBorders>
              <w:top w:val="single" w:sz="4" w:space="0" w:color="293F5B"/>
              <w:bottom w:val="single" w:sz="4" w:space="0" w:color="293F5B"/>
            </w:tcBorders>
          </w:tcPr>
          <w:p w14:paraId="69BCE5CB" w14:textId="77777777" w:rsidR="00BB2CB4" w:rsidRPr="00222C32" w:rsidRDefault="000674DA">
            <w:pPr>
              <w:pStyle w:val="Totaldatarowrightaligned"/>
              <w:keepNext/>
            </w:pPr>
            <w:r w:rsidRPr="00222C32">
              <w:t>-</w:t>
            </w:r>
          </w:p>
        </w:tc>
      </w:tr>
    </w:tbl>
    <w:p w14:paraId="10D79ACB" w14:textId="77777777" w:rsidR="005E03AE" w:rsidRDefault="005E03AE" w:rsidP="005E03AE">
      <w:pPr>
        <w:pStyle w:val="SingleParagraph"/>
      </w:pPr>
    </w:p>
    <w:p w14:paraId="71E66FE7" w14:textId="1FE9C945" w:rsidR="00BB2CB4" w:rsidRDefault="000674DA">
      <w:pPr>
        <w:pStyle w:val="Normal2"/>
      </w:pPr>
      <w:r>
        <w:t>The Government will provide $87.5 million over four years from 2025–‍26 to protect and improve Australia</w:t>
      </w:r>
      <w:r w:rsidR="00222C32">
        <w:t>’</w:t>
      </w:r>
      <w:r>
        <w:t>s environment and heritage. Funding includes:</w:t>
      </w:r>
    </w:p>
    <w:p w14:paraId="305FE6B5" w14:textId="7C747EBA" w:rsidR="00BB2CB4" w:rsidRDefault="000674DA">
      <w:pPr>
        <w:pStyle w:val="Bullet"/>
      </w:pPr>
      <w:r>
        <w:t>$77.3 million over four years from 2025–‍26 for the Local Environmental Projects program to support projects that aim to preserve Australia</w:t>
      </w:r>
      <w:r w:rsidR="00222C32">
        <w:t>’</w:t>
      </w:r>
      <w:r>
        <w:t>s threatened species, landscapes and waterways through environment protection and restoration activities</w:t>
      </w:r>
    </w:p>
    <w:p w14:paraId="6A2275E8" w14:textId="77777777" w:rsidR="00BB2CB4" w:rsidRDefault="000674DA">
      <w:pPr>
        <w:pStyle w:val="Bullet"/>
      </w:pPr>
      <w:r>
        <w:t>$10.2 million over three years from 2025–‍26 for a new pool at the World Heritage listed Cockatoo Island / Wareamah.</w:t>
      </w:r>
    </w:p>
    <w:p w14:paraId="47124269" w14:textId="77777777" w:rsidR="00BB2CB4" w:rsidRDefault="000674DA">
      <w:pPr>
        <w:pStyle w:val="Normal2"/>
      </w:pPr>
      <w:r>
        <w:t>The Department of Climate Change, Energy, the Environment and Water will partially meet the cost of this measure from within existing resources.</w:t>
      </w:r>
    </w:p>
    <w:p w14:paraId="228A9D06" w14:textId="35F9CCBF" w:rsidR="00BB2CB4" w:rsidRDefault="000674DA">
      <w:pPr>
        <w:pStyle w:val="Normal2"/>
      </w:pPr>
      <w:r>
        <w:t>This measure delivers on the Government</w:t>
      </w:r>
      <w:r w:rsidR="00222C32">
        <w:t>’</w:t>
      </w:r>
      <w:r>
        <w:t>s election commitment made during the 2025</w:t>
      </w:r>
      <w:r w:rsidR="0054427A">
        <w:t> </w:t>
      </w:r>
      <w:r>
        <w:t>federal election.</w:t>
      </w:r>
    </w:p>
    <w:p w14:paraId="3AB6B1B7" w14:textId="046D037F" w:rsidR="00BB2CB4" w:rsidRDefault="000674DA">
      <w:pPr>
        <w:pStyle w:val="MeasureTitle"/>
      </w:pPr>
      <w:r>
        <w:lastRenderedPageBreak/>
        <w:t>Maintaining Australia</w:t>
      </w:r>
      <w:r w:rsidR="00222C32">
        <w:t>’</w:t>
      </w:r>
      <w:r>
        <w:t>s Liquid Fuel Security</w:t>
      </w:r>
    </w:p>
    <w:p w14:paraId="0DCC9EB6"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01E14D1" w14:textId="77777777" w:rsidTr="00825163">
        <w:trPr>
          <w:cantSplit/>
        </w:trPr>
        <w:tc>
          <w:tcPr>
            <w:tcW w:w="2501" w:type="dxa"/>
            <w:tcBorders>
              <w:top w:val="single" w:sz="4" w:space="0" w:color="293F5B"/>
              <w:bottom w:val="single" w:sz="4" w:space="0" w:color="293F5B"/>
            </w:tcBorders>
          </w:tcPr>
          <w:p w14:paraId="7DF16EC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234A1A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829CB19"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661529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EAAB397"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5B872EF" w14:textId="77777777" w:rsidR="00BB2CB4" w:rsidRPr="00222C32" w:rsidRDefault="000674DA">
            <w:pPr>
              <w:pStyle w:val="MeasureTableYearHeadings"/>
              <w:keepNext/>
            </w:pPr>
            <w:r w:rsidRPr="00222C32">
              <w:t>2028-29</w:t>
            </w:r>
          </w:p>
        </w:tc>
      </w:tr>
      <w:tr w:rsidR="00BB2CB4" w:rsidRPr="00222C32" w14:paraId="4289360B" w14:textId="77777777" w:rsidTr="00825163">
        <w:trPr>
          <w:cantSplit/>
        </w:trPr>
        <w:tc>
          <w:tcPr>
            <w:tcW w:w="2501" w:type="dxa"/>
            <w:tcBorders>
              <w:top w:val="single" w:sz="4" w:space="0" w:color="293F5B"/>
              <w:bottom w:val="single" w:sz="4" w:space="0" w:color="293F5B"/>
            </w:tcBorders>
          </w:tcPr>
          <w:p w14:paraId="1D114F2C"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3C171C2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D9F21B6" w14:textId="77777777" w:rsidR="00BB2CB4" w:rsidRPr="00222C32" w:rsidRDefault="000674DA">
            <w:pPr>
              <w:pStyle w:val="MeasureTableDataRightAlignedwith2ptsspacing"/>
              <w:keepNext/>
            </w:pPr>
            <w:r w:rsidRPr="00222C32">
              <w:t>8.5</w:t>
            </w:r>
          </w:p>
        </w:tc>
        <w:tc>
          <w:tcPr>
            <w:tcW w:w="1044" w:type="dxa"/>
            <w:tcBorders>
              <w:top w:val="single" w:sz="4" w:space="0" w:color="293F5B"/>
              <w:bottom w:val="single" w:sz="4" w:space="0" w:color="293F5B"/>
            </w:tcBorders>
          </w:tcPr>
          <w:p w14:paraId="3CDD2965" w14:textId="77777777" w:rsidR="00BB2CB4" w:rsidRPr="00222C32" w:rsidRDefault="000674DA">
            <w:pPr>
              <w:pStyle w:val="MeasureTableDataRightAlignedwith2ptsspacing"/>
              <w:keepNext/>
            </w:pPr>
            <w:r w:rsidRPr="00222C32">
              <w:t>3.4</w:t>
            </w:r>
          </w:p>
        </w:tc>
        <w:tc>
          <w:tcPr>
            <w:tcW w:w="1044" w:type="dxa"/>
            <w:tcBorders>
              <w:top w:val="single" w:sz="4" w:space="0" w:color="293F5B"/>
              <w:bottom w:val="single" w:sz="4" w:space="0" w:color="293F5B"/>
            </w:tcBorders>
          </w:tcPr>
          <w:p w14:paraId="0B89DF36" w14:textId="77777777" w:rsidR="00BB2CB4" w:rsidRPr="00222C32" w:rsidRDefault="000674DA">
            <w:pPr>
              <w:pStyle w:val="MeasureTableDataRightAlignedwith2ptsspacing"/>
              <w:keepNext/>
            </w:pPr>
            <w:r w:rsidRPr="00222C32">
              <w:t>3.5</w:t>
            </w:r>
          </w:p>
        </w:tc>
        <w:tc>
          <w:tcPr>
            <w:tcW w:w="1044" w:type="dxa"/>
            <w:tcBorders>
              <w:top w:val="single" w:sz="4" w:space="0" w:color="293F5B"/>
              <w:bottom w:val="single" w:sz="4" w:space="0" w:color="293F5B"/>
            </w:tcBorders>
          </w:tcPr>
          <w:p w14:paraId="4344D416" w14:textId="77777777" w:rsidR="00BB2CB4" w:rsidRPr="00222C32" w:rsidRDefault="000674DA">
            <w:pPr>
              <w:pStyle w:val="MeasureTableDataRightAlignedwith2ptsspacing"/>
              <w:keepNext/>
            </w:pPr>
            <w:r w:rsidRPr="00222C32">
              <w:t>3.6</w:t>
            </w:r>
          </w:p>
        </w:tc>
      </w:tr>
    </w:tbl>
    <w:p w14:paraId="317F22A0" w14:textId="77777777" w:rsidR="005E03AE" w:rsidRDefault="005E03AE" w:rsidP="005E03AE">
      <w:pPr>
        <w:pStyle w:val="SingleParagraph"/>
      </w:pPr>
    </w:p>
    <w:p w14:paraId="6D29124A" w14:textId="5DD3FBDA" w:rsidR="00BB2CB4" w:rsidRDefault="000674DA">
      <w:pPr>
        <w:pStyle w:val="Normal2"/>
      </w:pPr>
      <w:r w:rsidRPr="42F5CE43">
        <w:rPr>
          <w:lang w:val="en-US"/>
        </w:rPr>
        <w:t>The Government will provide $19.0 million over four years from 2025–‍26 (and an additional $3.8 million in 2029–‍30) to continue to support Australia</w:t>
      </w:r>
      <w:r w:rsidR="00222C32">
        <w:rPr>
          <w:lang w:val="en-US"/>
        </w:rPr>
        <w:t>’</w:t>
      </w:r>
      <w:r w:rsidRPr="42F5CE43">
        <w:rPr>
          <w:lang w:val="en-US"/>
        </w:rPr>
        <w:t>s liquid fuel security. Funding includes:</w:t>
      </w:r>
    </w:p>
    <w:p w14:paraId="5BAF85CF" w14:textId="2EC69B6A" w:rsidR="00BB2CB4" w:rsidRDefault="000674DA">
      <w:pPr>
        <w:pStyle w:val="Bullet"/>
      </w:pPr>
      <w:r>
        <w:t>$10.5 million over four years from 2025–‍26 (and an additional $3.8 million in 2029–‍30) to extend the Commonwealth‑owned stockpile of technical grade urea to maintain the security of Australia</w:t>
      </w:r>
      <w:r w:rsidR="00222C32">
        <w:t>’</w:t>
      </w:r>
      <w:r>
        <w:t>s supply of diesel exhaust fluid</w:t>
      </w:r>
    </w:p>
    <w:p w14:paraId="77AD49CF" w14:textId="367B1665" w:rsidR="00BB2CB4" w:rsidRDefault="000674DA">
      <w:pPr>
        <w:pStyle w:val="Bullet"/>
      </w:pPr>
      <w:r>
        <w:t>$8.5 million in 2025–‍26 to support the continued management of Australia</w:t>
      </w:r>
      <w:r w:rsidR="00222C32">
        <w:t>’</w:t>
      </w:r>
      <w:r>
        <w:t>s fuel security framework, including oversight of the minimum stockholding obligation and the Fuel Security Services Payment.</w:t>
      </w:r>
    </w:p>
    <w:p w14:paraId="4DF594D1" w14:textId="77777777" w:rsidR="00BB2CB4" w:rsidRDefault="000674DA">
      <w:pPr>
        <w:pStyle w:val="Normal2"/>
      </w:pPr>
      <w:r w:rsidRPr="42F5CE43">
        <w:rPr>
          <w:lang w:val="en-US"/>
        </w:rPr>
        <w:t xml:space="preserve">The cost of this measure will be partially met from savings identified in the 2025–‍26 MYEFO measure titled </w:t>
      </w:r>
      <w:r w:rsidRPr="42F5CE43">
        <w:rPr>
          <w:i/>
          <w:lang w:val="en-US"/>
        </w:rPr>
        <w:t>Climate Change, Energy, the Environment and Water – reprioritisation.</w:t>
      </w:r>
    </w:p>
    <w:p w14:paraId="615AF143" w14:textId="77777777" w:rsidR="00BB2CB4" w:rsidRDefault="000674DA">
      <w:pPr>
        <w:pStyle w:val="Normal2"/>
      </w:pPr>
      <w:r>
        <w:t xml:space="preserve">This measure builds on the 2022–‍23 October Budget measure titled </w:t>
      </w:r>
      <w:r w:rsidRPr="000674DA">
        <w:rPr>
          <w:i/>
        </w:rPr>
        <w:t>Diesel Exhaust Fluid Market Security</w:t>
      </w:r>
      <w:r>
        <w:t>.</w:t>
      </w:r>
    </w:p>
    <w:p w14:paraId="78E68149" w14:textId="77777777" w:rsidR="00BB2CB4" w:rsidRDefault="000674DA">
      <w:pPr>
        <w:pStyle w:val="MeasureTitle"/>
      </w:pPr>
      <w:r>
        <w:t>Murray‑Darling Basin Plan – supporting delivery</w:t>
      </w:r>
    </w:p>
    <w:p w14:paraId="3DFAC79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E090FC" w14:textId="77777777" w:rsidTr="00825163">
        <w:trPr>
          <w:cantSplit/>
        </w:trPr>
        <w:tc>
          <w:tcPr>
            <w:tcW w:w="2501" w:type="dxa"/>
            <w:tcBorders>
              <w:top w:val="single" w:sz="4" w:space="0" w:color="293F5B"/>
              <w:bottom w:val="single" w:sz="4" w:space="0" w:color="293F5B"/>
            </w:tcBorders>
          </w:tcPr>
          <w:p w14:paraId="58C74E8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11D9CF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81B817B"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24305C0"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0408E3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79B8F99" w14:textId="77777777" w:rsidR="00BB2CB4" w:rsidRPr="00222C32" w:rsidRDefault="000674DA">
            <w:pPr>
              <w:pStyle w:val="MeasureTableYearHeadings"/>
              <w:keepNext/>
            </w:pPr>
            <w:r w:rsidRPr="00222C32">
              <w:t>2028-29</w:t>
            </w:r>
          </w:p>
        </w:tc>
      </w:tr>
      <w:tr w:rsidR="00BB2CB4" w:rsidRPr="00222C32" w14:paraId="4C0A41CA" w14:textId="77777777" w:rsidTr="00825163">
        <w:trPr>
          <w:cantSplit/>
        </w:trPr>
        <w:tc>
          <w:tcPr>
            <w:tcW w:w="2501" w:type="dxa"/>
            <w:tcBorders>
              <w:top w:val="single" w:sz="4" w:space="0" w:color="293F5B"/>
              <w:bottom w:val="single" w:sz="4" w:space="0" w:color="293F5B"/>
            </w:tcBorders>
          </w:tcPr>
          <w:p w14:paraId="5326FA6C"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1961EA2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C5FFF94"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69DCB9D0"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53D153BA"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2085E761" w14:textId="77777777" w:rsidR="00BB2CB4" w:rsidRPr="00222C32" w:rsidRDefault="000674DA">
            <w:pPr>
              <w:pStyle w:val="MeasureTableDataRightAlignedwith2ptsspacing"/>
              <w:keepNext/>
            </w:pPr>
            <w:r w:rsidRPr="00222C32">
              <w:t>-</w:t>
            </w:r>
          </w:p>
        </w:tc>
      </w:tr>
    </w:tbl>
    <w:p w14:paraId="5DC83BAA" w14:textId="77777777" w:rsidR="00311693" w:rsidRDefault="00311693" w:rsidP="00311693">
      <w:pPr>
        <w:pStyle w:val="SingleParagraph"/>
      </w:pPr>
    </w:p>
    <w:p w14:paraId="2560C883" w14:textId="77777777" w:rsidR="00BB2CB4" w:rsidRDefault="000674DA">
      <w:pPr>
        <w:pStyle w:val="Normal2"/>
      </w:pPr>
      <w:r w:rsidRPr="42F5CE43">
        <w:rPr>
          <w:lang w:val="en-US"/>
        </w:rPr>
        <w:t>The Government will provide additional funding to continue implementation of the Murray‑Darling Basin Plan (Basin Plan). Funding includes:</w:t>
      </w:r>
    </w:p>
    <w:p w14:paraId="0CF900BE" w14:textId="77777777" w:rsidR="00BB2CB4" w:rsidRDefault="000674DA">
      <w:pPr>
        <w:pStyle w:val="Bullet"/>
      </w:pPr>
      <w:r>
        <w:t>funding for further voluntary water purchases to meet environmental water recovery targets under the Basin Plan</w:t>
      </w:r>
    </w:p>
    <w:p w14:paraId="479E2083" w14:textId="77777777" w:rsidR="00BB2CB4" w:rsidRDefault="000674DA">
      <w:pPr>
        <w:pStyle w:val="Bullet"/>
      </w:pPr>
      <w:r>
        <w:t>$2.9 million in 2025–‍26 to support operation of a hydrological modelling platform which is critical to water management and water trade.</w:t>
      </w:r>
    </w:p>
    <w:p w14:paraId="185210DE" w14:textId="77777777" w:rsidR="00BB2CB4" w:rsidRDefault="000674DA">
      <w:pPr>
        <w:pStyle w:val="Normal2"/>
      </w:pPr>
      <w:r>
        <w:t>The Department of Climate Change, Energy, the Environment and Water will partially meet the cost of this measure from within existing resources.</w:t>
      </w:r>
    </w:p>
    <w:p w14:paraId="1F5DCEDF" w14:textId="2A45B436" w:rsidR="00BB2CB4" w:rsidRDefault="000674DA">
      <w:pPr>
        <w:pStyle w:val="Normal2"/>
      </w:pPr>
      <w:r w:rsidRPr="42F5CE43">
        <w:rPr>
          <w:lang w:val="en-US"/>
        </w:rPr>
        <w:t>The financial implications for some elements of this measure are not for publication (nfp) because they would impair the Commonwealth</w:t>
      </w:r>
      <w:r w:rsidR="00222C32">
        <w:rPr>
          <w:lang w:val="en-US"/>
        </w:rPr>
        <w:t>’</w:t>
      </w:r>
      <w:r w:rsidRPr="42F5CE43">
        <w:rPr>
          <w:lang w:val="en-US"/>
        </w:rPr>
        <w:t>s position in negotiating contracts.</w:t>
      </w:r>
    </w:p>
    <w:p w14:paraId="6CD5F9A8" w14:textId="77777777" w:rsidR="00BB2CB4" w:rsidRDefault="000674DA">
      <w:pPr>
        <w:pStyle w:val="Normal2"/>
      </w:pPr>
      <w:r>
        <w:t xml:space="preserve">This measure builds on the 2024–‍25 Budget measure titled </w:t>
      </w:r>
      <w:r w:rsidRPr="000674DA">
        <w:rPr>
          <w:i/>
        </w:rPr>
        <w:t>Murray‑Darling Basin Plan – continuing delivery</w:t>
      </w:r>
      <w:r>
        <w:t>.</w:t>
      </w:r>
    </w:p>
    <w:p w14:paraId="67D78828" w14:textId="2EE5CCF4" w:rsidR="00BB2CB4" w:rsidRDefault="000674DA">
      <w:pPr>
        <w:pStyle w:val="MeasureTitle"/>
      </w:pPr>
      <w:r>
        <w:lastRenderedPageBreak/>
        <w:t>National Water Grid Fund – responsible investment in First Nations water</w:t>
      </w:r>
      <w:r w:rsidR="00DF21ED">
        <w:t> </w:t>
      </w:r>
      <w:r>
        <w:t>infrastructure</w:t>
      </w:r>
    </w:p>
    <w:p w14:paraId="528F568C"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533772F" w14:textId="77777777" w:rsidTr="00825163">
        <w:trPr>
          <w:cantSplit/>
        </w:trPr>
        <w:tc>
          <w:tcPr>
            <w:tcW w:w="2501" w:type="dxa"/>
            <w:tcBorders>
              <w:top w:val="single" w:sz="4" w:space="0" w:color="293F5B"/>
              <w:bottom w:val="single" w:sz="4" w:space="0" w:color="293F5B"/>
            </w:tcBorders>
          </w:tcPr>
          <w:p w14:paraId="5FF827E7"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E1FAA1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FCD717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7871A7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50FAD43"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576AF65" w14:textId="77777777" w:rsidR="00BB2CB4" w:rsidRPr="00222C32" w:rsidRDefault="000674DA">
            <w:pPr>
              <w:pStyle w:val="MeasureTableYearHeadings"/>
              <w:keepNext/>
            </w:pPr>
            <w:r w:rsidRPr="00222C32">
              <w:t>2028-29</w:t>
            </w:r>
          </w:p>
        </w:tc>
      </w:tr>
      <w:tr w:rsidR="00BB2CB4" w:rsidRPr="00222C32" w14:paraId="718F638D" w14:textId="77777777" w:rsidTr="00825163">
        <w:trPr>
          <w:cantSplit/>
        </w:trPr>
        <w:tc>
          <w:tcPr>
            <w:tcW w:w="2501" w:type="dxa"/>
            <w:tcBorders>
              <w:top w:val="single" w:sz="4" w:space="0" w:color="293F5B"/>
              <w:bottom w:val="single" w:sz="4" w:space="0" w:color="293F5B"/>
            </w:tcBorders>
          </w:tcPr>
          <w:p w14:paraId="226FF01C"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3B5B383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587775C" w14:textId="77777777" w:rsidR="00BB2CB4" w:rsidRPr="00222C32" w:rsidRDefault="000674DA">
            <w:pPr>
              <w:pStyle w:val="MeasureTableDataRightAlignedwith2ptsspacing"/>
              <w:keepNext/>
            </w:pPr>
            <w:r w:rsidRPr="00222C32">
              <w:t>14.2</w:t>
            </w:r>
          </w:p>
        </w:tc>
        <w:tc>
          <w:tcPr>
            <w:tcW w:w="1044" w:type="dxa"/>
            <w:tcBorders>
              <w:top w:val="single" w:sz="4" w:space="0" w:color="293F5B"/>
              <w:bottom w:val="single" w:sz="4" w:space="0" w:color="293F5B"/>
            </w:tcBorders>
          </w:tcPr>
          <w:p w14:paraId="28FAC9CF" w14:textId="77777777" w:rsidR="00BB2CB4" w:rsidRPr="00222C32" w:rsidRDefault="000674DA">
            <w:pPr>
              <w:pStyle w:val="MeasureTableDataRightAlignedwith2ptsspacing"/>
              <w:keepNext/>
            </w:pPr>
            <w:r w:rsidRPr="00222C32">
              <w:t>14.4</w:t>
            </w:r>
          </w:p>
        </w:tc>
        <w:tc>
          <w:tcPr>
            <w:tcW w:w="1044" w:type="dxa"/>
            <w:tcBorders>
              <w:top w:val="single" w:sz="4" w:space="0" w:color="293F5B"/>
              <w:bottom w:val="single" w:sz="4" w:space="0" w:color="293F5B"/>
            </w:tcBorders>
          </w:tcPr>
          <w:p w14:paraId="381CC552" w14:textId="77777777" w:rsidR="00BB2CB4" w:rsidRPr="00222C32" w:rsidRDefault="000674DA">
            <w:pPr>
              <w:pStyle w:val="MeasureTableDataRightAlignedwith2ptsspacing"/>
              <w:keepNext/>
            </w:pPr>
            <w:r w:rsidRPr="00222C32">
              <w:t>11.0</w:t>
            </w:r>
          </w:p>
        </w:tc>
        <w:tc>
          <w:tcPr>
            <w:tcW w:w="1044" w:type="dxa"/>
            <w:tcBorders>
              <w:top w:val="single" w:sz="4" w:space="0" w:color="293F5B"/>
              <w:bottom w:val="single" w:sz="4" w:space="0" w:color="293F5B"/>
            </w:tcBorders>
          </w:tcPr>
          <w:p w14:paraId="42CA9A54" w14:textId="77777777" w:rsidR="00BB2CB4" w:rsidRPr="00222C32" w:rsidRDefault="000674DA">
            <w:pPr>
              <w:pStyle w:val="MeasureTableDataRightAlignedwith2ptsspacing"/>
              <w:keepNext/>
            </w:pPr>
            <w:r w:rsidRPr="00222C32">
              <w:t>-39.6</w:t>
            </w:r>
          </w:p>
        </w:tc>
      </w:tr>
    </w:tbl>
    <w:p w14:paraId="738546D1" w14:textId="77777777" w:rsidR="009B697E" w:rsidRDefault="009B697E" w:rsidP="009B697E">
      <w:pPr>
        <w:pStyle w:val="SingleParagraph"/>
      </w:pPr>
    </w:p>
    <w:p w14:paraId="685193B9" w14:textId="77777777" w:rsidR="00BB2CB4" w:rsidRDefault="000674DA">
      <w:pPr>
        <w:pStyle w:val="Normal2"/>
      </w:pPr>
      <w:r>
        <w:t>The Government will provide $60.8 million over four years from 2025–‍26 to deliver six new First Nations water infrastructure projects across remote Australia. Funding includes:</w:t>
      </w:r>
    </w:p>
    <w:p w14:paraId="1C9D025E" w14:textId="77777777" w:rsidR="00BB2CB4" w:rsidRDefault="000674DA">
      <w:pPr>
        <w:pStyle w:val="Bullet"/>
      </w:pPr>
      <w:r>
        <w:t>$18.0 million over two years from 2025–‍26 for the Woorabinda water supply improvement project in Queensland</w:t>
      </w:r>
    </w:p>
    <w:p w14:paraId="4E7081AD" w14:textId="7D91B887" w:rsidR="00BB2CB4" w:rsidRDefault="000674DA">
      <w:pPr>
        <w:pStyle w:val="Bullet"/>
      </w:pPr>
      <w:r>
        <w:t>$14.3 million over three years from 2025–‍26 for the Galiwin</w:t>
      </w:r>
      <w:r w:rsidR="00222C32">
        <w:t>’</w:t>
      </w:r>
      <w:r>
        <w:t>ku network upgrade and water quality planning strategy in the Northern Territory</w:t>
      </w:r>
    </w:p>
    <w:p w14:paraId="4D2BA629" w14:textId="77777777" w:rsidR="00BB2CB4" w:rsidRDefault="000674DA">
      <w:pPr>
        <w:pStyle w:val="Bullet"/>
      </w:pPr>
      <w:r>
        <w:t>$13.7 million over three years from 2025–‍26 for the second phase of the Gove Peninsula water supply upgrade – Gunyangara in the Northern Territory</w:t>
      </w:r>
    </w:p>
    <w:p w14:paraId="1E924458" w14:textId="77777777" w:rsidR="00BB2CB4" w:rsidRDefault="000674DA">
      <w:pPr>
        <w:pStyle w:val="Bullet"/>
      </w:pPr>
      <w:r>
        <w:t>$6.0 million over two years from 2025–‍26 for the Halls Creek water security upgrade in Western Australia</w:t>
      </w:r>
    </w:p>
    <w:p w14:paraId="6C54A873" w14:textId="77777777" w:rsidR="00BB2CB4" w:rsidRDefault="000674DA">
      <w:pPr>
        <w:pStyle w:val="Bullet"/>
      </w:pPr>
      <w:r>
        <w:t>$5.1 million over four years from 2025–‍26 for the revitalisation of water supply on the Anangu Pitjantjatjara Yankunytjatjara Lands in South Australia</w:t>
      </w:r>
    </w:p>
    <w:p w14:paraId="06CF44BC" w14:textId="77777777" w:rsidR="00BB2CB4" w:rsidRDefault="000674DA">
      <w:pPr>
        <w:pStyle w:val="Bullet"/>
      </w:pPr>
      <w:r>
        <w:t>$3.7 million over four years from 2025–‍26 to secure critical human water needs for self‑supplied remote First Nations communities in South Australia.</w:t>
      </w:r>
    </w:p>
    <w:p w14:paraId="588C84A3" w14:textId="77777777" w:rsidR="00BB2CB4" w:rsidRDefault="000674DA">
      <w:pPr>
        <w:pStyle w:val="Normal2"/>
      </w:pPr>
      <w:r>
        <w:t>The cost of this measure will be met by reallocating funding from within the National Water Grid Fund.</w:t>
      </w:r>
    </w:p>
    <w:p w14:paraId="21C93EBA" w14:textId="77777777" w:rsidR="00BB2CB4" w:rsidRDefault="000674DA">
      <w:pPr>
        <w:pStyle w:val="Normal2"/>
      </w:pPr>
      <w:r>
        <w:t>The Treasury manages Commonwealth payments to the states and territories.</w:t>
      </w:r>
    </w:p>
    <w:p w14:paraId="4078336C" w14:textId="77777777" w:rsidR="00BB2CB4" w:rsidRDefault="000674DA">
      <w:pPr>
        <w:pStyle w:val="Normal2"/>
      </w:pPr>
      <w:r>
        <w:t xml:space="preserve">This measure builds on the 2025–‍26 Budget measure titled </w:t>
      </w:r>
      <w:r w:rsidRPr="000674DA">
        <w:rPr>
          <w:i/>
        </w:rPr>
        <w:t>National Water Grid Fund – responsible investment in water infrastructure</w:t>
      </w:r>
      <w:r>
        <w:t>.</w:t>
      </w:r>
    </w:p>
    <w:p w14:paraId="4BBD25EF" w14:textId="77777777" w:rsidR="001D689F" w:rsidRDefault="001D689F">
      <w:pPr>
        <w:pStyle w:val="MeasureTitle"/>
      </w:pPr>
      <w:r>
        <w:br w:type="page"/>
      </w:r>
    </w:p>
    <w:p w14:paraId="5E598582" w14:textId="6ABC0FF5" w:rsidR="00BB2CB4" w:rsidRDefault="000674DA">
      <w:pPr>
        <w:pStyle w:val="MeasureTitle"/>
      </w:pPr>
      <w:r>
        <w:lastRenderedPageBreak/>
        <w:t>Oceans Leadership Package – Australian Marine Parks</w:t>
      </w:r>
    </w:p>
    <w:p w14:paraId="2B63ACD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4F77749" w14:textId="77777777" w:rsidTr="00825163">
        <w:trPr>
          <w:cantSplit/>
        </w:trPr>
        <w:tc>
          <w:tcPr>
            <w:tcW w:w="2501" w:type="dxa"/>
            <w:tcBorders>
              <w:top w:val="single" w:sz="4" w:space="0" w:color="293F5B"/>
              <w:bottom w:val="single" w:sz="4" w:space="0" w:color="293F5B"/>
            </w:tcBorders>
          </w:tcPr>
          <w:p w14:paraId="29E96036"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91CB76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DB3F42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BAB70E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B18741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4297196" w14:textId="77777777" w:rsidR="00BB2CB4" w:rsidRPr="00222C32" w:rsidRDefault="000674DA">
            <w:pPr>
              <w:pStyle w:val="MeasureTableYearHeadings"/>
              <w:keepNext/>
            </w:pPr>
            <w:r w:rsidRPr="00222C32">
              <w:t>2028-29</w:t>
            </w:r>
          </w:p>
        </w:tc>
      </w:tr>
      <w:tr w:rsidR="00BB2CB4" w:rsidRPr="00222C32" w14:paraId="59B54ED9" w14:textId="77777777" w:rsidTr="00825163">
        <w:trPr>
          <w:cantSplit/>
        </w:trPr>
        <w:tc>
          <w:tcPr>
            <w:tcW w:w="2501" w:type="dxa"/>
            <w:tcBorders>
              <w:top w:val="single" w:sz="4" w:space="0" w:color="293F5B"/>
              <w:bottom w:val="single" w:sz="4" w:space="0" w:color="293F5B"/>
            </w:tcBorders>
          </w:tcPr>
          <w:p w14:paraId="34A805A9" w14:textId="77777777" w:rsidR="00BB2CB4" w:rsidRPr="00222C32" w:rsidRDefault="000674DA">
            <w:pPr>
              <w:pStyle w:val="MeasureTableHeadingleftalignedwith2ptsspacing"/>
              <w:keepNext/>
            </w:pPr>
            <w:r w:rsidRPr="00222C32">
              <w:t>Director of National Parks</w:t>
            </w:r>
          </w:p>
        </w:tc>
        <w:tc>
          <w:tcPr>
            <w:tcW w:w="1044" w:type="dxa"/>
            <w:tcBorders>
              <w:top w:val="single" w:sz="4" w:space="0" w:color="293F5B"/>
              <w:bottom w:val="single" w:sz="4" w:space="0" w:color="293F5B"/>
            </w:tcBorders>
          </w:tcPr>
          <w:p w14:paraId="2CEDEB9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E7355AC" w14:textId="77777777" w:rsidR="00BB2CB4" w:rsidRPr="00222C32" w:rsidRDefault="000674DA">
            <w:pPr>
              <w:pStyle w:val="MeasureTableDataRightAlignedwith2ptsspacing"/>
              <w:keepNext/>
            </w:pPr>
            <w:r w:rsidRPr="00222C32">
              <w:t>6.7</w:t>
            </w:r>
          </w:p>
        </w:tc>
        <w:tc>
          <w:tcPr>
            <w:tcW w:w="1044" w:type="dxa"/>
            <w:tcBorders>
              <w:top w:val="single" w:sz="4" w:space="0" w:color="293F5B"/>
              <w:bottom w:val="single" w:sz="4" w:space="0" w:color="293F5B"/>
            </w:tcBorders>
          </w:tcPr>
          <w:p w14:paraId="69AA773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BAC104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2F986CE" w14:textId="77777777" w:rsidR="00BB2CB4" w:rsidRPr="00222C32" w:rsidRDefault="000674DA">
            <w:pPr>
              <w:pStyle w:val="MeasureTableDataRightAlignedwith2ptsspacing"/>
              <w:keepNext/>
            </w:pPr>
            <w:r w:rsidRPr="00222C32">
              <w:t>-</w:t>
            </w:r>
          </w:p>
        </w:tc>
      </w:tr>
      <w:tr w:rsidR="00BB2CB4" w:rsidRPr="00222C32" w14:paraId="6CCEAFF1" w14:textId="77777777" w:rsidTr="00825163">
        <w:trPr>
          <w:cantSplit/>
        </w:trPr>
        <w:tc>
          <w:tcPr>
            <w:tcW w:w="2501" w:type="dxa"/>
            <w:tcBorders>
              <w:top w:val="single" w:sz="4" w:space="0" w:color="293F5B"/>
              <w:bottom w:val="single" w:sz="4" w:space="0" w:color="293F5B"/>
            </w:tcBorders>
          </w:tcPr>
          <w:p w14:paraId="1B9EB5A6"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32AB5A7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2BAC47F" w14:textId="77777777" w:rsidR="00BB2CB4" w:rsidRPr="00222C32" w:rsidRDefault="000674DA">
            <w:pPr>
              <w:pStyle w:val="MeasureTableDataRightAlignedwith2ptsspacing"/>
              <w:keepNext/>
            </w:pPr>
            <w:r w:rsidRPr="00222C32">
              <w:t>3.6</w:t>
            </w:r>
          </w:p>
        </w:tc>
        <w:tc>
          <w:tcPr>
            <w:tcW w:w="1044" w:type="dxa"/>
            <w:tcBorders>
              <w:top w:val="single" w:sz="4" w:space="0" w:color="293F5B"/>
              <w:bottom w:val="single" w:sz="4" w:space="0" w:color="293F5B"/>
            </w:tcBorders>
          </w:tcPr>
          <w:p w14:paraId="0211359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941F2F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213CDE6" w14:textId="77777777" w:rsidR="00BB2CB4" w:rsidRPr="00222C32" w:rsidRDefault="000674DA">
            <w:pPr>
              <w:pStyle w:val="MeasureTableDataRightAlignedwith2ptsspacing"/>
              <w:keepNext/>
            </w:pPr>
            <w:r w:rsidRPr="00222C32">
              <w:t>-</w:t>
            </w:r>
          </w:p>
        </w:tc>
      </w:tr>
      <w:tr w:rsidR="00BB2CB4" w:rsidRPr="00222C32" w14:paraId="3EA4C3BE" w14:textId="77777777" w:rsidTr="00825163">
        <w:trPr>
          <w:cantSplit/>
        </w:trPr>
        <w:tc>
          <w:tcPr>
            <w:tcW w:w="2501" w:type="dxa"/>
            <w:tcBorders>
              <w:top w:val="single" w:sz="4" w:space="0" w:color="293F5B"/>
              <w:bottom w:val="single" w:sz="4" w:space="0" w:color="293F5B"/>
            </w:tcBorders>
          </w:tcPr>
          <w:p w14:paraId="5040A40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AE103D8"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55D5FDF" w14:textId="77777777" w:rsidR="00BB2CB4" w:rsidRPr="00222C32" w:rsidRDefault="000674DA">
            <w:pPr>
              <w:pStyle w:val="Totaldatarowrightaligned"/>
              <w:keepNext/>
            </w:pPr>
            <w:r w:rsidRPr="00222C32">
              <w:t>10.3</w:t>
            </w:r>
          </w:p>
        </w:tc>
        <w:tc>
          <w:tcPr>
            <w:tcW w:w="1044" w:type="dxa"/>
            <w:tcBorders>
              <w:top w:val="single" w:sz="4" w:space="0" w:color="293F5B"/>
              <w:bottom w:val="single" w:sz="4" w:space="0" w:color="293F5B"/>
            </w:tcBorders>
          </w:tcPr>
          <w:p w14:paraId="6A339ECA"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595F8EBD"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1F3BCF4" w14:textId="77777777" w:rsidR="00BB2CB4" w:rsidRPr="00222C32" w:rsidRDefault="000674DA">
            <w:pPr>
              <w:pStyle w:val="Totaldatarowrightaligned"/>
              <w:keepNext/>
            </w:pPr>
            <w:r w:rsidRPr="00222C32">
              <w:t>-</w:t>
            </w:r>
          </w:p>
        </w:tc>
      </w:tr>
    </w:tbl>
    <w:p w14:paraId="01F96CB5" w14:textId="77777777" w:rsidR="009B697E" w:rsidRDefault="009B697E" w:rsidP="009B697E">
      <w:pPr>
        <w:pStyle w:val="SingleParagraph"/>
      </w:pPr>
    </w:p>
    <w:p w14:paraId="6B54D918" w14:textId="77777777" w:rsidR="00BB2CB4" w:rsidRDefault="000674DA">
      <w:pPr>
        <w:pStyle w:val="Normal2"/>
      </w:pPr>
      <w:r w:rsidRPr="42F5CE43">
        <w:rPr>
          <w:lang w:val="en-US"/>
        </w:rPr>
        <w:t>The Government will provide additional funding of $10.3 million in 2025–‍26 for the protection of Australian Marine Parks. Funding includes:</w:t>
      </w:r>
    </w:p>
    <w:p w14:paraId="311957E5" w14:textId="77777777" w:rsidR="00BB2CB4" w:rsidRDefault="000674DA">
      <w:pPr>
        <w:pStyle w:val="Bullet"/>
      </w:pPr>
      <w:r>
        <w:t>$6.7 million in 2025–‍26 to continue private sector partnerships in ocean discovery and habitat protection</w:t>
      </w:r>
    </w:p>
    <w:p w14:paraId="344DAE81" w14:textId="77777777" w:rsidR="00BB2CB4" w:rsidRDefault="000674DA">
      <w:pPr>
        <w:pStyle w:val="Bullet"/>
      </w:pPr>
      <w:r>
        <w:t>$3.6 million in 2025–‍26 to undertake an additional round of the Our Marine Parks grants program to support marine conservation and protect the long‑term health of Australian Marine Parks.</w:t>
      </w:r>
    </w:p>
    <w:p w14:paraId="232C5B30" w14:textId="77777777" w:rsidR="00BB2CB4" w:rsidRDefault="000674DA">
      <w:pPr>
        <w:pStyle w:val="Normal2"/>
      </w:pPr>
      <w:r>
        <w:t>The Government may consider future funding for these functions in a broader ocean priority package.</w:t>
      </w:r>
    </w:p>
    <w:p w14:paraId="77B30F7C" w14:textId="77777777" w:rsidR="00BB2CB4" w:rsidRDefault="000674DA">
      <w:pPr>
        <w:pStyle w:val="MeasureTitle"/>
      </w:pPr>
      <w:r>
        <w:t>Saving Native Species (Conservation Planning Component) – continuing funding</w:t>
      </w:r>
    </w:p>
    <w:p w14:paraId="2B65FA17"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F59ED3" w14:textId="77777777" w:rsidTr="00825163">
        <w:trPr>
          <w:cantSplit/>
        </w:trPr>
        <w:tc>
          <w:tcPr>
            <w:tcW w:w="2501" w:type="dxa"/>
            <w:tcBorders>
              <w:top w:val="single" w:sz="4" w:space="0" w:color="293F5B"/>
              <w:bottom w:val="single" w:sz="4" w:space="0" w:color="293F5B"/>
            </w:tcBorders>
          </w:tcPr>
          <w:p w14:paraId="0238098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AD1D98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F93025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5CC819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19559F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9A97B8E" w14:textId="77777777" w:rsidR="00BB2CB4" w:rsidRPr="00222C32" w:rsidRDefault="000674DA">
            <w:pPr>
              <w:pStyle w:val="MeasureTableYearHeadings"/>
              <w:keepNext/>
            </w:pPr>
            <w:r w:rsidRPr="00222C32">
              <w:t>2028-29</w:t>
            </w:r>
          </w:p>
        </w:tc>
      </w:tr>
      <w:tr w:rsidR="00BB2CB4" w:rsidRPr="00222C32" w14:paraId="0A06757F" w14:textId="77777777" w:rsidTr="00825163">
        <w:trPr>
          <w:cantSplit/>
        </w:trPr>
        <w:tc>
          <w:tcPr>
            <w:tcW w:w="2501" w:type="dxa"/>
            <w:tcBorders>
              <w:top w:val="single" w:sz="4" w:space="0" w:color="293F5B"/>
              <w:bottom w:val="single" w:sz="4" w:space="0" w:color="293F5B"/>
            </w:tcBorders>
          </w:tcPr>
          <w:p w14:paraId="7ADACCE1"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36F2D7D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D4F0F93" w14:textId="77777777" w:rsidR="00BB2CB4" w:rsidRPr="00222C32" w:rsidRDefault="000674DA">
            <w:pPr>
              <w:pStyle w:val="MeasureTableDataRightAlignedwith2ptsspacing"/>
              <w:keepNext/>
            </w:pPr>
            <w:r w:rsidRPr="00222C32">
              <w:t>9.1</w:t>
            </w:r>
          </w:p>
        </w:tc>
        <w:tc>
          <w:tcPr>
            <w:tcW w:w="1044" w:type="dxa"/>
            <w:tcBorders>
              <w:top w:val="single" w:sz="4" w:space="0" w:color="293F5B"/>
              <w:bottom w:val="single" w:sz="4" w:space="0" w:color="293F5B"/>
            </w:tcBorders>
          </w:tcPr>
          <w:p w14:paraId="7D15444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3E95BB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A715CEB" w14:textId="77777777" w:rsidR="00BB2CB4" w:rsidRPr="00222C32" w:rsidRDefault="000674DA">
            <w:pPr>
              <w:pStyle w:val="MeasureTableDataRightAlignedwith2ptsspacing"/>
              <w:keepNext/>
            </w:pPr>
            <w:r w:rsidRPr="00222C32">
              <w:t>-</w:t>
            </w:r>
          </w:p>
        </w:tc>
      </w:tr>
    </w:tbl>
    <w:p w14:paraId="71013A74" w14:textId="77777777" w:rsidR="009B697E" w:rsidRDefault="009B697E" w:rsidP="009B697E">
      <w:pPr>
        <w:pStyle w:val="SingleParagraph"/>
      </w:pPr>
    </w:p>
    <w:p w14:paraId="1A531F89" w14:textId="77777777" w:rsidR="00BB2CB4" w:rsidRDefault="000674DA">
      <w:pPr>
        <w:pStyle w:val="Normal2"/>
      </w:pPr>
      <w:r w:rsidRPr="42F5CE43">
        <w:rPr>
          <w:lang w:val="en-US"/>
        </w:rPr>
        <w:t>The Government will provide additional funding of $9.1 million in 2025–‍26 to support conservation planning to guide the protection and recovery of threatened species and ecological communities.</w:t>
      </w:r>
    </w:p>
    <w:p w14:paraId="01ED98C6" w14:textId="77777777" w:rsidR="00BB2CB4" w:rsidRDefault="000674DA">
      <w:pPr>
        <w:pStyle w:val="Normal2"/>
      </w:pPr>
      <w:r>
        <w:t xml:space="preserve">This measure extends the 2022–‍23 October Budget measure titled </w:t>
      </w:r>
      <w:r w:rsidRPr="000674DA">
        <w:rPr>
          <w:i/>
        </w:rPr>
        <w:t>Saving Native Species</w:t>
      </w:r>
      <w:r>
        <w:t>.</w:t>
      </w:r>
    </w:p>
    <w:p w14:paraId="64E41CFC" w14:textId="77777777" w:rsidR="008D019F" w:rsidRDefault="008D019F">
      <w:pPr>
        <w:pStyle w:val="MeasureTitle"/>
      </w:pPr>
      <w:r>
        <w:br w:type="page"/>
      </w:r>
    </w:p>
    <w:p w14:paraId="130A9AC8" w14:textId="144CE46E" w:rsidR="00BB2CB4" w:rsidRDefault="000674DA">
      <w:pPr>
        <w:pStyle w:val="MeasureTitle"/>
      </w:pPr>
      <w:r>
        <w:lastRenderedPageBreak/>
        <w:t>South Australian Marine Algal Bloom Response</w:t>
      </w:r>
    </w:p>
    <w:p w14:paraId="18E09CA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4D29126" w14:textId="77777777" w:rsidTr="00825163">
        <w:trPr>
          <w:cantSplit/>
        </w:trPr>
        <w:tc>
          <w:tcPr>
            <w:tcW w:w="2501" w:type="dxa"/>
            <w:tcBorders>
              <w:top w:val="single" w:sz="4" w:space="0" w:color="293F5B"/>
              <w:bottom w:val="single" w:sz="4" w:space="0" w:color="293F5B"/>
            </w:tcBorders>
          </w:tcPr>
          <w:p w14:paraId="7BE5E99C"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E40020E"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89B9AA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4887153"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1705EA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EEB52C2" w14:textId="77777777" w:rsidR="00BB2CB4" w:rsidRPr="00222C32" w:rsidRDefault="000674DA">
            <w:pPr>
              <w:pStyle w:val="MeasureTableYearHeadings"/>
              <w:keepNext/>
            </w:pPr>
            <w:r w:rsidRPr="00222C32">
              <w:t>2028-29</w:t>
            </w:r>
          </w:p>
        </w:tc>
      </w:tr>
      <w:tr w:rsidR="00BB2CB4" w:rsidRPr="00222C32" w14:paraId="39699D14" w14:textId="77777777" w:rsidTr="00825163">
        <w:trPr>
          <w:cantSplit/>
        </w:trPr>
        <w:tc>
          <w:tcPr>
            <w:tcW w:w="2501" w:type="dxa"/>
            <w:tcBorders>
              <w:top w:val="single" w:sz="4" w:space="0" w:color="293F5B"/>
              <w:bottom w:val="single" w:sz="4" w:space="0" w:color="293F5B"/>
            </w:tcBorders>
          </w:tcPr>
          <w:p w14:paraId="4D17533E"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12E155D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9A76E59" w14:textId="77777777" w:rsidR="00BB2CB4" w:rsidRPr="00222C32" w:rsidRDefault="000674DA">
            <w:pPr>
              <w:pStyle w:val="MeasureTableDataRightAlignedwith2ptsspacing"/>
              <w:keepNext/>
            </w:pPr>
            <w:r w:rsidRPr="00222C32">
              <w:t>66.3</w:t>
            </w:r>
          </w:p>
        </w:tc>
        <w:tc>
          <w:tcPr>
            <w:tcW w:w="1044" w:type="dxa"/>
            <w:tcBorders>
              <w:top w:val="single" w:sz="4" w:space="0" w:color="293F5B"/>
              <w:bottom w:val="single" w:sz="4" w:space="0" w:color="293F5B"/>
            </w:tcBorders>
          </w:tcPr>
          <w:p w14:paraId="57414A9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ED738C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1AB0849" w14:textId="77777777" w:rsidR="00BB2CB4" w:rsidRPr="00222C32" w:rsidRDefault="000674DA">
            <w:pPr>
              <w:pStyle w:val="MeasureTableDataRightAlignedwith2ptsspacing"/>
              <w:keepNext/>
            </w:pPr>
            <w:r w:rsidRPr="00222C32">
              <w:t>-</w:t>
            </w:r>
          </w:p>
        </w:tc>
      </w:tr>
      <w:tr w:rsidR="00BB2CB4" w:rsidRPr="00222C32" w14:paraId="52425CCA" w14:textId="77777777" w:rsidTr="00825163">
        <w:trPr>
          <w:cantSplit/>
        </w:trPr>
        <w:tc>
          <w:tcPr>
            <w:tcW w:w="2501" w:type="dxa"/>
            <w:tcBorders>
              <w:top w:val="single" w:sz="4" w:space="0" w:color="293F5B"/>
              <w:bottom w:val="single" w:sz="4" w:space="0" w:color="293F5B"/>
            </w:tcBorders>
          </w:tcPr>
          <w:p w14:paraId="23BBE9D3" w14:textId="77777777" w:rsidR="00BB2CB4" w:rsidRPr="00222C32" w:rsidRDefault="000674DA">
            <w:pPr>
              <w:pStyle w:val="MeasureTableHeadingleftalignedwith2ptsspacing"/>
              <w:keepNext/>
            </w:pPr>
            <w:r w:rsidRPr="00222C32">
              <w:t>Commonwealth Scientific and Industrial Research Organisation</w:t>
            </w:r>
          </w:p>
        </w:tc>
        <w:tc>
          <w:tcPr>
            <w:tcW w:w="1044" w:type="dxa"/>
            <w:tcBorders>
              <w:top w:val="single" w:sz="4" w:space="0" w:color="293F5B"/>
              <w:bottom w:val="single" w:sz="4" w:space="0" w:color="293F5B"/>
            </w:tcBorders>
          </w:tcPr>
          <w:p w14:paraId="7B060A2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1C09DD0"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4573030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8476AB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6D7075E" w14:textId="77777777" w:rsidR="00BB2CB4" w:rsidRPr="00222C32" w:rsidRDefault="000674DA">
            <w:pPr>
              <w:pStyle w:val="MeasureTableDataRightAlignedwith2ptsspacing"/>
              <w:keepNext/>
            </w:pPr>
            <w:r w:rsidRPr="00222C32">
              <w:t>-</w:t>
            </w:r>
          </w:p>
        </w:tc>
      </w:tr>
      <w:tr w:rsidR="00BB2CB4" w:rsidRPr="00222C32" w14:paraId="772B1F25" w14:textId="77777777" w:rsidTr="00825163">
        <w:trPr>
          <w:cantSplit/>
        </w:trPr>
        <w:tc>
          <w:tcPr>
            <w:tcW w:w="2501" w:type="dxa"/>
            <w:tcBorders>
              <w:top w:val="single" w:sz="4" w:space="0" w:color="293F5B"/>
              <w:bottom w:val="single" w:sz="4" w:space="0" w:color="293F5B"/>
            </w:tcBorders>
          </w:tcPr>
          <w:p w14:paraId="56EEA1B3"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1BBE349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F408D3"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2F03788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33449E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8051CB4" w14:textId="77777777" w:rsidR="00BB2CB4" w:rsidRPr="00222C32" w:rsidRDefault="000674DA">
            <w:pPr>
              <w:pStyle w:val="MeasureTableDataRightAlignedwith2ptsspacing"/>
              <w:keepNext/>
            </w:pPr>
            <w:r w:rsidRPr="00222C32">
              <w:t>-</w:t>
            </w:r>
          </w:p>
        </w:tc>
      </w:tr>
      <w:tr w:rsidR="00BB2CB4" w:rsidRPr="00222C32" w14:paraId="214B168D" w14:textId="77777777" w:rsidTr="00825163">
        <w:trPr>
          <w:cantSplit/>
        </w:trPr>
        <w:tc>
          <w:tcPr>
            <w:tcW w:w="2501" w:type="dxa"/>
            <w:tcBorders>
              <w:top w:val="single" w:sz="4" w:space="0" w:color="293F5B"/>
              <w:bottom w:val="single" w:sz="4" w:space="0" w:color="293F5B"/>
            </w:tcBorders>
          </w:tcPr>
          <w:p w14:paraId="4C56D516"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A399691"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E520FE4" w14:textId="77777777" w:rsidR="00BB2CB4" w:rsidRPr="00222C32" w:rsidRDefault="000674DA">
            <w:pPr>
              <w:pStyle w:val="Totaldatarowrightaligned"/>
              <w:keepNext/>
            </w:pPr>
            <w:r w:rsidRPr="00222C32">
              <w:t>68.0</w:t>
            </w:r>
          </w:p>
        </w:tc>
        <w:tc>
          <w:tcPr>
            <w:tcW w:w="1044" w:type="dxa"/>
            <w:tcBorders>
              <w:top w:val="single" w:sz="4" w:space="0" w:color="293F5B"/>
              <w:bottom w:val="single" w:sz="4" w:space="0" w:color="293F5B"/>
            </w:tcBorders>
          </w:tcPr>
          <w:p w14:paraId="3D388827"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CCC1057"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7B9BC114" w14:textId="77777777" w:rsidR="00BB2CB4" w:rsidRPr="00222C32" w:rsidRDefault="000674DA">
            <w:pPr>
              <w:pStyle w:val="Totaldatarowrightaligned"/>
              <w:keepNext/>
            </w:pPr>
            <w:r w:rsidRPr="00222C32">
              <w:t>-</w:t>
            </w:r>
          </w:p>
        </w:tc>
      </w:tr>
    </w:tbl>
    <w:p w14:paraId="723AD6D8" w14:textId="77777777" w:rsidR="004E3F96" w:rsidRDefault="004E3F96" w:rsidP="004E3F96">
      <w:pPr>
        <w:pStyle w:val="SingleParagraph"/>
      </w:pPr>
    </w:p>
    <w:p w14:paraId="7B9FD1BA" w14:textId="77777777" w:rsidR="00BB2CB4" w:rsidRDefault="000674DA">
      <w:pPr>
        <w:pStyle w:val="Normal2"/>
      </w:pPr>
      <w:r>
        <w:t>The Government will provide $68.5 million in 2025–‍26 to protect the South Australian coastline from the impacts of the marine algal bloom and support local communities. Funding includes:</w:t>
      </w:r>
    </w:p>
    <w:p w14:paraId="3D3DC9ED" w14:textId="77777777" w:rsidR="00BB2CB4" w:rsidRDefault="000674DA">
      <w:pPr>
        <w:pStyle w:val="Bullet"/>
      </w:pPr>
      <w:r>
        <w:t>$48.0 million in 2025–‍26 towards the Algal Bloom Summer Plan to undertake research and monitoring of the bloom, protect and restore the South Australian marine environment, and support coastal communities and businesses over the summer</w:t>
      </w:r>
    </w:p>
    <w:p w14:paraId="06785E98" w14:textId="77777777" w:rsidR="00BB2CB4" w:rsidRDefault="000674DA">
      <w:pPr>
        <w:pStyle w:val="Bullet"/>
      </w:pPr>
      <w:r>
        <w:t>$14.0 million in 2025–‍26 to address the immediate impacts of the algal bloom and improve preparedness for future events</w:t>
      </w:r>
    </w:p>
    <w:p w14:paraId="52D1AA5C" w14:textId="77777777" w:rsidR="00BB2CB4" w:rsidRDefault="000674DA">
      <w:pPr>
        <w:pStyle w:val="Bullet"/>
      </w:pPr>
      <w:r>
        <w:t>$4.0 million in 2025–‍26 for grants to local governments to support coastal infrastructure investment, environmental remediation activities and community support programs</w:t>
      </w:r>
    </w:p>
    <w:p w14:paraId="50816DA7" w14:textId="77777777" w:rsidR="00BB2CB4" w:rsidRDefault="000674DA">
      <w:pPr>
        <w:pStyle w:val="Bullet"/>
      </w:pPr>
      <w:r>
        <w:t>$2.0 million in 2025–‍26 for the Commonwealth Scientific and Industrial Research Organisation (CSIRO) to enhance water quality monitoring and data collection of marine heatwaves</w:t>
      </w:r>
    </w:p>
    <w:p w14:paraId="10587E88" w14:textId="77777777" w:rsidR="00BB2CB4" w:rsidRDefault="000674DA">
      <w:pPr>
        <w:pStyle w:val="Bullet"/>
      </w:pPr>
      <w:r>
        <w:t>$0.3 million in 2025–‍26 for a bubble curtain system to protect cuttlefish off the coast of Whyalla</w:t>
      </w:r>
    </w:p>
    <w:p w14:paraId="2DFAD93C" w14:textId="56FA18AD" w:rsidR="00BB2CB4" w:rsidRDefault="000674DA">
      <w:pPr>
        <w:pStyle w:val="Bullet"/>
      </w:pPr>
      <w:r>
        <w:t>$0.3 million in 2025–‍26 for algal bloom related research delivered through the National Environment Science Programs Marine and Coastal Hub.</w:t>
      </w:r>
    </w:p>
    <w:p w14:paraId="0B6CA49F" w14:textId="77777777" w:rsidR="00BB2CB4" w:rsidRDefault="000674DA">
      <w:pPr>
        <w:pStyle w:val="Normal2"/>
      </w:pPr>
      <w:r w:rsidRPr="42F5CE43">
        <w:rPr>
          <w:lang w:val="en-US"/>
        </w:rPr>
        <w:t>The cost of this measure will be partially met from savings identified in the Climate Change, Energy, the Environment and Water and the Industry, Science and Resources portfolios.</w:t>
      </w:r>
    </w:p>
    <w:p w14:paraId="61F428B9" w14:textId="77777777" w:rsidR="00BB2CB4" w:rsidRDefault="000674DA">
      <w:pPr>
        <w:pStyle w:val="Normal2"/>
      </w:pPr>
      <w:r>
        <w:t>The Treasury manages Commonwealth payments to the states and territories.</w:t>
      </w:r>
    </w:p>
    <w:p w14:paraId="6ECB2D8D" w14:textId="77777777" w:rsidR="00BB2CB4" w:rsidRDefault="000674DA">
      <w:pPr>
        <w:pStyle w:val="Normal2"/>
      </w:pPr>
      <w:r>
        <w:t xml:space="preserve">See also the related payment measure titled </w:t>
      </w:r>
      <w:r w:rsidRPr="000674DA">
        <w:rPr>
          <w:i/>
        </w:rPr>
        <w:t>Future of the Regional Investment Corporation</w:t>
      </w:r>
      <w:r>
        <w:t xml:space="preserve"> in the Agriculture, Fisheries and Forestry portfolio.</w:t>
      </w:r>
    </w:p>
    <w:p w14:paraId="491CF372" w14:textId="77777777" w:rsidR="00487D85" w:rsidRDefault="00487D85">
      <w:pPr>
        <w:autoSpaceDE/>
        <w:autoSpaceDN/>
        <w:adjustRightInd/>
        <w:rPr>
          <w:rFonts w:cs="Times New Roman"/>
          <w:b/>
          <w:color w:val="000000"/>
          <w:lang w:val="en-AU"/>
        </w:rPr>
      </w:pPr>
      <w:r>
        <w:br w:type="page"/>
      </w:r>
    </w:p>
    <w:p w14:paraId="039F6D17" w14:textId="476A03B4" w:rsidR="00BB2CB4" w:rsidRDefault="000674DA">
      <w:pPr>
        <w:pStyle w:val="MeasureTitle"/>
      </w:pPr>
      <w:r>
        <w:lastRenderedPageBreak/>
        <w:t>Support for the Net Zero Plan</w:t>
      </w:r>
    </w:p>
    <w:p w14:paraId="1628D05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1FF9FE2" w14:textId="77777777" w:rsidTr="00825163">
        <w:tc>
          <w:tcPr>
            <w:tcW w:w="2501" w:type="dxa"/>
            <w:tcBorders>
              <w:top w:val="single" w:sz="4" w:space="0" w:color="293F5B"/>
              <w:bottom w:val="single" w:sz="4" w:space="0" w:color="293F5B"/>
            </w:tcBorders>
          </w:tcPr>
          <w:p w14:paraId="36CE64C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6FD6D87"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35FAD3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884A9E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478344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27B5F30" w14:textId="77777777" w:rsidR="00BB2CB4" w:rsidRPr="00222C32" w:rsidRDefault="000674DA">
            <w:pPr>
              <w:pStyle w:val="MeasureTableYearHeadings"/>
              <w:keepNext/>
            </w:pPr>
            <w:r w:rsidRPr="00222C32">
              <w:t>2028-29</w:t>
            </w:r>
          </w:p>
        </w:tc>
      </w:tr>
      <w:tr w:rsidR="00BB2CB4" w:rsidRPr="00222C32" w14:paraId="2AB27F29" w14:textId="77777777" w:rsidTr="00825163">
        <w:tc>
          <w:tcPr>
            <w:tcW w:w="2501" w:type="dxa"/>
            <w:tcBorders>
              <w:top w:val="single" w:sz="4" w:space="0" w:color="293F5B"/>
              <w:bottom w:val="single" w:sz="4" w:space="0" w:color="293F5B"/>
            </w:tcBorders>
          </w:tcPr>
          <w:p w14:paraId="26A58D13" w14:textId="77777777" w:rsidR="00BB2CB4" w:rsidRPr="00222C32" w:rsidRDefault="000674DA">
            <w:pPr>
              <w:pStyle w:val="MeasureTableHeadingleftalignedwith2ptsspacing"/>
              <w:keepNext/>
            </w:pPr>
            <w:r w:rsidRPr="00222C32">
              <w:t>Department of Climate Change, Energy, the Environment and Water</w:t>
            </w:r>
          </w:p>
        </w:tc>
        <w:tc>
          <w:tcPr>
            <w:tcW w:w="1044" w:type="dxa"/>
            <w:tcBorders>
              <w:top w:val="single" w:sz="4" w:space="0" w:color="293F5B"/>
              <w:bottom w:val="single" w:sz="4" w:space="0" w:color="293F5B"/>
            </w:tcBorders>
          </w:tcPr>
          <w:p w14:paraId="3821E1E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6E51AA4" w14:textId="77777777" w:rsidR="00BB2CB4" w:rsidRPr="00222C32" w:rsidRDefault="000674DA">
            <w:pPr>
              <w:pStyle w:val="MeasureTableDataRightAlignedwith2ptsspacing"/>
              <w:keepNext/>
            </w:pPr>
            <w:r w:rsidRPr="00222C32">
              <w:t>11.8</w:t>
            </w:r>
          </w:p>
        </w:tc>
        <w:tc>
          <w:tcPr>
            <w:tcW w:w="1044" w:type="dxa"/>
            <w:tcBorders>
              <w:top w:val="single" w:sz="4" w:space="0" w:color="293F5B"/>
              <w:bottom w:val="single" w:sz="4" w:space="0" w:color="293F5B"/>
            </w:tcBorders>
          </w:tcPr>
          <w:p w14:paraId="1E3BBB61" w14:textId="77777777" w:rsidR="00BB2CB4" w:rsidRPr="00222C32" w:rsidRDefault="000674DA">
            <w:pPr>
              <w:pStyle w:val="MeasureTableDataRightAlignedwith2ptsspacing"/>
              <w:keepNext/>
            </w:pPr>
            <w:r w:rsidRPr="00222C32">
              <w:t>60.3</w:t>
            </w:r>
          </w:p>
        </w:tc>
        <w:tc>
          <w:tcPr>
            <w:tcW w:w="1044" w:type="dxa"/>
            <w:tcBorders>
              <w:top w:val="single" w:sz="4" w:space="0" w:color="293F5B"/>
              <w:bottom w:val="single" w:sz="4" w:space="0" w:color="293F5B"/>
            </w:tcBorders>
          </w:tcPr>
          <w:p w14:paraId="74903BBF" w14:textId="77777777" w:rsidR="00BB2CB4" w:rsidRPr="00222C32" w:rsidRDefault="000674DA">
            <w:pPr>
              <w:pStyle w:val="MeasureTableDataRightAlignedwith2ptsspacing"/>
              <w:keepNext/>
            </w:pPr>
            <w:r w:rsidRPr="00222C32">
              <w:t>64.5</w:t>
            </w:r>
          </w:p>
        </w:tc>
        <w:tc>
          <w:tcPr>
            <w:tcW w:w="1044" w:type="dxa"/>
            <w:tcBorders>
              <w:top w:val="single" w:sz="4" w:space="0" w:color="293F5B"/>
              <w:bottom w:val="single" w:sz="4" w:space="0" w:color="293F5B"/>
            </w:tcBorders>
          </w:tcPr>
          <w:p w14:paraId="5C51017A" w14:textId="77777777" w:rsidR="00BB2CB4" w:rsidRPr="00222C32" w:rsidRDefault="000674DA">
            <w:pPr>
              <w:pStyle w:val="MeasureTableDataRightAlignedwith2ptsspacing"/>
              <w:keepNext/>
            </w:pPr>
            <w:r w:rsidRPr="00222C32">
              <w:t>37.1</w:t>
            </w:r>
          </w:p>
        </w:tc>
      </w:tr>
      <w:tr w:rsidR="00BB2CB4" w:rsidRPr="00222C32" w14:paraId="155242C6" w14:textId="77777777" w:rsidTr="00825163">
        <w:tc>
          <w:tcPr>
            <w:tcW w:w="2501" w:type="dxa"/>
            <w:tcBorders>
              <w:top w:val="single" w:sz="4" w:space="0" w:color="293F5B"/>
              <w:bottom w:val="single" w:sz="4" w:space="0" w:color="293F5B"/>
            </w:tcBorders>
          </w:tcPr>
          <w:p w14:paraId="1CC51992" w14:textId="77777777" w:rsidR="00BB2CB4" w:rsidRPr="00222C32" w:rsidRDefault="000674DA">
            <w:pPr>
              <w:pStyle w:val="MeasureTableHeadingleftalignedwith2ptsspacing"/>
              <w:keepNext/>
            </w:pPr>
            <w:r w:rsidRPr="00222C32">
              <w:t>Australian Renewable Energy Agency</w:t>
            </w:r>
          </w:p>
        </w:tc>
        <w:tc>
          <w:tcPr>
            <w:tcW w:w="1044" w:type="dxa"/>
            <w:tcBorders>
              <w:top w:val="single" w:sz="4" w:space="0" w:color="293F5B"/>
              <w:bottom w:val="single" w:sz="4" w:space="0" w:color="293F5B"/>
            </w:tcBorders>
          </w:tcPr>
          <w:p w14:paraId="5072A91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9CCBF6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ED79E2C"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50DBC9F6" w14:textId="77777777" w:rsidR="00BB2CB4" w:rsidRPr="00222C32" w:rsidRDefault="000674DA">
            <w:pPr>
              <w:pStyle w:val="MeasureTableDataRightAlignedwith2ptsspacing"/>
              <w:keepNext/>
            </w:pPr>
            <w:r w:rsidRPr="00222C32">
              <w:t>5.3</w:t>
            </w:r>
          </w:p>
        </w:tc>
        <w:tc>
          <w:tcPr>
            <w:tcW w:w="1044" w:type="dxa"/>
            <w:tcBorders>
              <w:top w:val="single" w:sz="4" w:space="0" w:color="293F5B"/>
              <w:bottom w:val="single" w:sz="4" w:space="0" w:color="293F5B"/>
            </w:tcBorders>
          </w:tcPr>
          <w:p w14:paraId="1ADFC341" w14:textId="77777777" w:rsidR="00BB2CB4" w:rsidRPr="00222C32" w:rsidRDefault="000674DA">
            <w:pPr>
              <w:pStyle w:val="MeasureTableDataRightAlignedwith2ptsspacing"/>
              <w:keepNext/>
            </w:pPr>
            <w:r w:rsidRPr="00222C32">
              <w:t>46.6</w:t>
            </w:r>
          </w:p>
        </w:tc>
      </w:tr>
      <w:tr w:rsidR="00BB2CB4" w:rsidRPr="00222C32" w14:paraId="6A62A1F5" w14:textId="77777777" w:rsidTr="00825163">
        <w:tc>
          <w:tcPr>
            <w:tcW w:w="2501" w:type="dxa"/>
            <w:tcBorders>
              <w:top w:val="single" w:sz="4" w:space="0" w:color="293F5B"/>
              <w:bottom w:val="single" w:sz="4" w:space="0" w:color="293F5B"/>
            </w:tcBorders>
          </w:tcPr>
          <w:p w14:paraId="0FD85536" w14:textId="77777777" w:rsidR="00BB2CB4" w:rsidRPr="00222C32" w:rsidRDefault="000674DA">
            <w:pPr>
              <w:pStyle w:val="MeasureTableHeadingleftalignedwith2ptsspacing"/>
              <w:keepNext/>
            </w:pPr>
            <w:r w:rsidRPr="00222C32">
              <w:t>National Reconstruction Fund Corporation</w:t>
            </w:r>
          </w:p>
        </w:tc>
        <w:tc>
          <w:tcPr>
            <w:tcW w:w="1044" w:type="dxa"/>
            <w:tcBorders>
              <w:top w:val="single" w:sz="4" w:space="0" w:color="293F5B"/>
              <w:bottom w:val="single" w:sz="4" w:space="0" w:color="293F5B"/>
            </w:tcBorders>
          </w:tcPr>
          <w:p w14:paraId="7949C3B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DE55DA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346AF5B" w14:textId="77777777" w:rsidR="00BB2CB4" w:rsidRPr="00222C32" w:rsidRDefault="000674DA">
            <w:pPr>
              <w:pStyle w:val="MeasureTableDataRightAlignedwith2ptsspacing"/>
              <w:keepNext/>
            </w:pPr>
            <w:r w:rsidRPr="00222C32">
              <w:t>4.7</w:t>
            </w:r>
          </w:p>
        </w:tc>
        <w:tc>
          <w:tcPr>
            <w:tcW w:w="1044" w:type="dxa"/>
            <w:tcBorders>
              <w:top w:val="single" w:sz="4" w:space="0" w:color="293F5B"/>
              <w:bottom w:val="single" w:sz="4" w:space="0" w:color="293F5B"/>
            </w:tcBorders>
          </w:tcPr>
          <w:p w14:paraId="49C1E7D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EE6E16B" w14:textId="77777777" w:rsidR="00BB2CB4" w:rsidRPr="00222C32" w:rsidRDefault="000674DA">
            <w:pPr>
              <w:pStyle w:val="MeasureTableDataRightAlignedwith2ptsspacing"/>
              <w:keepNext/>
            </w:pPr>
            <w:r w:rsidRPr="00222C32">
              <w:t>-</w:t>
            </w:r>
          </w:p>
        </w:tc>
      </w:tr>
      <w:tr w:rsidR="00BB2CB4" w:rsidRPr="00222C32" w14:paraId="5026B507" w14:textId="77777777" w:rsidTr="00825163">
        <w:tc>
          <w:tcPr>
            <w:tcW w:w="2501" w:type="dxa"/>
            <w:tcBorders>
              <w:top w:val="single" w:sz="4" w:space="0" w:color="293F5B"/>
              <w:bottom w:val="single" w:sz="4" w:space="0" w:color="293F5B"/>
            </w:tcBorders>
          </w:tcPr>
          <w:p w14:paraId="64EC16E8"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037B97E"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4D3F03E" w14:textId="77777777" w:rsidR="00BB2CB4" w:rsidRPr="00222C32" w:rsidRDefault="000674DA">
            <w:pPr>
              <w:pStyle w:val="Totaldatarowrightaligned"/>
              <w:keepNext/>
            </w:pPr>
            <w:r w:rsidRPr="00222C32">
              <w:t>11.8</w:t>
            </w:r>
          </w:p>
        </w:tc>
        <w:tc>
          <w:tcPr>
            <w:tcW w:w="1044" w:type="dxa"/>
            <w:tcBorders>
              <w:top w:val="single" w:sz="4" w:space="0" w:color="293F5B"/>
              <w:bottom w:val="single" w:sz="4" w:space="0" w:color="293F5B"/>
            </w:tcBorders>
          </w:tcPr>
          <w:p w14:paraId="51B4295A" w14:textId="77777777" w:rsidR="00BB2CB4" w:rsidRPr="00222C32" w:rsidRDefault="000674DA">
            <w:pPr>
              <w:pStyle w:val="Totaldatarowrightaligned"/>
              <w:keepNext/>
            </w:pPr>
            <w:r w:rsidRPr="00222C32">
              <w:t>71.4</w:t>
            </w:r>
          </w:p>
        </w:tc>
        <w:tc>
          <w:tcPr>
            <w:tcW w:w="1044" w:type="dxa"/>
            <w:tcBorders>
              <w:top w:val="single" w:sz="4" w:space="0" w:color="293F5B"/>
              <w:bottom w:val="single" w:sz="4" w:space="0" w:color="293F5B"/>
            </w:tcBorders>
          </w:tcPr>
          <w:p w14:paraId="07A34FB2" w14:textId="77777777" w:rsidR="00BB2CB4" w:rsidRPr="00222C32" w:rsidRDefault="000674DA">
            <w:pPr>
              <w:pStyle w:val="Totaldatarowrightaligned"/>
              <w:keepNext/>
            </w:pPr>
            <w:r w:rsidRPr="00222C32">
              <w:t>69.7</w:t>
            </w:r>
          </w:p>
        </w:tc>
        <w:tc>
          <w:tcPr>
            <w:tcW w:w="1044" w:type="dxa"/>
            <w:tcBorders>
              <w:top w:val="single" w:sz="4" w:space="0" w:color="293F5B"/>
              <w:bottom w:val="single" w:sz="4" w:space="0" w:color="293F5B"/>
            </w:tcBorders>
          </w:tcPr>
          <w:p w14:paraId="1F3505A8" w14:textId="77777777" w:rsidR="00BB2CB4" w:rsidRPr="00222C32" w:rsidRDefault="000674DA">
            <w:pPr>
              <w:pStyle w:val="Totaldatarowrightaligned"/>
              <w:keepNext/>
            </w:pPr>
            <w:r w:rsidRPr="00222C32">
              <w:t>83.7</w:t>
            </w:r>
          </w:p>
        </w:tc>
      </w:tr>
      <w:tr w:rsidR="00BB2CB4" w:rsidRPr="00222C32" w14:paraId="38C77A67" w14:textId="77777777" w:rsidTr="00825163">
        <w:tc>
          <w:tcPr>
            <w:tcW w:w="2501" w:type="dxa"/>
            <w:tcBorders>
              <w:top w:val="single" w:sz="4" w:space="0" w:color="293F5B"/>
              <w:bottom w:val="nil"/>
            </w:tcBorders>
          </w:tcPr>
          <w:p w14:paraId="77FBB3D1"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0E2E56CF" w14:textId="77777777" w:rsidR="00BB2CB4" w:rsidRPr="00222C32" w:rsidRDefault="00BB2CB4">
            <w:pPr>
              <w:pStyle w:val="AgencyName"/>
              <w:keepNext/>
            </w:pPr>
          </w:p>
        </w:tc>
        <w:tc>
          <w:tcPr>
            <w:tcW w:w="1044" w:type="dxa"/>
            <w:tcBorders>
              <w:top w:val="single" w:sz="4" w:space="0" w:color="293F5B"/>
              <w:bottom w:val="nil"/>
            </w:tcBorders>
          </w:tcPr>
          <w:p w14:paraId="22C4FCAC" w14:textId="77777777" w:rsidR="00BB2CB4" w:rsidRPr="00222C32" w:rsidRDefault="00BB2CB4">
            <w:pPr>
              <w:pStyle w:val="AgencyName"/>
              <w:keepNext/>
            </w:pPr>
          </w:p>
        </w:tc>
        <w:tc>
          <w:tcPr>
            <w:tcW w:w="1044" w:type="dxa"/>
            <w:tcBorders>
              <w:top w:val="single" w:sz="4" w:space="0" w:color="293F5B"/>
              <w:bottom w:val="nil"/>
            </w:tcBorders>
          </w:tcPr>
          <w:p w14:paraId="7A1E122C" w14:textId="77777777" w:rsidR="00BB2CB4" w:rsidRPr="00222C32" w:rsidRDefault="00BB2CB4">
            <w:pPr>
              <w:pStyle w:val="AgencyName"/>
              <w:keepNext/>
            </w:pPr>
          </w:p>
        </w:tc>
        <w:tc>
          <w:tcPr>
            <w:tcW w:w="1044" w:type="dxa"/>
            <w:tcBorders>
              <w:top w:val="single" w:sz="4" w:space="0" w:color="293F5B"/>
              <w:bottom w:val="nil"/>
            </w:tcBorders>
          </w:tcPr>
          <w:p w14:paraId="6EAC0AF5" w14:textId="77777777" w:rsidR="00BB2CB4" w:rsidRPr="00222C32" w:rsidRDefault="00BB2CB4">
            <w:pPr>
              <w:pStyle w:val="AgencyName"/>
              <w:keepNext/>
            </w:pPr>
          </w:p>
        </w:tc>
        <w:tc>
          <w:tcPr>
            <w:tcW w:w="1044" w:type="dxa"/>
            <w:tcBorders>
              <w:top w:val="single" w:sz="4" w:space="0" w:color="293F5B"/>
              <w:bottom w:val="nil"/>
            </w:tcBorders>
          </w:tcPr>
          <w:p w14:paraId="592D4546" w14:textId="77777777" w:rsidR="00BB2CB4" w:rsidRPr="00222C32" w:rsidRDefault="00BB2CB4">
            <w:pPr>
              <w:pStyle w:val="AgencyName"/>
              <w:keepNext/>
            </w:pPr>
          </w:p>
        </w:tc>
      </w:tr>
      <w:tr w:rsidR="00BB2CB4" w:rsidRPr="00222C32" w14:paraId="2FCA7D75" w14:textId="77777777" w:rsidTr="00825163">
        <w:tc>
          <w:tcPr>
            <w:tcW w:w="2501" w:type="dxa"/>
            <w:tcBorders>
              <w:top w:val="nil"/>
              <w:bottom w:val="single" w:sz="4" w:space="0" w:color="293F5B"/>
            </w:tcBorders>
          </w:tcPr>
          <w:p w14:paraId="57AF9171" w14:textId="77777777" w:rsidR="00BB2CB4" w:rsidRPr="00222C32" w:rsidRDefault="000674DA">
            <w:pPr>
              <w:pStyle w:val="AgencyNamewith2ptsspacing"/>
              <w:keepNext/>
            </w:pPr>
            <w:r w:rsidRPr="00222C32">
              <w:t>Department of Climate Change, Energy, the Environment and Water</w:t>
            </w:r>
          </w:p>
        </w:tc>
        <w:tc>
          <w:tcPr>
            <w:tcW w:w="1044" w:type="dxa"/>
            <w:tcBorders>
              <w:top w:val="nil"/>
              <w:bottom w:val="single" w:sz="4" w:space="0" w:color="293F5B"/>
            </w:tcBorders>
          </w:tcPr>
          <w:p w14:paraId="056B7598"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68AFE05"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1D3FC954"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31B683E" w14:textId="77777777" w:rsidR="00BB2CB4" w:rsidRPr="00222C32" w:rsidRDefault="000674DA">
            <w:pPr>
              <w:pStyle w:val="Measuretabledatarightaligneditalics"/>
              <w:keepNext/>
            </w:pPr>
            <w:r w:rsidRPr="00222C32">
              <w:t>0.1</w:t>
            </w:r>
          </w:p>
        </w:tc>
        <w:tc>
          <w:tcPr>
            <w:tcW w:w="1044" w:type="dxa"/>
            <w:tcBorders>
              <w:top w:val="nil"/>
              <w:bottom w:val="single" w:sz="4" w:space="0" w:color="293F5B"/>
            </w:tcBorders>
          </w:tcPr>
          <w:p w14:paraId="3D7AEC5D" w14:textId="77777777" w:rsidR="00BB2CB4" w:rsidRPr="00222C32" w:rsidRDefault="000674DA">
            <w:pPr>
              <w:pStyle w:val="Measuretabledatarightaligneditalics"/>
              <w:keepNext/>
            </w:pPr>
            <w:r w:rsidRPr="00222C32">
              <w:t>0.2</w:t>
            </w:r>
          </w:p>
        </w:tc>
      </w:tr>
      <w:tr w:rsidR="00BB2CB4" w:rsidRPr="00222C32" w14:paraId="3F1CE2EA" w14:textId="77777777" w:rsidTr="00825163">
        <w:tc>
          <w:tcPr>
            <w:tcW w:w="2501" w:type="dxa"/>
            <w:tcBorders>
              <w:top w:val="single" w:sz="4" w:space="0" w:color="293F5B"/>
              <w:bottom w:val="single" w:sz="4" w:space="0" w:color="293F5B"/>
            </w:tcBorders>
          </w:tcPr>
          <w:p w14:paraId="063BCAE6" w14:textId="77777777" w:rsidR="00BB2CB4" w:rsidRPr="00222C32" w:rsidRDefault="000674DA">
            <w:pPr>
              <w:pStyle w:val="AgencyNamewith2ptsspacing"/>
              <w:keepNext/>
            </w:pPr>
            <w:r w:rsidRPr="00222C32">
              <w:t>Clean Energy Finance Corporation</w:t>
            </w:r>
          </w:p>
        </w:tc>
        <w:tc>
          <w:tcPr>
            <w:tcW w:w="1044" w:type="dxa"/>
            <w:tcBorders>
              <w:top w:val="single" w:sz="4" w:space="0" w:color="293F5B"/>
              <w:bottom w:val="single" w:sz="4" w:space="0" w:color="293F5B"/>
            </w:tcBorders>
          </w:tcPr>
          <w:p w14:paraId="3EE3816B"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8E8B1A0"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1F3131A"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7530AD5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67764408" w14:textId="77777777" w:rsidR="00BB2CB4" w:rsidRPr="00222C32" w:rsidRDefault="000674DA">
            <w:pPr>
              <w:pStyle w:val="Measuretabledatarightaligneditalics"/>
              <w:keepNext/>
            </w:pPr>
            <w:r w:rsidRPr="00222C32">
              <w:t>-</w:t>
            </w:r>
          </w:p>
        </w:tc>
      </w:tr>
      <w:tr w:rsidR="00BB2CB4" w:rsidRPr="00222C32" w14:paraId="1132F303" w14:textId="77777777" w:rsidTr="00825163">
        <w:tc>
          <w:tcPr>
            <w:tcW w:w="2501" w:type="dxa"/>
            <w:tcBorders>
              <w:top w:val="single" w:sz="4" w:space="0" w:color="293F5B"/>
              <w:bottom w:val="single" w:sz="4" w:space="0" w:color="293F5B"/>
            </w:tcBorders>
          </w:tcPr>
          <w:p w14:paraId="5239F616" w14:textId="77777777" w:rsidR="00BB2CB4" w:rsidRPr="00222C32" w:rsidRDefault="000674DA">
            <w:pPr>
              <w:pStyle w:val="AgencyNamewith2ptsspacing"/>
              <w:keepNext/>
            </w:pPr>
            <w:r w:rsidRPr="00222C32">
              <w:t>National Reconstruction Fund Corporation</w:t>
            </w:r>
          </w:p>
        </w:tc>
        <w:tc>
          <w:tcPr>
            <w:tcW w:w="1044" w:type="dxa"/>
            <w:tcBorders>
              <w:top w:val="single" w:sz="4" w:space="0" w:color="293F5B"/>
              <w:bottom w:val="single" w:sz="4" w:space="0" w:color="293F5B"/>
            </w:tcBorders>
          </w:tcPr>
          <w:p w14:paraId="14A283FC"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9AE13CB" w14:textId="77777777" w:rsidR="00BB2CB4" w:rsidRPr="00222C32" w:rsidRDefault="000674DA">
            <w:pPr>
              <w:pStyle w:val="Measuretabledatarightaligneditalics"/>
              <w:keepNext/>
            </w:pPr>
            <w:r w:rsidRPr="00222C32">
              <w:t>-2.8</w:t>
            </w:r>
          </w:p>
        </w:tc>
        <w:tc>
          <w:tcPr>
            <w:tcW w:w="1044" w:type="dxa"/>
            <w:tcBorders>
              <w:top w:val="single" w:sz="4" w:space="0" w:color="293F5B"/>
              <w:bottom w:val="single" w:sz="4" w:space="0" w:color="293F5B"/>
            </w:tcBorders>
          </w:tcPr>
          <w:p w14:paraId="663A23E4" w14:textId="77777777" w:rsidR="00BB2CB4" w:rsidRPr="00222C32" w:rsidRDefault="000674DA">
            <w:pPr>
              <w:pStyle w:val="Measuretabledatarightaligneditalics"/>
              <w:keepNext/>
            </w:pPr>
            <w:r w:rsidRPr="00222C32">
              <w:t>-14.0</w:t>
            </w:r>
          </w:p>
        </w:tc>
        <w:tc>
          <w:tcPr>
            <w:tcW w:w="1044" w:type="dxa"/>
            <w:tcBorders>
              <w:top w:val="single" w:sz="4" w:space="0" w:color="293F5B"/>
              <w:bottom w:val="single" w:sz="4" w:space="0" w:color="293F5B"/>
            </w:tcBorders>
          </w:tcPr>
          <w:p w14:paraId="5F7FD72A" w14:textId="77777777" w:rsidR="00BB2CB4" w:rsidRPr="00222C32" w:rsidRDefault="000674DA">
            <w:pPr>
              <w:pStyle w:val="Measuretabledatarightaligneditalics"/>
              <w:keepNext/>
            </w:pPr>
            <w:r w:rsidRPr="00222C32">
              <w:t>-22.8</w:t>
            </w:r>
          </w:p>
        </w:tc>
        <w:tc>
          <w:tcPr>
            <w:tcW w:w="1044" w:type="dxa"/>
            <w:tcBorders>
              <w:top w:val="single" w:sz="4" w:space="0" w:color="293F5B"/>
              <w:bottom w:val="single" w:sz="4" w:space="0" w:color="293F5B"/>
            </w:tcBorders>
          </w:tcPr>
          <w:p w14:paraId="466E5155" w14:textId="77777777" w:rsidR="00BB2CB4" w:rsidRPr="00222C32" w:rsidRDefault="000674DA">
            <w:pPr>
              <w:pStyle w:val="Measuretabledatarightaligneditalics"/>
              <w:keepNext/>
            </w:pPr>
            <w:r w:rsidRPr="00222C32">
              <w:t>-33.1</w:t>
            </w:r>
          </w:p>
        </w:tc>
      </w:tr>
      <w:tr w:rsidR="00BB2CB4" w:rsidRPr="00222C32" w14:paraId="72A08197" w14:textId="77777777" w:rsidTr="00825163">
        <w:tc>
          <w:tcPr>
            <w:tcW w:w="2501" w:type="dxa"/>
            <w:tcBorders>
              <w:top w:val="single" w:sz="4" w:space="0" w:color="293F5B"/>
              <w:bottom w:val="single" w:sz="4" w:space="0" w:color="293F5B"/>
            </w:tcBorders>
          </w:tcPr>
          <w:p w14:paraId="6AA1785A" w14:textId="77777777" w:rsidR="00BB2CB4" w:rsidRPr="00222C32" w:rsidRDefault="000674DA">
            <w:pPr>
              <w:pStyle w:val="Totalrowitalicsleftaligned"/>
              <w:keepNext/>
            </w:pPr>
            <w:r w:rsidRPr="00222C32">
              <w:t>Total – Receipts</w:t>
            </w:r>
          </w:p>
        </w:tc>
        <w:tc>
          <w:tcPr>
            <w:tcW w:w="1044" w:type="dxa"/>
            <w:tcBorders>
              <w:top w:val="single" w:sz="4" w:space="0" w:color="293F5B"/>
              <w:bottom w:val="single" w:sz="4" w:space="0" w:color="293F5B"/>
            </w:tcBorders>
          </w:tcPr>
          <w:p w14:paraId="4F9312B9"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84230FA" w14:textId="77777777" w:rsidR="00BB2CB4" w:rsidRPr="00222C32" w:rsidRDefault="000674DA">
            <w:pPr>
              <w:pStyle w:val="Measuretabledatarightaligneditalics"/>
              <w:keepNext/>
            </w:pPr>
            <w:r w:rsidRPr="00222C32">
              <w:t>-2.8</w:t>
            </w:r>
          </w:p>
        </w:tc>
        <w:tc>
          <w:tcPr>
            <w:tcW w:w="1044" w:type="dxa"/>
            <w:tcBorders>
              <w:top w:val="single" w:sz="4" w:space="0" w:color="293F5B"/>
              <w:bottom w:val="single" w:sz="4" w:space="0" w:color="293F5B"/>
            </w:tcBorders>
          </w:tcPr>
          <w:p w14:paraId="7E5DC4A1" w14:textId="77777777" w:rsidR="00BB2CB4" w:rsidRPr="00222C32" w:rsidRDefault="000674DA">
            <w:pPr>
              <w:pStyle w:val="Measuretabledatarightaligneditalics"/>
              <w:keepNext/>
            </w:pPr>
            <w:r w:rsidRPr="00222C32">
              <w:t>-14.0</w:t>
            </w:r>
          </w:p>
        </w:tc>
        <w:tc>
          <w:tcPr>
            <w:tcW w:w="1044" w:type="dxa"/>
            <w:tcBorders>
              <w:top w:val="single" w:sz="4" w:space="0" w:color="293F5B"/>
              <w:bottom w:val="single" w:sz="4" w:space="0" w:color="293F5B"/>
            </w:tcBorders>
          </w:tcPr>
          <w:p w14:paraId="6E4D3E36" w14:textId="77777777" w:rsidR="00BB2CB4" w:rsidRPr="00222C32" w:rsidRDefault="000674DA">
            <w:pPr>
              <w:pStyle w:val="Measuretabledatarightaligneditalics"/>
              <w:keepNext/>
            </w:pPr>
            <w:r w:rsidRPr="00222C32">
              <w:t>-22.7</w:t>
            </w:r>
          </w:p>
        </w:tc>
        <w:tc>
          <w:tcPr>
            <w:tcW w:w="1044" w:type="dxa"/>
            <w:tcBorders>
              <w:top w:val="single" w:sz="4" w:space="0" w:color="293F5B"/>
              <w:bottom w:val="single" w:sz="4" w:space="0" w:color="293F5B"/>
            </w:tcBorders>
          </w:tcPr>
          <w:p w14:paraId="245882D9" w14:textId="77777777" w:rsidR="00BB2CB4" w:rsidRPr="00222C32" w:rsidRDefault="000674DA">
            <w:pPr>
              <w:pStyle w:val="Measuretabledatarightaligneditalics"/>
              <w:keepNext/>
            </w:pPr>
            <w:r w:rsidRPr="00222C32">
              <w:t>-32.9</w:t>
            </w:r>
          </w:p>
        </w:tc>
      </w:tr>
    </w:tbl>
    <w:p w14:paraId="36A174E7" w14:textId="77777777" w:rsidR="004F7838" w:rsidRDefault="004F7838" w:rsidP="004F7838">
      <w:pPr>
        <w:pStyle w:val="SingleParagraph"/>
      </w:pPr>
    </w:p>
    <w:p w14:paraId="7E4001BE" w14:textId="5B513101" w:rsidR="00BB2CB4" w:rsidRDefault="000674DA">
      <w:pPr>
        <w:pStyle w:val="Normal2"/>
      </w:pPr>
      <w:r w:rsidRPr="42F5CE43">
        <w:rPr>
          <w:lang w:val="en-US"/>
        </w:rPr>
        <w:t>The Government will provide $8.3 billion over 15 years from 2025–‍26 to support the Net Zero Plan and help meet Australia</w:t>
      </w:r>
      <w:r w:rsidR="00222C32">
        <w:rPr>
          <w:lang w:val="en-US"/>
        </w:rPr>
        <w:t>’</w:t>
      </w:r>
      <w:r w:rsidRPr="42F5CE43">
        <w:rPr>
          <w:lang w:val="en-US"/>
        </w:rPr>
        <w:t>s 2035 emissions reduction target by investing in emissions reductions, the clean energy transition and energy efficiency, and supporting communities to share in these benefits. Funding includes:</w:t>
      </w:r>
    </w:p>
    <w:p w14:paraId="788FD83F" w14:textId="14857E58" w:rsidR="00BB2CB4" w:rsidRDefault="000674DA">
      <w:pPr>
        <w:pStyle w:val="Bullet"/>
      </w:pPr>
      <w:r>
        <w:t>$5.0 billion to establish the Net Zero Fund within the National Reconstruction Fund utilising the National Reconstruction Fund Corporation</w:t>
      </w:r>
      <w:r w:rsidR="00222C32">
        <w:t>’</w:t>
      </w:r>
      <w:r>
        <w:t>s existing capital, to help large industrial facilities to decarbonise and improve energy efficiency, and for the scaling up of domestic manufacturing of renewables and low emissions technologies</w:t>
      </w:r>
    </w:p>
    <w:p w14:paraId="4167DD67" w14:textId="77777777" w:rsidR="00BB2CB4" w:rsidRDefault="000674DA">
      <w:pPr>
        <w:pStyle w:val="Bullet"/>
      </w:pPr>
      <w:r>
        <w:t>$2.0 billion for the Clean Energy Finance Corporation to continue to invest in projects that will drive downwards pressure on electricity prices</w:t>
      </w:r>
    </w:p>
    <w:p w14:paraId="48A57D47" w14:textId="77777777" w:rsidR="00BB2CB4" w:rsidRDefault="000674DA">
      <w:pPr>
        <w:pStyle w:val="Bullet"/>
      </w:pPr>
      <w:r>
        <w:t>$1.1 billion over 14 years from 2026–‍27 for the Cleaner Fuels program to support investment in onshore production of low carbon liquid fuels</w:t>
      </w:r>
    </w:p>
    <w:p w14:paraId="0FC3E3DD" w14:textId="77777777" w:rsidR="00BB2CB4" w:rsidRDefault="000674DA">
      <w:pPr>
        <w:pStyle w:val="Bullet"/>
      </w:pPr>
      <w:r>
        <w:t>$51.8 million over four years from 2025–‍26 for an energy performance package to drive cost savings for households and businesses through increased energy efficiency and electrification</w:t>
      </w:r>
    </w:p>
    <w:p w14:paraId="69094B4E" w14:textId="77777777" w:rsidR="00BB2CB4" w:rsidRDefault="000674DA">
      <w:pPr>
        <w:pStyle w:val="Bullet"/>
      </w:pPr>
      <w:r>
        <w:t>$50.0 million over five years from 2025–‍26 to support up to 500 sports clubs to make renewable energy, energy efficiency and climate resilient upgrades to their facilities</w:t>
      </w:r>
    </w:p>
    <w:p w14:paraId="249AEE1E" w14:textId="77777777" w:rsidR="00BB2CB4" w:rsidRDefault="000674DA">
      <w:pPr>
        <w:pStyle w:val="Bullet"/>
      </w:pPr>
      <w:r>
        <w:t>$40.0 million over four years from 2025–‍26 to accelerate the roll out of kerbside and fast electric vehicle charging across Australia</w:t>
      </w:r>
    </w:p>
    <w:p w14:paraId="66ADB543" w14:textId="77777777" w:rsidR="00BB2CB4" w:rsidRDefault="000674DA">
      <w:pPr>
        <w:pStyle w:val="Bullet"/>
      </w:pPr>
      <w:r>
        <w:t>$32.7 million over four years from 2025–‍26 to expand the Nationwide House Energy Rating Scheme to cover existing homes.</w:t>
      </w:r>
    </w:p>
    <w:p w14:paraId="310FA64E" w14:textId="77777777" w:rsidR="00BB2CB4" w:rsidRDefault="000674DA">
      <w:pPr>
        <w:pStyle w:val="Normal2"/>
      </w:pPr>
      <w:r>
        <w:t>Partial funding for this measure will be held in the Contingency Reserve until final details for the programs are settled.</w:t>
      </w:r>
    </w:p>
    <w:p w14:paraId="64C3D116" w14:textId="66A3BCAD" w:rsidR="00C8054E" w:rsidRDefault="000674DA" w:rsidP="008D019F">
      <w:pPr>
        <w:pStyle w:val="Normal2"/>
      </w:pPr>
      <w:r w:rsidRPr="42F5CE43">
        <w:rPr>
          <w:lang w:val="en-US"/>
        </w:rPr>
        <w:lastRenderedPageBreak/>
        <w:t>The cost of this measure will be partially met from savings identified in the 2025–</w:t>
      </w:r>
      <w:r w:rsidRPr="42F5CE43">
        <w:rPr>
          <w:rFonts w:ascii="Times New Roman" w:hAnsi="Times New Roman"/>
          <w:lang w:val="en-US"/>
        </w:rPr>
        <w:t>‍</w:t>
      </w:r>
      <w:r w:rsidRPr="42F5CE43">
        <w:rPr>
          <w:lang w:val="en-US"/>
        </w:rPr>
        <w:t xml:space="preserve">26 MYEFO measure titled </w:t>
      </w:r>
      <w:r w:rsidRPr="42F5CE43">
        <w:rPr>
          <w:i/>
          <w:lang w:val="en-US"/>
        </w:rPr>
        <w:t>Climate Change, Energy, the Environment and Water – reprioritisation</w:t>
      </w:r>
      <w:r w:rsidRPr="42F5CE43">
        <w:rPr>
          <w:lang w:val="en-US"/>
        </w:rPr>
        <w:t>.</w:t>
      </w:r>
    </w:p>
    <w:p w14:paraId="0182685B" w14:textId="7B2F685E" w:rsidR="00BB2CB4" w:rsidRDefault="000674DA">
      <w:pPr>
        <w:pStyle w:val="MeasureTitle"/>
      </w:pPr>
      <w:r>
        <w:t>Sustaining the Cheaper Home Batteries Program</w:t>
      </w:r>
    </w:p>
    <w:p w14:paraId="02EA188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14367F8B" w14:textId="77777777" w:rsidTr="00825163">
        <w:trPr>
          <w:cantSplit/>
        </w:trPr>
        <w:tc>
          <w:tcPr>
            <w:tcW w:w="2500" w:type="dxa"/>
            <w:tcBorders>
              <w:top w:val="single" w:sz="4" w:space="0" w:color="293F5B"/>
              <w:bottom w:val="single" w:sz="4" w:space="0" w:color="293F5B"/>
            </w:tcBorders>
          </w:tcPr>
          <w:p w14:paraId="69BC49C9" w14:textId="77777777" w:rsidR="00BB2CB4" w:rsidRPr="00222C32" w:rsidRDefault="00BB2CB4">
            <w:pPr>
              <w:pStyle w:val="MeasureTableYearHeadings"/>
              <w:keepNext/>
            </w:pPr>
          </w:p>
        </w:tc>
        <w:tc>
          <w:tcPr>
            <w:tcW w:w="1043" w:type="dxa"/>
            <w:tcBorders>
              <w:top w:val="single" w:sz="4" w:space="0" w:color="293F5B"/>
              <w:bottom w:val="single" w:sz="4" w:space="0" w:color="293F5B"/>
            </w:tcBorders>
          </w:tcPr>
          <w:p w14:paraId="77679FAF" w14:textId="77777777" w:rsidR="00BB2CB4" w:rsidRPr="00222C32" w:rsidRDefault="000674DA">
            <w:pPr>
              <w:pStyle w:val="MeasureTableYearHeadings"/>
              <w:keepNext/>
            </w:pPr>
            <w:r w:rsidRPr="00222C32">
              <w:t>2024-25</w:t>
            </w:r>
          </w:p>
        </w:tc>
        <w:tc>
          <w:tcPr>
            <w:tcW w:w="1043" w:type="dxa"/>
            <w:tcBorders>
              <w:top w:val="single" w:sz="4" w:space="0" w:color="293F5B"/>
              <w:bottom w:val="single" w:sz="4" w:space="0" w:color="293F5B"/>
            </w:tcBorders>
          </w:tcPr>
          <w:p w14:paraId="5D65F13C" w14:textId="77777777" w:rsidR="00BB2CB4" w:rsidRPr="00222C32" w:rsidRDefault="000674DA">
            <w:pPr>
              <w:pStyle w:val="MeasureTableYearHeadings"/>
              <w:keepNext/>
            </w:pPr>
            <w:r w:rsidRPr="00222C32">
              <w:t>2025-26</w:t>
            </w:r>
          </w:p>
        </w:tc>
        <w:tc>
          <w:tcPr>
            <w:tcW w:w="1043" w:type="dxa"/>
            <w:tcBorders>
              <w:top w:val="single" w:sz="4" w:space="0" w:color="293F5B"/>
              <w:bottom w:val="single" w:sz="4" w:space="0" w:color="293F5B"/>
            </w:tcBorders>
          </w:tcPr>
          <w:p w14:paraId="2AE483F5" w14:textId="77777777" w:rsidR="00BB2CB4" w:rsidRPr="00222C32" w:rsidRDefault="000674DA">
            <w:pPr>
              <w:pStyle w:val="MeasureTableYearHeadings"/>
              <w:keepNext/>
            </w:pPr>
            <w:r w:rsidRPr="00222C32">
              <w:t>2026-27</w:t>
            </w:r>
          </w:p>
        </w:tc>
        <w:tc>
          <w:tcPr>
            <w:tcW w:w="1043" w:type="dxa"/>
            <w:tcBorders>
              <w:top w:val="single" w:sz="4" w:space="0" w:color="293F5B"/>
              <w:bottom w:val="single" w:sz="4" w:space="0" w:color="293F5B"/>
            </w:tcBorders>
          </w:tcPr>
          <w:p w14:paraId="1BA71CD5" w14:textId="77777777" w:rsidR="00BB2CB4" w:rsidRPr="00222C32" w:rsidRDefault="000674DA">
            <w:pPr>
              <w:pStyle w:val="MeasureTableYearHeadings"/>
              <w:keepNext/>
            </w:pPr>
            <w:r w:rsidRPr="00222C32">
              <w:t>2027-28</w:t>
            </w:r>
          </w:p>
        </w:tc>
        <w:tc>
          <w:tcPr>
            <w:tcW w:w="1043" w:type="dxa"/>
            <w:tcBorders>
              <w:top w:val="single" w:sz="4" w:space="0" w:color="293F5B"/>
              <w:bottom w:val="single" w:sz="4" w:space="0" w:color="293F5B"/>
            </w:tcBorders>
          </w:tcPr>
          <w:p w14:paraId="7509CE26" w14:textId="77777777" w:rsidR="00BB2CB4" w:rsidRPr="00222C32" w:rsidRDefault="000674DA">
            <w:pPr>
              <w:pStyle w:val="MeasureTableYearHeadings"/>
              <w:keepNext/>
            </w:pPr>
            <w:r w:rsidRPr="00222C32">
              <w:t>2028-29</w:t>
            </w:r>
          </w:p>
        </w:tc>
      </w:tr>
      <w:tr w:rsidR="00BB2CB4" w:rsidRPr="00222C32" w14:paraId="7DA01F91" w14:textId="77777777" w:rsidTr="00825163">
        <w:trPr>
          <w:cantSplit/>
        </w:trPr>
        <w:tc>
          <w:tcPr>
            <w:tcW w:w="2500" w:type="dxa"/>
            <w:tcBorders>
              <w:top w:val="single" w:sz="4" w:space="0" w:color="293F5B"/>
              <w:bottom w:val="single" w:sz="4" w:space="0" w:color="293F5B"/>
            </w:tcBorders>
          </w:tcPr>
          <w:p w14:paraId="09C7B52A" w14:textId="77777777" w:rsidR="00BB2CB4" w:rsidRPr="00222C32" w:rsidRDefault="000674DA">
            <w:pPr>
              <w:pStyle w:val="MeasureTableHeadingleftalignedwith2ptsspacing"/>
              <w:keepNext/>
            </w:pPr>
            <w:r w:rsidRPr="00222C32">
              <w:t>Department of Climate Change, Energy, the Environment and Water</w:t>
            </w:r>
          </w:p>
        </w:tc>
        <w:tc>
          <w:tcPr>
            <w:tcW w:w="1043" w:type="dxa"/>
            <w:tcBorders>
              <w:top w:val="single" w:sz="4" w:space="0" w:color="293F5B"/>
              <w:bottom w:val="single" w:sz="4" w:space="0" w:color="293F5B"/>
            </w:tcBorders>
          </w:tcPr>
          <w:p w14:paraId="4D7DD28A"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6F02E081" w14:textId="77777777" w:rsidR="00BB2CB4" w:rsidRPr="00222C32" w:rsidRDefault="000674DA">
            <w:pPr>
              <w:pStyle w:val="MeasureTableDataRightAlignedwith2ptsspacing"/>
              <w:keepNext/>
            </w:pPr>
            <w:r w:rsidRPr="00222C32">
              <w:t>-357.2</w:t>
            </w:r>
          </w:p>
        </w:tc>
        <w:tc>
          <w:tcPr>
            <w:tcW w:w="1043" w:type="dxa"/>
            <w:tcBorders>
              <w:top w:val="single" w:sz="4" w:space="0" w:color="293F5B"/>
              <w:bottom w:val="single" w:sz="4" w:space="0" w:color="293F5B"/>
            </w:tcBorders>
          </w:tcPr>
          <w:p w14:paraId="5C6BB60A" w14:textId="77777777" w:rsidR="00BB2CB4" w:rsidRPr="00222C32" w:rsidRDefault="000674DA">
            <w:pPr>
              <w:pStyle w:val="MeasureTableDataRightAlignedwith2ptsspacing"/>
              <w:keepNext/>
            </w:pPr>
            <w:r w:rsidRPr="00222C32">
              <w:t>-2,035.0</w:t>
            </w:r>
          </w:p>
        </w:tc>
        <w:tc>
          <w:tcPr>
            <w:tcW w:w="1043" w:type="dxa"/>
            <w:tcBorders>
              <w:top w:val="single" w:sz="4" w:space="0" w:color="293F5B"/>
              <w:bottom w:val="single" w:sz="4" w:space="0" w:color="293F5B"/>
            </w:tcBorders>
          </w:tcPr>
          <w:p w14:paraId="2B337D2B" w14:textId="77777777" w:rsidR="00BB2CB4" w:rsidRPr="00222C32" w:rsidRDefault="000674DA">
            <w:pPr>
              <w:pStyle w:val="MeasureTableDataRightAlignedwith2ptsspacing"/>
              <w:keepNext/>
            </w:pPr>
            <w:r w:rsidRPr="00222C32">
              <w:t>-2,114.9</w:t>
            </w:r>
          </w:p>
        </w:tc>
        <w:tc>
          <w:tcPr>
            <w:tcW w:w="1043" w:type="dxa"/>
            <w:tcBorders>
              <w:top w:val="single" w:sz="4" w:space="0" w:color="293F5B"/>
              <w:bottom w:val="single" w:sz="4" w:space="0" w:color="293F5B"/>
            </w:tcBorders>
          </w:tcPr>
          <w:p w14:paraId="7155A4CC" w14:textId="77777777" w:rsidR="00BB2CB4" w:rsidRPr="00222C32" w:rsidRDefault="000674DA">
            <w:pPr>
              <w:pStyle w:val="MeasureTableDataRightAlignedwith2ptsspacing"/>
              <w:keepNext/>
            </w:pPr>
            <w:r w:rsidRPr="00222C32">
              <w:t>-2,162.8</w:t>
            </w:r>
          </w:p>
        </w:tc>
      </w:tr>
    </w:tbl>
    <w:p w14:paraId="02E7E874" w14:textId="77777777" w:rsidR="00BB2CB4" w:rsidRDefault="00BB2CB4" w:rsidP="000551D2">
      <w:pPr>
        <w:pStyle w:val="SingleParagraph"/>
      </w:pP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800789" w:rsidRPr="00222C32" w14:paraId="101A395C" w14:textId="77777777" w:rsidTr="00825163">
        <w:trPr>
          <w:cantSplit/>
        </w:trPr>
        <w:tc>
          <w:tcPr>
            <w:tcW w:w="2501" w:type="dxa"/>
            <w:tcBorders>
              <w:top w:val="single" w:sz="4" w:space="0" w:color="293F5B"/>
              <w:bottom w:val="single" w:sz="4" w:space="0" w:color="293F5B"/>
            </w:tcBorders>
          </w:tcPr>
          <w:p w14:paraId="448F7933" w14:textId="77777777" w:rsidR="00800789" w:rsidRPr="00222C32" w:rsidRDefault="00800789">
            <w:pPr>
              <w:pStyle w:val="MeasureTableYearHeadings"/>
              <w:keepNext/>
              <w:jc w:val="left"/>
              <w:rPr>
                <w:i/>
                <w:iCs/>
              </w:rPr>
            </w:pPr>
            <w:bookmarkStart w:id="1" w:name="_Hlk216277636"/>
            <w:r w:rsidRPr="00222C32">
              <w:rPr>
                <w:i/>
                <w:iCs/>
              </w:rPr>
              <w:t>Related payments variations ($m)</w:t>
            </w:r>
          </w:p>
        </w:tc>
        <w:tc>
          <w:tcPr>
            <w:tcW w:w="1044" w:type="dxa"/>
            <w:tcBorders>
              <w:top w:val="single" w:sz="4" w:space="0" w:color="293F5B"/>
              <w:bottom w:val="single" w:sz="4" w:space="0" w:color="293F5B"/>
            </w:tcBorders>
          </w:tcPr>
          <w:p w14:paraId="4F297983" w14:textId="77777777" w:rsidR="00800789" w:rsidRPr="00222C32" w:rsidRDefault="00800789">
            <w:pPr>
              <w:pStyle w:val="MeasureTableYearHeadings"/>
              <w:keepNext/>
            </w:pPr>
          </w:p>
        </w:tc>
        <w:tc>
          <w:tcPr>
            <w:tcW w:w="1044" w:type="dxa"/>
            <w:tcBorders>
              <w:top w:val="single" w:sz="4" w:space="0" w:color="293F5B"/>
              <w:bottom w:val="single" w:sz="4" w:space="0" w:color="293F5B"/>
            </w:tcBorders>
          </w:tcPr>
          <w:p w14:paraId="05276438" w14:textId="77777777" w:rsidR="00800789" w:rsidRPr="00222C32" w:rsidRDefault="00800789">
            <w:pPr>
              <w:pStyle w:val="MeasureTableYearHeadings"/>
              <w:keepNext/>
            </w:pPr>
          </w:p>
        </w:tc>
        <w:tc>
          <w:tcPr>
            <w:tcW w:w="1044" w:type="dxa"/>
            <w:tcBorders>
              <w:top w:val="single" w:sz="4" w:space="0" w:color="293F5B"/>
              <w:bottom w:val="single" w:sz="4" w:space="0" w:color="293F5B"/>
            </w:tcBorders>
          </w:tcPr>
          <w:p w14:paraId="533C72B6" w14:textId="77777777" w:rsidR="00800789" w:rsidRPr="00222C32" w:rsidRDefault="00800789">
            <w:pPr>
              <w:pStyle w:val="MeasureTableYearHeadings"/>
              <w:keepNext/>
            </w:pPr>
          </w:p>
        </w:tc>
        <w:tc>
          <w:tcPr>
            <w:tcW w:w="1044" w:type="dxa"/>
            <w:tcBorders>
              <w:top w:val="single" w:sz="4" w:space="0" w:color="293F5B"/>
              <w:bottom w:val="single" w:sz="4" w:space="0" w:color="293F5B"/>
            </w:tcBorders>
          </w:tcPr>
          <w:p w14:paraId="51099D10" w14:textId="77777777" w:rsidR="00800789" w:rsidRPr="00222C32" w:rsidRDefault="00800789">
            <w:pPr>
              <w:pStyle w:val="MeasureTableYearHeadings"/>
              <w:keepNext/>
            </w:pPr>
          </w:p>
        </w:tc>
        <w:tc>
          <w:tcPr>
            <w:tcW w:w="1044" w:type="dxa"/>
            <w:tcBorders>
              <w:top w:val="single" w:sz="4" w:space="0" w:color="293F5B"/>
              <w:bottom w:val="single" w:sz="4" w:space="0" w:color="293F5B"/>
            </w:tcBorders>
          </w:tcPr>
          <w:p w14:paraId="78DB4CB2" w14:textId="77777777" w:rsidR="00800789" w:rsidRPr="00222C32" w:rsidRDefault="00800789">
            <w:pPr>
              <w:pStyle w:val="MeasureTableYearHeadings"/>
              <w:keepNext/>
            </w:pPr>
          </w:p>
        </w:tc>
      </w:tr>
      <w:tr w:rsidR="00800789" w:rsidRPr="00222C32" w14:paraId="057A90A2" w14:textId="77777777" w:rsidTr="00825163">
        <w:trPr>
          <w:cantSplit/>
        </w:trPr>
        <w:tc>
          <w:tcPr>
            <w:tcW w:w="2501" w:type="dxa"/>
            <w:tcBorders>
              <w:top w:val="single" w:sz="4" w:space="0" w:color="293F5B"/>
              <w:bottom w:val="single" w:sz="4" w:space="0" w:color="293F5B"/>
            </w:tcBorders>
          </w:tcPr>
          <w:p w14:paraId="59173917" w14:textId="77777777" w:rsidR="00800789" w:rsidRPr="00222C32" w:rsidRDefault="00800789">
            <w:pPr>
              <w:pStyle w:val="MeasureTableYearHeadings"/>
              <w:keepNext/>
              <w:jc w:val="left"/>
              <w:rPr>
                <w:i/>
                <w:iCs/>
              </w:rPr>
            </w:pPr>
            <w:r w:rsidRPr="00222C32">
              <w:rPr>
                <w:i/>
                <w:iCs/>
              </w:rPr>
              <w:t>Department of Climate Change, Energy, the Environment and Water</w:t>
            </w:r>
          </w:p>
        </w:tc>
        <w:tc>
          <w:tcPr>
            <w:tcW w:w="1044" w:type="dxa"/>
            <w:tcBorders>
              <w:top w:val="single" w:sz="4" w:space="0" w:color="293F5B"/>
              <w:bottom w:val="single" w:sz="4" w:space="0" w:color="293F5B"/>
            </w:tcBorders>
          </w:tcPr>
          <w:p w14:paraId="6AF609CF" w14:textId="77777777" w:rsidR="00800789" w:rsidRPr="00222C32" w:rsidRDefault="00800789">
            <w:pPr>
              <w:pStyle w:val="MeasureTableYearHeadings"/>
              <w:keepNext/>
            </w:pPr>
            <w:r w:rsidRPr="00222C32">
              <w:t>-</w:t>
            </w:r>
          </w:p>
        </w:tc>
        <w:tc>
          <w:tcPr>
            <w:tcW w:w="1044" w:type="dxa"/>
            <w:tcBorders>
              <w:top w:val="single" w:sz="4" w:space="0" w:color="293F5B"/>
              <w:bottom w:val="single" w:sz="4" w:space="0" w:color="293F5B"/>
            </w:tcBorders>
          </w:tcPr>
          <w:p w14:paraId="7BE33DF6" w14:textId="77777777" w:rsidR="00800789" w:rsidRPr="00222C32" w:rsidRDefault="00800789">
            <w:pPr>
              <w:pStyle w:val="MeasureTableYearHeadings"/>
              <w:keepNext/>
              <w:rPr>
                <w:i/>
                <w:iCs/>
              </w:rPr>
            </w:pPr>
            <w:r w:rsidRPr="00222C32">
              <w:rPr>
                <w:i/>
                <w:iCs/>
              </w:rPr>
              <w:t>3,369.9</w:t>
            </w:r>
          </w:p>
        </w:tc>
        <w:tc>
          <w:tcPr>
            <w:tcW w:w="1044" w:type="dxa"/>
            <w:tcBorders>
              <w:top w:val="single" w:sz="4" w:space="0" w:color="293F5B"/>
              <w:bottom w:val="single" w:sz="4" w:space="0" w:color="293F5B"/>
            </w:tcBorders>
          </w:tcPr>
          <w:p w14:paraId="57CCF8A2" w14:textId="77777777" w:rsidR="00800789" w:rsidRPr="00222C32" w:rsidRDefault="00800789">
            <w:pPr>
              <w:pStyle w:val="MeasureTableYearHeadings"/>
              <w:keepNext/>
              <w:rPr>
                <w:i/>
                <w:iCs/>
              </w:rPr>
            </w:pPr>
            <w:r w:rsidRPr="00222C32">
              <w:rPr>
                <w:i/>
                <w:iCs/>
              </w:rPr>
              <w:t>2,800.6</w:t>
            </w:r>
          </w:p>
        </w:tc>
        <w:tc>
          <w:tcPr>
            <w:tcW w:w="1044" w:type="dxa"/>
            <w:tcBorders>
              <w:top w:val="single" w:sz="4" w:space="0" w:color="293F5B"/>
              <w:bottom w:val="single" w:sz="4" w:space="0" w:color="293F5B"/>
            </w:tcBorders>
          </w:tcPr>
          <w:p w14:paraId="6D6B38D7" w14:textId="77777777" w:rsidR="00800789" w:rsidRPr="00222C32" w:rsidRDefault="00800789">
            <w:pPr>
              <w:pStyle w:val="MeasureTableYearHeadings"/>
              <w:keepNext/>
              <w:rPr>
                <w:i/>
                <w:iCs/>
              </w:rPr>
            </w:pPr>
            <w:r w:rsidRPr="00222C32">
              <w:rPr>
                <w:i/>
                <w:iCs/>
              </w:rPr>
              <w:t>2,770.6</w:t>
            </w:r>
          </w:p>
        </w:tc>
        <w:tc>
          <w:tcPr>
            <w:tcW w:w="1044" w:type="dxa"/>
            <w:tcBorders>
              <w:top w:val="single" w:sz="4" w:space="0" w:color="293F5B"/>
              <w:bottom w:val="single" w:sz="4" w:space="0" w:color="293F5B"/>
            </w:tcBorders>
          </w:tcPr>
          <w:p w14:paraId="45706FB7" w14:textId="77777777" w:rsidR="00800789" w:rsidRPr="00222C32" w:rsidRDefault="00800789">
            <w:pPr>
              <w:pStyle w:val="MeasureTableYearHeadings"/>
              <w:keepNext/>
              <w:rPr>
                <w:i/>
                <w:iCs/>
              </w:rPr>
            </w:pPr>
            <w:r w:rsidRPr="00222C32">
              <w:rPr>
                <w:i/>
                <w:iCs/>
              </w:rPr>
              <w:t>2,677.8</w:t>
            </w:r>
          </w:p>
        </w:tc>
      </w:tr>
      <w:tr w:rsidR="00800789" w:rsidRPr="00222C32" w14:paraId="587DFDD0" w14:textId="77777777" w:rsidTr="00825163">
        <w:trPr>
          <w:cantSplit/>
        </w:trPr>
        <w:tc>
          <w:tcPr>
            <w:tcW w:w="2501" w:type="dxa"/>
            <w:tcBorders>
              <w:top w:val="single" w:sz="4" w:space="0" w:color="293F5B"/>
              <w:bottom w:val="single" w:sz="4" w:space="0" w:color="293F5B"/>
            </w:tcBorders>
          </w:tcPr>
          <w:p w14:paraId="4A0B3F76" w14:textId="77777777" w:rsidR="00800789" w:rsidRPr="00222C32" w:rsidRDefault="00800789">
            <w:pPr>
              <w:pStyle w:val="MeasureTableHeadingleftalignedwith2ptsspacing"/>
              <w:keepNext/>
              <w:rPr>
                <w:i/>
                <w:iCs/>
              </w:rPr>
            </w:pPr>
            <w:r w:rsidRPr="00222C32">
              <w:rPr>
                <w:i/>
                <w:iCs/>
              </w:rPr>
              <w:t>Net impact – payments</w:t>
            </w:r>
          </w:p>
        </w:tc>
        <w:tc>
          <w:tcPr>
            <w:tcW w:w="1044" w:type="dxa"/>
            <w:tcBorders>
              <w:top w:val="single" w:sz="4" w:space="0" w:color="293F5B"/>
              <w:bottom w:val="single" w:sz="4" w:space="0" w:color="293F5B"/>
            </w:tcBorders>
          </w:tcPr>
          <w:p w14:paraId="2C8E7CF1" w14:textId="77777777" w:rsidR="00800789" w:rsidRPr="00222C32" w:rsidRDefault="00800789">
            <w:pPr>
              <w:pStyle w:val="MeasureTableDataRightAlignedwith2ptsspacing"/>
              <w:keepNext/>
            </w:pPr>
            <w:r w:rsidRPr="00222C32">
              <w:t>-</w:t>
            </w:r>
          </w:p>
        </w:tc>
        <w:tc>
          <w:tcPr>
            <w:tcW w:w="1044" w:type="dxa"/>
            <w:tcBorders>
              <w:top w:val="single" w:sz="4" w:space="0" w:color="293F5B"/>
              <w:bottom w:val="single" w:sz="4" w:space="0" w:color="293F5B"/>
            </w:tcBorders>
          </w:tcPr>
          <w:p w14:paraId="715BF2AE" w14:textId="77777777" w:rsidR="00800789" w:rsidRPr="00222C32" w:rsidRDefault="00800789">
            <w:pPr>
              <w:pStyle w:val="MeasureTableDataRightAlignedwith2ptsspacing"/>
              <w:keepNext/>
              <w:rPr>
                <w:i/>
                <w:iCs/>
              </w:rPr>
            </w:pPr>
            <w:r w:rsidRPr="00222C32">
              <w:rPr>
                <w:i/>
                <w:iCs/>
              </w:rPr>
              <w:t>3,012.7</w:t>
            </w:r>
          </w:p>
        </w:tc>
        <w:tc>
          <w:tcPr>
            <w:tcW w:w="1044" w:type="dxa"/>
            <w:tcBorders>
              <w:top w:val="single" w:sz="4" w:space="0" w:color="293F5B"/>
              <w:bottom w:val="single" w:sz="4" w:space="0" w:color="293F5B"/>
            </w:tcBorders>
          </w:tcPr>
          <w:p w14:paraId="6F79E1D6" w14:textId="77777777" w:rsidR="00800789" w:rsidRPr="00222C32" w:rsidRDefault="00800789">
            <w:pPr>
              <w:pStyle w:val="MeasureTableDataRightAlignedwith2ptsspacing"/>
              <w:keepNext/>
              <w:rPr>
                <w:i/>
                <w:iCs/>
              </w:rPr>
            </w:pPr>
            <w:r w:rsidRPr="00222C32">
              <w:rPr>
                <w:i/>
                <w:iCs/>
              </w:rPr>
              <w:t>765.6</w:t>
            </w:r>
          </w:p>
        </w:tc>
        <w:tc>
          <w:tcPr>
            <w:tcW w:w="1044" w:type="dxa"/>
            <w:tcBorders>
              <w:top w:val="single" w:sz="4" w:space="0" w:color="293F5B"/>
              <w:bottom w:val="single" w:sz="4" w:space="0" w:color="293F5B"/>
            </w:tcBorders>
          </w:tcPr>
          <w:p w14:paraId="31D9CCD9" w14:textId="77777777" w:rsidR="00800789" w:rsidRPr="00222C32" w:rsidRDefault="00800789">
            <w:pPr>
              <w:pStyle w:val="MeasureTableDataRightAlignedwith2ptsspacing"/>
              <w:keepNext/>
              <w:rPr>
                <w:i/>
                <w:iCs/>
              </w:rPr>
            </w:pPr>
            <w:r w:rsidRPr="00222C32">
              <w:rPr>
                <w:i/>
                <w:iCs/>
              </w:rPr>
              <w:t>655.7</w:t>
            </w:r>
          </w:p>
        </w:tc>
        <w:tc>
          <w:tcPr>
            <w:tcW w:w="1044" w:type="dxa"/>
            <w:tcBorders>
              <w:top w:val="single" w:sz="4" w:space="0" w:color="293F5B"/>
              <w:bottom w:val="single" w:sz="4" w:space="0" w:color="293F5B"/>
            </w:tcBorders>
          </w:tcPr>
          <w:p w14:paraId="0B946F49" w14:textId="77777777" w:rsidR="00800789" w:rsidRPr="00222C32" w:rsidRDefault="00800789">
            <w:pPr>
              <w:pStyle w:val="MeasureTableDataRightAlignedwith2ptsspacing"/>
              <w:keepNext/>
              <w:rPr>
                <w:i/>
                <w:iCs/>
              </w:rPr>
            </w:pPr>
            <w:r w:rsidRPr="00222C32">
              <w:rPr>
                <w:i/>
                <w:iCs/>
              </w:rPr>
              <w:t>515.0</w:t>
            </w:r>
          </w:p>
        </w:tc>
      </w:tr>
      <w:bookmarkEnd w:id="1"/>
    </w:tbl>
    <w:p w14:paraId="3CFEC31D" w14:textId="77777777" w:rsidR="00D62254" w:rsidRDefault="00D62254" w:rsidP="00D62254">
      <w:pPr>
        <w:pStyle w:val="SingleParagraph"/>
      </w:pPr>
    </w:p>
    <w:p w14:paraId="15CD577A" w14:textId="5922A0A9" w:rsidR="00BB2CB4" w:rsidRDefault="000674DA">
      <w:pPr>
        <w:pStyle w:val="Normal2"/>
      </w:pPr>
      <w:r w:rsidRPr="69C11E82">
        <w:rPr>
          <w:lang w:val="en-US"/>
        </w:rPr>
        <w:t>The Government will increase support for the Cheaper Home Batteries program, while changing policy settings to ensure support is aligned with contemporary battery technologies and household needs. These changes will ensure the Cheaper Home Batteries program remains sustainable, while continuing to deliver cheaper batteries for consumers with benefits for all electricity consumers through the system stability and capacity these batteries provide. The changes take into account the falling price of battery technology and feedback from the Industry Advisory Implementation Committee (IAIC), which will allow increased access to batteries by households, businesses and community organisations. The Government will monitor this important program to ensure it continues to appropriately support consumers, including through engagement with the IAIC.</w:t>
      </w:r>
    </w:p>
    <w:p w14:paraId="01A192AE" w14:textId="78BCA432" w:rsidR="00BB2CB4" w:rsidRDefault="000674DA">
      <w:pPr>
        <w:pStyle w:val="Normal2"/>
      </w:pPr>
      <w:r w:rsidRPr="42F5CE43">
        <w:rPr>
          <w:lang w:val="en-US"/>
        </w:rPr>
        <w:t>The Government</w:t>
      </w:r>
      <w:r w:rsidR="00222C32">
        <w:rPr>
          <w:lang w:val="en-US"/>
        </w:rPr>
        <w:t>’</w:t>
      </w:r>
      <w:r w:rsidRPr="42F5CE43">
        <w:rPr>
          <w:lang w:val="en-US"/>
        </w:rPr>
        <w:t>s changes to the policy settings will see the expected support for the program cost $7.2 billion over four years from 2025–‍26.</w:t>
      </w:r>
    </w:p>
    <w:p w14:paraId="2E84DFE6" w14:textId="5CE9DFE2" w:rsidR="00BB2CB4" w:rsidRDefault="000674DA">
      <w:pPr>
        <w:pStyle w:val="Normal2"/>
      </w:pPr>
      <w:r>
        <w:t xml:space="preserve">This measure builds on the 2025 PEFO measure titled </w:t>
      </w:r>
      <w:r w:rsidRPr="000674DA">
        <w:rPr>
          <w:i/>
        </w:rPr>
        <w:t>Cheaper Home Batteries</w:t>
      </w:r>
      <w:r w:rsidR="00831755">
        <w:rPr>
          <w:i/>
        </w:rPr>
        <w:t xml:space="preserve"> P</w:t>
      </w:r>
      <w:r w:rsidRPr="000674DA">
        <w:rPr>
          <w:i/>
        </w:rPr>
        <w:t>rogram.</w:t>
      </w:r>
    </w:p>
    <w:p w14:paraId="3A8E475C" w14:textId="77777777" w:rsidR="00BB2CB4" w:rsidRDefault="000674DA">
      <w:pPr>
        <w:pStyle w:val="MeasureTitle"/>
      </w:pPr>
      <w:r>
        <w:t>Weather Radar for Regional Queensland</w:t>
      </w:r>
    </w:p>
    <w:p w14:paraId="7F545A5D"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F2D7E50" w14:textId="77777777" w:rsidTr="00825163">
        <w:trPr>
          <w:cantSplit/>
        </w:trPr>
        <w:tc>
          <w:tcPr>
            <w:tcW w:w="2501" w:type="dxa"/>
            <w:tcBorders>
              <w:top w:val="single" w:sz="4" w:space="0" w:color="293F5B"/>
              <w:bottom w:val="single" w:sz="4" w:space="0" w:color="293F5B"/>
            </w:tcBorders>
          </w:tcPr>
          <w:p w14:paraId="621BA44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97B54B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B6E17D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996979B"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1430E2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4836103" w14:textId="77777777" w:rsidR="00BB2CB4" w:rsidRPr="00222C32" w:rsidRDefault="000674DA">
            <w:pPr>
              <w:pStyle w:val="MeasureTableYearHeadings"/>
              <w:keepNext/>
            </w:pPr>
            <w:r w:rsidRPr="00222C32">
              <w:t>2028-29</w:t>
            </w:r>
          </w:p>
        </w:tc>
      </w:tr>
      <w:tr w:rsidR="00BB2CB4" w:rsidRPr="00222C32" w14:paraId="694D3BC9" w14:textId="77777777" w:rsidTr="00825163">
        <w:trPr>
          <w:cantSplit/>
        </w:trPr>
        <w:tc>
          <w:tcPr>
            <w:tcW w:w="2501" w:type="dxa"/>
            <w:tcBorders>
              <w:top w:val="single" w:sz="4" w:space="0" w:color="293F5B"/>
              <w:bottom w:val="single" w:sz="4" w:space="0" w:color="293F5B"/>
            </w:tcBorders>
          </w:tcPr>
          <w:p w14:paraId="6F53B52D" w14:textId="77777777" w:rsidR="00BB2CB4" w:rsidRPr="00222C32" w:rsidRDefault="000674DA">
            <w:pPr>
              <w:pStyle w:val="MeasureTableHeadingleftalignedwith2ptsspacing"/>
              <w:keepNext/>
            </w:pPr>
            <w:r w:rsidRPr="00222C32">
              <w:t>Bureau of Meteorology</w:t>
            </w:r>
          </w:p>
        </w:tc>
        <w:tc>
          <w:tcPr>
            <w:tcW w:w="1044" w:type="dxa"/>
            <w:tcBorders>
              <w:top w:val="single" w:sz="4" w:space="0" w:color="293F5B"/>
              <w:bottom w:val="single" w:sz="4" w:space="0" w:color="293F5B"/>
            </w:tcBorders>
          </w:tcPr>
          <w:p w14:paraId="795A71A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DC84DF9" w14:textId="77777777" w:rsidR="00BB2CB4" w:rsidRPr="00222C32" w:rsidRDefault="000674DA">
            <w:pPr>
              <w:pStyle w:val="MeasureTableDataRightAlignedwith2ptsspacing"/>
              <w:keepNext/>
            </w:pPr>
            <w:r w:rsidRPr="00222C32">
              <w:t>1.5</w:t>
            </w:r>
          </w:p>
        </w:tc>
        <w:tc>
          <w:tcPr>
            <w:tcW w:w="1044" w:type="dxa"/>
            <w:tcBorders>
              <w:top w:val="single" w:sz="4" w:space="0" w:color="293F5B"/>
              <w:bottom w:val="single" w:sz="4" w:space="0" w:color="293F5B"/>
            </w:tcBorders>
          </w:tcPr>
          <w:p w14:paraId="286405A0" w14:textId="77777777" w:rsidR="00BB2CB4" w:rsidRPr="00222C32" w:rsidRDefault="000674DA">
            <w:pPr>
              <w:pStyle w:val="MeasureTableDataRightAlignedwith2ptsspacing"/>
              <w:keepNext/>
            </w:pPr>
            <w:r w:rsidRPr="00222C32">
              <w:t>3.1</w:t>
            </w:r>
          </w:p>
        </w:tc>
        <w:tc>
          <w:tcPr>
            <w:tcW w:w="1044" w:type="dxa"/>
            <w:tcBorders>
              <w:top w:val="single" w:sz="4" w:space="0" w:color="293F5B"/>
              <w:bottom w:val="single" w:sz="4" w:space="0" w:color="293F5B"/>
            </w:tcBorders>
          </w:tcPr>
          <w:p w14:paraId="20389F7F" w14:textId="77777777" w:rsidR="00BB2CB4" w:rsidRPr="00222C32" w:rsidRDefault="000674DA">
            <w:pPr>
              <w:pStyle w:val="MeasureTableDataRightAlignedwith2ptsspacing"/>
              <w:keepNext/>
            </w:pPr>
            <w:r w:rsidRPr="00222C32">
              <w:t>5.4</w:t>
            </w:r>
          </w:p>
        </w:tc>
        <w:tc>
          <w:tcPr>
            <w:tcW w:w="1044" w:type="dxa"/>
            <w:tcBorders>
              <w:top w:val="single" w:sz="4" w:space="0" w:color="293F5B"/>
              <w:bottom w:val="single" w:sz="4" w:space="0" w:color="293F5B"/>
            </w:tcBorders>
          </w:tcPr>
          <w:p w14:paraId="374B92D8" w14:textId="77777777" w:rsidR="00BB2CB4" w:rsidRPr="00222C32" w:rsidRDefault="000674DA">
            <w:pPr>
              <w:pStyle w:val="MeasureTableDataRightAlignedwith2ptsspacing"/>
              <w:keepNext/>
            </w:pPr>
            <w:r w:rsidRPr="00222C32">
              <w:t>-</w:t>
            </w:r>
          </w:p>
        </w:tc>
      </w:tr>
    </w:tbl>
    <w:p w14:paraId="51F8A62A" w14:textId="77777777" w:rsidR="00DF2FE1" w:rsidRDefault="00DF2FE1" w:rsidP="00DF2FE1">
      <w:pPr>
        <w:pStyle w:val="SingleParagraph"/>
      </w:pPr>
    </w:p>
    <w:p w14:paraId="1774F36B" w14:textId="77777777" w:rsidR="00BB2CB4" w:rsidRDefault="000674DA" w:rsidP="008D019F">
      <w:pPr>
        <w:pStyle w:val="Normal2"/>
        <w:spacing w:before="100" w:after="100"/>
      </w:pPr>
      <w:r w:rsidRPr="69C11E82">
        <w:rPr>
          <w:lang w:val="en-US"/>
        </w:rPr>
        <w:t>The Government will provide $12.1 million over three years from 2025–‍26 for a new weather radar in regional Queensland to improve flood forecasts and warnings and better equip communities, emergency services and businesses for extreme weather events.</w:t>
      </w:r>
    </w:p>
    <w:p w14:paraId="7CAAFD80" w14:textId="77777777" w:rsidR="00BB2CB4" w:rsidRDefault="000674DA" w:rsidP="008D019F">
      <w:pPr>
        <w:pStyle w:val="Normal2"/>
        <w:spacing w:before="100" w:after="100"/>
      </w:pPr>
      <w:r>
        <w:t>The Bureau of Meteorology will partially meet the cost of this measure from within existing resources.</w:t>
      </w:r>
    </w:p>
    <w:p w14:paraId="46CC0917" w14:textId="207A51BB" w:rsidR="00BB2CB4" w:rsidRDefault="000674DA" w:rsidP="008D019F">
      <w:pPr>
        <w:pStyle w:val="Normal2"/>
        <w:spacing w:before="100" w:after="100"/>
      </w:pPr>
      <w:r>
        <w:t>This measure delivers on the Government</w:t>
      </w:r>
      <w:r w:rsidR="00222C32">
        <w:t>’</w:t>
      </w:r>
      <w:r>
        <w:t>s election commitment made during the 2025</w:t>
      </w:r>
      <w:r w:rsidR="00C66B6B">
        <w:t> federal</w:t>
      </w:r>
      <w:r>
        <w:t xml:space="preserve"> election.</w:t>
      </w:r>
    </w:p>
    <w:p w14:paraId="1C859F49" w14:textId="77777777" w:rsidR="00BB2CB4" w:rsidRDefault="00BB2CB4">
      <w:pPr>
        <w:sectPr w:rsidR="00BB2CB4" w:rsidSect="00301ACF">
          <w:headerReference w:type="even" r:id="rId61"/>
          <w:headerReference w:type="default" r:id="rId62"/>
          <w:footerReference w:type="even" r:id="rId63"/>
          <w:footerReference w:type="default" r:id="rId64"/>
          <w:headerReference w:type="first" r:id="rId65"/>
          <w:footerReference w:type="first" r:id="rId66"/>
          <w:pgSz w:w="11906" w:h="16838" w:code="9"/>
          <w:pgMar w:top="2835" w:right="2098" w:bottom="2466" w:left="2098" w:header="1814" w:footer="1814" w:gutter="0"/>
          <w:cols w:space="720"/>
          <w:docGrid w:linePitch="272"/>
        </w:sectPr>
      </w:pPr>
    </w:p>
    <w:p w14:paraId="4D3C6486" w14:textId="77777777" w:rsidR="00BB2CB4" w:rsidRDefault="000674DA" w:rsidP="00AD5404">
      <w:pPr>
        <w:pStyle w:val="PortfolioName"/>
        <w:spacing w:before="0"/>
      </w:pPr>
      <w:r>
        <w:lastRenderedPageBreak/>
        <w:t>Cross Portfolio</w:t>
      </w:r>
    </w:p>
    <w:p w14:paraId="20E93A94" w14:textId="77777777" w:rsidR="00BB2CB4" w:rsidRDefault="000674DA">
      <w:pPr>
        <w:pStyle w:val="MeasureTitle"/>
      </w:pPr>
      <w:r>
        <w:t>Artificial Intelligence Plan for the Australian Public Service – implementation</w:t>
      </w:r>
    </w:p>
    <w:p w14:paraId="2E7907B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2E55A3D" w14:textId="77777777" w:rsidTr="00825163">
        <w:trPr>
          <w:cantSplit/>
        </w:trPr>
        <w:tc>
          <w:tcPr>
            <w:tcW w:w="2501" w:type="dxa"/>
            <w:tcBorders>
              <w:top w:val="single" w:sz="4" w:space="0" w:color="293F5B"/>
              <w:bottom w:val="single" w:sz="4" w:space="0" w:color="293F5B"/>
            </w:tcBorders>
          </w:tcPr>
          <w:p w14:paraId="74291FE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8B93AB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50DF351"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33C41CB"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9B4DAA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A34B3E0" w14:textId="77777777" w:rsidR="00BB2CB4" w:rsidRPr="00222C32" w:rsidRDefault="000674DA">
            <w:pPr>
              <w:pStyle w:val="MeasureTableYearHeadings"/>
              <w:keepNext/>
            </w:pPr>
            <w:r w:rsidRPr="00222C32">
              <w:t>2028-29</w:t>
            </w:r>
          </w:p>
        </w:tc>
      </w:tr>
      <w:tr w:rsidR="00BB2CB4" w:rsidRPr="00222C32" w14:paraId="1BE95D87" w14:textId="77777777" w:rsidTr="00825163">
        <w:trPr>
          <w:cantSplit/>
        </w:trPr>
        <w:tc>
          <w:tcPr>
            <w:tcW w:w="2501" w:type="dxa"/>
            <w:tcBorders>
              <w:top w:val="single" w:sz="4" w:space="0" w:color="293F5B"/>
              <w:bottom w:val="single" w:sz="4" w:space="0" w:color="293F5B"/>
            </w:tcBorders>
          </w:tcPr>
          <w:p w14:paraId="53C3A309"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1352780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DD42DCA" w14:textId="77777777" w:rsidR="00BB2CB4" w:rsidRPr="00222C32" w:rsidRDefault="000674DA">
            <w:pPr>
              <w:pStyle w:val="MeasureTableDataRightAlignedwith2ptsspacing"/>
              <w:keepNext/>
            </w:pPr>
            <w:r w:rsidRPr="00222C32">
              <w:t>23.4</w:t>
            </w:r>
          </w:p>
        </w:tc>
        <w:tc>
          <w:tcPr>
            <w:tcW w:w="1044" w:type="dxa"/>
            <w:tcBorders>
              <w:top w:val="single" w:sz="4" w:space="0" w:color="293F5B"/>
              <w:bottom w:val="single" w:sz="4" w:space="0" w:color="293F5B"/>
            </w:tcBorders>
          </w:tcPr>
          <w:p w14:paraId="2FED7886" w14:textId="77777777" w:rsidR="00BB2CB4" w:rsidRPr="00222C32" w:rsidRDefault="000674DA">
            <w:pPr>
              <w:pStyle w:val="MeasureTableDataRightAlignedwith2ptsspacing"/>
              <w:keepNext/>
            </w:pPr>
            <w:r w:rsidRPr="00222C32">
              <w:t>86.5</w:t>
            </w:r>
          </w:p>
        </w:tc>
        <w:tc>
          <w:tcPr>
            <w:tcW w:w="1044" w:type="dxa"/>
            <w:tcBorders>
              <w:top w:val="single" w:sz="4" w:space="0" w:color="293F5B"/>
              <w:bottom w:val="single" w:sz="4" w:space="0" w:color="293F5B"/>
            </w:tcBorders>
          </w:tcPr>
          <w:p w14:paraId="443573DD" w14:textId="77777777" w:rsidR="00BB2CB4" w:rsidRPr="00222C32" w:rsidRDefault="000674DA">
            <w:pPr>
              <w:pStyle w:val="MeasureTableDataRightAlignedwith2ptsspacing"/>
              <w:keepNext/>
            </w:pPr>
            <w:r w:rsidRPr="00222C32">
              <w:t>99.4</w:t>
            </w:r>
          </w:p>
        </w:tc>
        <w:tc>
          <w:tcPr>
            <w:tcW w:w="1044" w:type="dxa"/>
            <w:tcBorders>
              <w:top w:val="single" w:sz="4" w:space="0" w:color="293F5B"/>
              <w:bottom w:val="single" w:sz="4" w:space="0" w:color="293F5B"/>
            </w:tcBorders>
          </w:tcPr>
          <w:p w14:paraId="51AAAE31" w14:textId="77777777" w:rsidR="00BB2CB4" w:rsidRPr="00222C32" w:rsidRDefault="000674DA">
            <w:pPr>
              <w:pStyle w:val="MeasureTableDataRightAlignedwith2ptsspacing"/>
              <w:keepNext/>
            </w:pPr>
            <w:r w:rsidRPr="00222C32">
              <w:t>15.9</w:t>
            </w:r>
          </w:p>
        </w:tc>
      </w:tr>
    </w:tbl>
    <w:p w14:paraId="40A12C1A" w14:textId="77777777" w:rsidR="00D86700" w:rsidRDefault="00D86700" w:rsidP="00D86700">
      <w:pPr>
        <w:pStyle w:val="SingleParagraph"/>
      </w:pPr>
    </w:p>
    <w:p w14:paraId="71D52966" w14:textId="0B2E307E" w:rsidR="00BB2CB4" w:rsidRDefault="000674DA">
      <w:pPr>
        <w:pStyle w:val="Normal2"/>
      </w:pPr>
      <w:r>
        <w:t>The Government will provide $225.2 million over four years from 2025–‍26, and $0.4 million per year ongoing from 2029–‍30, to deliver the Government</w:t>
      </w:r>
      <w:r w:rsidR="00222C32">
        <w:t>’</w:t>
      </w:r>
      <w:r>
        <w:t>s Artificial Intelligence Plan for the Australian Public Service (APS AI Plan), which will guide the safe, responsible and coordinated adoption of Artificial Intelligence (AI) and accelerate uptake across the Australian Government. Funding includes:</w:t>
      </w:r>
    </w:p>
    <w:p w14:paraId="19A2166F" w14:textId="77777777" w:rsidR="00BB2CB4" w:rsidRDefault="000674DA">
      <w:pPr>
        <w:pStyle w:val="Bullet"/>
      </w:pPr>
      <w:r>
        <w:t>$166.4 million over three years from 2025–‍26 for the Department of Finance and the Digital Transformation Agency to expand the GovAI platform and design, build and pilot a secure, AI assistant (GovAI Chat). Funding includes $28.5 million over two years from 2025–‍26 for initial work and assurance, and $137.9 million over two years from 2026–‍27 provisioned in the Contingency Reserve pending development of a further business case and mid‑pilot assessment report</w:t>
      </w:r>
    </w:p>
    <w:p w14:paraId="7A4354D9" w14:textId="77777777" w:rsidR="00BB2CB4" w:rsidRDefault="000674DA">
      <w:pPr>
        <w:pStyle w:val="Bullet"/>
      </w:pPr>
      <w:r>
        <w:t>$28.9 million over four years from 2025–‍26 for the Department of Finance to establish a central AI Delivery and Enablement function to support the delivery of the APS AI Plan</w:t>
      </w:r>
    </w:p>
    <w:p w14:paraId="041AEF57" w14:textId="77777777" w:rsidR="00BB2CB4" w:rsidRDefault="000674DA">
      <w:pPr>
        <w:pStyle w:val="Bullet"/>
      </w:pPr>
      <w:r>
        <w:t>$22.1 million over four years from 2025–‍26 (and $0.4 million per year ongoing) for the Australian Public Service Commission and the Digital Transformation Agency to deliver foundational AI capability building activities and deliver a coordinated workforce planning initiative to help agencies manage AI‑driven changes in job design, skills and mobility</w:t>
      </w:r>
    </w:p>
    <w:p w14:paraId="185C7C4E" w14:textId="77777777" w:rsidR="00BB2CB4" w:rsidRDefault="000674DA">
      <w:pPr>
        <w:pStyle w:val="Bullet"/>
      </w:pPr>
      <w:r>
        <w:t>$7.7 million over four years from 2025–‍26 for the Digital Transformation Agency to strengthen its AI functions and establish an AI Review Committee to provide expert advice on high‑risk government AI use cases.</w:t>
      </w:r>
    </w:p>
    <w:p w14:paraId="2F196972" w14:textId="77777777" w:rsidR="00BB2CB4" w:rsidRDefault="000674DA">
      <w:pPr>
        <w:pStyle w:val="MeasureTitle"/>
      </w:pPr>
      <w:r>
        <w:t>Closing the Gap – further investments</w:t>
      </w:r>
    </w:p>
    <w:p w14:paraId="7CEEFB3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40FBAC0" w14:textId="77777777" w:rsidTr="00825163">
        <w:trPr>
          <w:cantSplit/>
        </w:trPr>
        <w:tc>
          <w:tcPr>
            <w:tcW w:w="2501" w:type="dxa"/>
            <w:tcBorders>
              <w:top w:val="single" w:sz="4" w:space="0" w:color="293F5B"/>
              <w:bottom w:val="single" w:sz="4" w:space="0" w:color="293F5B"/>
            </w:tcBorders>
          </w:tcPr>
          <w:p w14:paraId="7728BE7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120496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EADC538"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B73E17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79D704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DE8B90B" w14:textId="77777777" w:rsidR="00BB2CB4" w:rsidRPr="00222C32" w:rsidRDefault="000674DA">
            <w:pPr>
              <w:pStyle w:val="MeasureTableYearHeadings"/>
              <w:keepNext/>
            </w:pPr>
            <w:r w:rsidRPr="00222C32">
              <w:t>2028-29</w:t>
            </w:r>
          </w:p>
        </w:tc>
      </w:tr>
      <w:tr w:rsidR="00BB2CB4" w:rsidRPr="00222C32" w14:paraId="498B16D5" w14:textId="77777777" w:rsidTr="00825163">
        <w:trPr>
          <w:cantSplit/>
        </w:trPr>
        <w:tc>
          <w:tcPr>
            <w:tcW w:w="2501" w:type="dxa"/>
            <w:tcBorders>
              <w:top w:val="single" w:sz="4" w:space="0" w:color="293F5B"/>
              <w:bottom w:val="single" w:sz="4" w:space="0" w:color="293F5B"/>
            </w:tcBorders>
          </w:tcPr>
          <w:p w14:paraId="1A7C5D33"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3010345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8B493AA" w14:textId="77777777" w:rsidR="00BB2CB4" w:rsidRPr="00222C32" w:rsidRDefault="000674DA">
            <w:pPr>
              <w:pStyle w:val="MeasureTableDataRightAlignedwith2ptsspacing"/>
              <w:keepNext/>
            </w:pPr>
            <w:r w:rsidRPr="00222C32">
              <w:t>6.0</w:t>
            </w:r>
          </w:p>
        </w:tc>
        <w:tc>
          <w:tcPr>
            <w:tcW w:w="1044" w:type="dxa"/>
            <w:tcBorders>
              <w:top w:val="single" w:sz="4" w:space="0" w:color="293F5B"/>
              <w:bottom w:val="single" w:sz="4" w:space="0" w:color="293F5B"/>
            </w:tcBorders>
          </w:tcPr>
          <w:p w14:paraId="4291EB73" w14:textId="77777777" w:rsidR="00BB2CB4" w:rsidRPr="00222C32" w:rsidRDefault="000674DA">
            <w:pPr>
              <w:pStyle w:val="MeasureTableDataRightAlignedwith2ptsspacing"/>
              <w:keepNext/>
            </w:pPr>
            <w:r w:rsidRPr="00222C32">
              <w:t>87.8</w:t>
            </w:r>
          </w:p>
        </w:tc>
        <w:tc>
          <w:tcPr>
            <w:tcW w:w="1044" w:type="dxa"/>
            <w:tcBorders>
              <w:top w:val="single" w:sz="4" w:space="0" w:color="293F5B"/>
              <w:bottom w:val="single" w:sz="4" w:space="0" w:color="293F5B"/>
            </w:tcBorders>
          </w:tcPr>
          <w:p w14:paraId="73027D01" w14:textId="77777777" w:rsidR="00BB2CB4" w:rsidRPr="00222C32" w:rsidRDefault="000674DA">
            <w:pPr>
              <w:pStyle w:val="MeasureTableDataRightAlignedwith2ptsspacing"/>
              <w:keepNext/>
            </w:pPr>
            <w:r w:rsidRPr="00222C32">
              <w:t>43.7</w:t>
            </w:r>
          </w:p>
        </w:tc>
        <w:tc>
          <w:tcPr>
            <w:tcW w:w="1044" w:type="dxa"/>
            <w:tcBorders>
              <w:top w:val="single" w:sz="4" w:space="0" w:color="293F5B"/>
              <w:bottom w:val="single" w:sz="4" w:space="0" w:color="293F5B"/>
            </w:tcBorders>
          </w:tcPr>
          <w:p w14:paraId="41829496" w14:textId="77777777" w:rsidR="00BB2CB4" w:rsidRPr="00222C32" w:rsidRDefault="000674DA">
            <w:pPr>
              <w:pStyle w:val="MeasureTableDataRightAlignedwith2ptsspacing"/>
              <w:keepNext/>
            </w:pPr>
            <w:r w:rsidRPr="00222C32">
              <w:t>23.3</w:t>
            </w:r>
          </w:p>
        </w:tc>
      </w:tr>
    </w:tbl>
    <w:p w14:paraId="2823A560" w14:textId="77777777" w:rsidR="005B71F3" w:rsidRDefault="005B71F3" w:rsidP="005B71F3">
      <w:pPr>
        <w:pStyle w:val="SingleParagraph"/>
      </w:pPr>
    </w:p>
    <w:p w14:paraId="77EC22CC" w14:textId="77777777" w:rsidR="00BB2CB4" w:rsidRDefault="000674DA">
      <w:pPr>
        <w:pStyle w:val="Normal2"/>
      </w:pPr>
      <w:r w:rsidRPr="69C11E82">
        <w:rPr>
          <w:lang w:val="en-US"/>
        </w:rPr>
        <w:t>The Government will provide $329.9 million over five years from 2024–‍25 (and an additional $3.0 million in 2029–‍30) to achieve better outcomes for First Nations peoples under the National Agreement on Closing the Gap. Funding includes:</w:t>
      </w:r>
    </w:p>
    <w:p w14:paraId="38FFD948" w14:textId="77777777" w:rsidR="00BB2CB4" w:rsidRDefault="000674DA">
      <w:pPr>
        <w:pStyle w:val="Bullet"/>
      </w:pPr>
      <w:r>
        <w:t>$103.1 million over four years from 2025–‍26 to repurpose funding from the Australian Family Partnership program to a First Nations‑led maternal model of care delivered through 15 participating Aboriginal Community Controlled Health Services, following the cessation of the license agreement for the model under which the program is currently delivered</w:t>
      </w:r>
    </w:p>
    <w:p w14:paraId="4A3F6BA8" w14:textId="77777777" w:rsidR="00BB2CB4" w:rsidRDefault="000674DA">
      <w:pPr>
        <w:pStyle w:val="Bullet"/>
      </w:pPr>
      <w:r>
        <w:lastRenderedPageBreak/>
        <w:t>$75.0 million over three years from 2026–‍27 for Prescribed Bodies Corporate, including the development of a new funding and support model for native title holders to take advantage of opportunities arising from their native title rights</w:t>
      </w:r>
    </w:p>
    <w:p w14:paraId="7E11F753" w14:textId="77777777" w:rsidR="00BB2CB4" w:rsidRDefault="000674DA">
      <w:pPr>
        <w:pStyle w:val="Bullet"/>
      </w:pPr>
      <w:r>
        <w:t>$31.4 million over three years from 2025–‍26 to extend the Tailored Assistance Employment Grant program to 31 December 2027 to ensure continuity of a culturally appropriate employment support program for First Nations jobseekers ahead of broader reforms to employment services</w:t>
      </w:r>
    </w:p>
    <w:p w14:paraId="124A2F8E" w14:textId="77777777" w:rsidR="00BB2CB4" w:rsidRDefault="000674DA">
      <w:pPr>
        <w:pStyle w:val="Bullet"/>
      </w:pPr>
      <w:r>
        <w:t>$27.0 million over three years from 2026–‍27 (and an additional $3.0 million in 2029–‍30) to expand the TAFE Technology Fund to support mobile vocational education and training delivery in remote First Nations communities</w:t>
      </w:r>
    </w:p>
    <w:p w14:paraId="430F0C90" w14:textId="77777777" w:rsidR="00BB2CB4" w:rsidRDefault="000674DA">
      <w:pPr>
        <w:pStyle w:val="Bullet"/>
      </w:pPr>
      <w:r>
        <w:t>$19.7 million over two years from 2026–‍27 to continue to support suicide prevention activities with cultural sensitivity and community empowerment through the Culture Care Connect program</w:t>
      </w:r>
    </w:p>
    <w:p w14:paraId="3361D012" w14:textId="77777777" w:rsidR="00BB2CB4" w:rsidRDefault="000674DA">
      <w:pPr>
        <w:pStyle w:val="Bullet"/>
      </w:pPr>
      <w:r>
        <w:t>$16.5 million over two years from 2025–‍26 to address rising rates of congenital syphilis in Australia to reduce preventable infant deaths in vulnerable communities, including First Nations communities</w:t>
      </w:r>
    </w:p>
    <w:p w14:paraId="4A78219F" w14:textId="2ACDB638" w:rsidR="00BB2CB4" w:rsidRDefault="000674DA">
      <w:pPr>
        <w:pStyle w:val="Bullet"/>
      </w:pPr>
      <w:r>
        <w:t xml:space="preserve">$8.8 million in 2024–‍25 to build on the 2022–‍23 October Budget measure titled </w:t>
      </w:r>
      <w:r w:rsidRPr="000674DA">
        <w:rPr>
          <w:i/>
        </w:rPr>
        <w:t>Strengthening First Nations Health</w:t>
      </w:r>
      <w:r>
        <w:t xml:space="preserve"> for eight dialysis units to support the Government to meet its commitment to invest in 30 new and </w:t>
      </w:r>
      <w:r w:rsidR="00AA2A8B">
        <w:t xml:space="preserve">upgraded </w:t>
      </w:r>
      <w:r>
        <w:t>dialysis units by June 2026 to improve the health of First Nations people</w:t>
      </w:r>
      <w:r w:rsidR="00711E1E">
        <w:t>s</w:t>
      </w:r>
      <w:r>
        <w:t xml:space="preserve"> with end‑stage kidney disease</w:t>
      </w:r>
    </w:p>
    <w:p w14:paraId="7DAEBDDB" w14:textId="77777777" w:rsidR="00BB2CB4" w:rsidRDefault="000674DA">
      <w:pPr>
        <w:pStyle w:val="Bullet"/>
      </w:pPr>
      <w:r>
        <w:t>$7.8 million over two years from 2026–‍27 to support culturally appropriate social and emotional wellbeing and prevention programs in the Northern Territory through the Red Dust program</w:t>
      </w:r>
    </w:p>
    <w:p w14:paraId="33B66662" w14:textId="77777777" w:rsidR="00BB2CB4" w:rsidRDefault="000674DA">
      <w:pPr>
        <w:pStyle w:val="Bullet"/>
      </w:pPr>
      <w:r>
        <w:t>$6.4 million over three years from 2025–‍26 to expand the Goanna Academy, delivering culturally safe First Nations social and emotional wellbeing programs nationally</w:t>
      </w:r>
    </w:p>
    <w:p w14:paraId="77827FC3" w14:textId="77777777" w:rsidR="00BB2CB4" w:rsidRDefault="000674DA">
      <w:pPr>
        <w:pStyle w:val="Bullet"/>
      </w:pPr>
      <w:r>
        <w:t xml:space="preserve">$6.4 million in 2026–‍27 to extend the 2023–‍24 Budget measure titled </w:t>
      </w:r>
      <w:r w:rsidRPr="000674DA">
        <w:rPr>
          <w:i/>
        </w:rPr>
        <w:t>Better, Safer Future for Central Australia Plan</w:t>
      </w:r>
      <w:r>
        <w:t xml:space="preserve"> to support the continuation of the Child &amp; Youth Assessment &amp; Therapeutic Service for early detection of and intervention for neurodevelopmental disorders</w:t>
      </w:r>
    </w:p>
    <w:p w14:paraId="646C4496" w14:textId="77777777" w:rsidR="00BB2CB4" w:rsidRDefault="000674DA">
      <w:pPr>
        <w:pStyle w:val="Bullet"/>
      </w:pPr>
      <w:r>
        <w:t>$5.3 million over two years from 2026–‍27 to continue to support the Social and Emotional Wellbeing Policy Partnership as part of the National Agreement on Closing the Gap</w:t>
      </w:r>
    </w:p>
    <w:p w14:paraId="28902C4C" w14:textId="77777777" w:rsidR="00BB2CB4" w:rsidRDefault="000674DA">
      <w:pPr>
        <w:pStyle w:val="Bullet"/>
      </w:pPr>
      <w:r>
        <w:t>$5.0 million over four years from 2025–‍26 for Good to Great Schools Australia to help build the capacity of teaching assistants and teachers in regional and remote Australia, explore the development of new qualifications to upskill teaching assistants, and increase the number of qualified First Nations educators</w:t>
      </w:r>
    </w:p>
    <w:p w14:paraId="3E00387A" w14:textId="77777777" w:rsidR="00BB2CB4" w:rsidRDefault="000674DA">
      <w:pPr>
        <w:pStyle w:val="Bullet"/>
      </w:pPr>
      <w:r>
        <w:t>$4.5 million over two years from 2027–‍28 to increase support under the Remote Australia Employment Service through an additional Employment Placement Support payment when participants stay employed for 52 weeks</w:t>
      </w:r>
    </w:p>
    <w:p w14:paraId="29836422" w14:textId="45254E6C" w:rsidR="00BB2CB4" w:rsidRDefault="000674DA">
      <w:pPr>
        <w:pStyle w:val="Bullet"/>
      </w:pPr>
      <w:r>
        <w:t>$3.6 million in 2026–‍27 to extend the Deadly Choices program to support the uptake of First Nations Australians</w:t>
      </w:r>
      <w:r w:rsidR="00222C32">
        <w:t>’</w:t>
      </w:r>
      <w:r>
        <w:t xml:space="preserve"> </w:t>
      </w:r>
      <w:r w:rsidR="00655FA0">
        <w:t>h</w:t>
      </w:r>
      <w:r>
        <w:t xml:space="preserve">ealth </w:t>
      </w:r>
      <w:r w:rsidR="00655FA0">
        <w:t>a</w:t>
      </w:r>
      <w:r>
        <w:t>ssessments</w:t>
      </w:r>
    </w:p>
    <w:p w14:paraId="30A52E97" w14:textId="417E3D8E" w:rsidR="00BB2CB4" w:rsidRDefault="000674DA">
      <w:pPr>
        <w:pStyle w:val="Bullet"/>
      </w:pPr>
      <w:r>
        <w:lastRenderedPageBreak/>
        <w:t>$2.3 million over two years from 2025–‍26 to extend the Secretariat of National Aboriginal and Islander Child Care – National Voice of our Children</w:t>
      </w:r>
      <w:r w:rsidR="00222C32">
        <w:t>’</w:t>
      </w:r>
      <w:r>
        <w:t>s Early Years Support program for 12 months to December 2026. The extension will continue support for Aboriginal Community Controlled Organisations delivering early years services to help First Nations children and families participate in culturally safe, inclusive, and quality early childhood education and care</w:t>
      </w:r>
    </w:p>
    <w:p w14:paraId="4BF92036" w14:textId="77777777" w:rsidR="00BB2CB4" w:rsidRDefault="000674DA">
      <w:pPr>
        <w:pStyle w:val="Bullet"/>
      </w:pPr>
      <w:r>
        <w:t>$2.0 million over two years from 2025–‍26 to continue to support cultural safety across mental health services with appropriate referral pathways for First Nations peoples</w:t>
      </w:r>
    </w:p>
    <w:p w14:paraId="2F558ACA" w14:textId="77777777" w:rsidR="00BB2CB4" w:rsidRDefault="000674DA">
      <w:pPr>
        <w:pStyle w:val="Bullet"/>
      </w:pPr>
      <w:r>
        <w:t>$1.4 million in 2026–‍27 for the Flinders University International Centre for Point of Care Testing to continue delivery of the Quality Assurance for Aboriginal and Torres Strait Islander Medical Services program that provides quick access to diabetes related pathology tests in remote areas</w:t>
      </w:r>
    </w:p>
    <w:p w14:paraId="7FBA32AF" w14:textId="77777777" w:rsidR="00BB2CB4" w:rsidRDefault="000674DA">
      <w:pPr>
        <w:pStyle w:val="Bullet"/>
      </w:pPr>
      <w:r>
        <w:t>$1.3 million over two years from 2026–‍27 to continue support for the delivery of mental health services in Cape York</w:t>
      </w:r>
    </w:p>
    <w:p w14:paraId="25375278" w14:textId="77777777" w:rsidR="00BB2CB4" w:rsidRDefault="000674DA">
      <w:pPr>
        <w:pStyle w:val="Bullet"/>
      </w:pPr>
      <w:r>
        <w:t>$1.1 million in 2025–‍26 to Cape and Torres Health Commissioning Ltd to address poor health outcomes by improving access to culturally appropriate health care services and coordinating care across providers to improve life expectancy in line with Closing the Gap targets for First Nations peoples in Far North Queensland</w:t>
      </w:r>
    </w:p>
    <w:p w14:paraId="566398D7" w14:textId="2A64BFB3" w:rsidR="00BB2CB4" w:rsidRDefault="000674DA">
      <w:pPr>
        <w:pStyle w:val="Bullet"/>
      </w:pPr>
      <w:r>
        <w:t>$0.9 million in 2025–‍26 to support Children</w:t>
      </w:r>
      <w:r w:rsidR="00222C32">
        <w:t>’</w:t>
      </w:r>
      <w:r>
        <w:t>s Ground to continue delivery of culturally safe health and wellbeing services for children and their families in First Nations communities</w:t>
      </w:r>
    </w:p>
    <w:p w14:paraId="45EB4260" w14:textId="77777777" w:rsidR="00BB2CB4" w:rsidRDefault="000674DA">
      <w:pPr>
        <w:pStyle w:val="Bullet"/>
      </w:pPr>
      <w:r>
        <w:t>$0.3 million in 2025–‍26 to the Waminda Midwifery Group Practice at the Waminda Birthing on Country Centre for two additional midwifery positions to meet the growing perinatal needs of the First Nations families in the Illawarra Shoalhaven Local Health District.</w:t>
      </w:r>
    </w:p>
    <w:p w14:paraId="6D5E47A5" w14:textId="077606BD" w:rsidR="00BB2CB4" w:rsidRDefault="000674DA">
      <w:pPr>
        <w:pStyle w:val="Normal2"/>
      </w:pPr>
      <w:r>
        <w:t>The Government will also extend support for the Australian Indigenous Education Foundation for two years from 2025–‍26 to improve First Nations students</w:t>
      </w:r>
      <w:r w:rsidR="00222C32">
        <w:t>’</w:t>
      </w:r>
      <w:r>
        <w:t xml:space="preserve"> access to quality education; and extend the 2022–‍23 October Budget measure titled </w:t>
      </w:r>
      <w:r w:rsidRPr="000674DA">
        <w:rPr>
          <w:i/>
        </w:rPr>
        <w:t xml:space="preserve">Strengthening First Nations Health </w:t>
      </w:r>
      <w:r>
        <w:t>by one year to 30 June 2027 to enable the completion of health infrastructure projects.</w:t>
      </w:r>
    </w:p>
    <w:p w14:paraId="54EF7EEC" w14:textId="070FFEBD" w:rsidR="00BB2CB4" w:rsidRDefault="000674DA">
      <w:pPr>
        <w:pStyle w:val="Normal2"/>
      </w:pPr>
      <w:r w:rsidRPr="69C11E82">
        <w:rPr>
          <w:lang w:val="en-US"/>
        </w:rPr>
        <w:t xml:space="preserve">The cost of this measure will be partially met from a reprioritisation of funding from the 2024–‍25 MYEFO measure titled </w:t>
      </w:r>
      <w:r w:rsidRPr="69C11E82">
        <w:rPr>
          <w:i/>
          <w:lang w:val="en-US"/>
        </w:rPr>
        <w:t>New Remote Employment Service</w:t>
      </w:r>
      <w:r w:rsidRPr="69C11E82">
        <w:rPr>
          <w:lang w:val="en-US"/>
        </w:rPr>
        <w:t xml:space="preserve">, savings identified in the 2025–‍26 MYEFO measure titled </w:t>
      </w:r>
      <w:r w:rsidRPr="69C11E82">
        <w:rPr>
          <w:i/>
          <w:lang w:val="en-US"/>
        </w:rPr>
        <w:t>Education – reprioritisation</w:t>
      </w:r>
      <w:r w:rsidRPr="69C11E82">
        <w:rPr>
          <w:lang w:val="en-US"/>
        </w:rPr>
        <w:t>, and the existing resources of the Department of Health, Disability and Ageing and the National Indigenous Australians Agency</w:t>
      </w:r>
      <w:r w:rsidR="00222C32" w:rsidRPr="69C11E82">
        <w:rPr>
          <w:lang w:val="en-US"/>
        </w:rPr>
        <w:t>’</w:t>
      </w:r>
      <w:r w:rsidRPr="69C11E82">
        <w:rPr>
          <w:lang w:val="en-US"/>
        </w:rPr>
        <w:t>s Indigenous Advancement Strategy</w:t>
      </w:r>
      <w:r w:rsidRPr="69C11E82">
        <w:rPr>
          <w:i/>
          <w:lang w:val="en-US"/>
        </w:rPr>
        <w:t>.</w:t>
      </w:r>
    </w:p>
    <w:p w14:paraId="02E518DA" w14:textId="433E69F0" w:rsidR="00BB2CB4" w:rsidRDefault="000674DA">
      <w:pPr>
        <w:pStyle w:val="Normal2"/>
      </w:pPr>
      <w:r>
        <w:t>The funding for the Goanna Academy and the Good to Great Schools Australia delivers on the Government</w:t>
      </w:r>
      <w:r w:rsidR="00222C32">
        <w:t>’</w:t>
      </w:r>
      <w:r>
        <w:t>s election commitment made during the 2025</w:t>
      </w:r>
      <w:r w:rsidR="00C66B6B">
        <w:t> federal</w:t>
      </w:r>
      <w:r>
        <w:t xml:space="preserve"> election.</w:t>
      </w:r>
    </w:p>
    <w:p w14:paraId="29F71300" w14:textId="77777777" w:rsidR="00BB2CB4" w:rsidRDefault="000674DA">
      <w:pPr>
        <w:pStyle w:val="MeasureTitle"/>
      </w:pPr>
      <w:r>
        <w:lastRenderedPageBreak/>
        <w:t>Ending Gender‑Based Violence – continued investment</w:t>
      </w:r>
    </w:p>
    <w:p w14:paraId="06A0BC8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37799EB" w14:textId="77777777" w:rsidTr="00825163">
        <w:trPr>
          <w:cantSplit/>
        </w:trPr>
        <w:tc>
          <w:tcPr>
            <w:tcW w:w="2501" w:type="dxa"/>
            <w:tcBorders>
              <w:top w:val="single" w:sz="4" w:space="0" w:color="293F5B"/>
              <w:bottom w:val="single" w:sz="4" w:space="0" w:color="293F5B"/>
            </w:tcBorders>
          </w:tcPr>
          <w:p w14:paraId="5F6C284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3522B52"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254C87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99BA212"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2A57DC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1D6408F" w14:textId="77777777" w:rsidR="00BB2CB4" w:rsidRPr="00222C32" w:rsidRDefault="000674DA">
            <w:pPr>
              <w:pStyle w:val="MeasureTableYearHeadings"/>
              <w:keepNext/>
            </w:pPr>
            <w:r w:rsidRPr="00222C32">
              <w:t>2028-29</w:t>
            </w:r>
          </w:p>
        </w:tc>
      </w:tr>
      <w:tr w:rsidR="00BB2CB4" w:rsidRPr="00222C32" w14:paraId="57BD8842" w14:textId="77777777" w:rsidTr="00825163">
        <w:trPr>
          <w:cantSplit/>
        </w:trPr>
        <w:tc>
          <w:tcPr>
            <w:tcW w:w="2501" w:type="dxa"/>
            <w:tcBorders>
              <w:top w:val="single" w:sz="4" w:space="0" w:color="293F5B"/>
              <w:bottom w:val="single" w:sz="4" w:space="0" w:color="293F5B"/>
            </w:tcBorders>
          </w:tcPr>
          <w:p w14:paraId="4E58C2C2"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3E34660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B3A839D" w14:textId="77777777" w:rsidR="00BB2CB4" w:rsidRPr="00222C32" w:rsidRDefault="000674DA">
            <w:pPr>
              <w:pStyle w:val="MeasureTableDataRightAlignedwith2ptsspacing"/>
              <w:keepNext/>
            </w:pPr>
            <w:r w:rsidRPr="00222C32">
              <w:t>35.0</w:t>
            </w:r>
          </w:p>
        </w:tc>
        <w:tc>
          <w:tcPr>
            <w:tcW w:w="1044" w:type="dxa"/>
            <w:tcBorders>
              <w:top w:val="single" w:sz="4" w:space="0" w:color="293F5B"/>
              <w:bottom w:val="single" w:sz="4" w:space="0" w:color="293F5B"/>
            </w:tcBorders>
          </w:tcPr>
          <w:p w14:paraId="0ED807EA" w14:textId="77777777" w:rsidR="00BB2CB4" w:rsidRPr="00222C32" w:rsidRDefault="000674DA">
            <w:pPr>
              <w:pStyle w:val="MeasureTableDataRightAlignedwith2ptsspacing"/>
              <w:keepNext/>
            </w:pPr>
            <w:r w:rsidRPr="00222C32">
              <w:t>76.3</w:t>
            </w:r>
          </w:p>
        </w:tc>
        <w:tc>
          <w:tcPr>
            <w:tcW w:w="1044" w:type="dxa"/>
            <w:tcBorders>
              <w:top w:val="single" w:sz="4" w:space="0" w:color="293F5B"/>
              <w:bottom w:val="single" w:sz="4" w:space="0" w:color="293F5B"/>
            </w:tcBorders>
          </w:tcPr>
          <w:p w14:paraId="10B44273" w14:textId="77777777" w:rsidR="00BB2CB4" w:rsidRPr="00222C32" w:rsidRDefault="000674DA">
            <w:pPr>
              <w:pStyle w:val="MeasureTableDataRightAlignedwith2ptsspacing"/>
              <w:keepNext/>
            </w:pPr>
            <w:r w:rsidRPr="00222C32">
              <w:t>26.4</w:t>
            </w:r>
          </w:p>
        </w:tc>
        <w:tc>
          <w:tcPr>
            <w:tcW w:w="1044" w:type="dxa"/>
            <w:tcBorders>
              <w:top w:val="single" w:sz="4" w:space="0" w:color="293F5B"/>
              <w:bottom w:val="single" w:sz="4" w:space="0" w:color="293F5B"/>
            </w:tcBorders>
          </w:tcPr>
          <w:p w14:paraId="6E65F038" w14:textId="77777777" w:rsidR="00BB2CB4" w:rsidRPr="00222C32" w:rsidRDefault="000674DA">
            <w:pPr>
              <w:pStyle w:val="MeasureTableDataRightAlignedwith2ptsspacing"/>
              <w:keepNext/>
            </w:pPr>
            <w:r w:rsidRPr="00222C32">
              <w:t>-</w:t>
            </w:r>
          </w:p>
        </w:tc>
      </w:tr>
    </w:tbl>
    <w:p w14:paraId="70791C4F" w14:textId="77777777" w:rsidR="0066068E" w:rsidRDefault="0066068E" w:rsidP="0066068E">
      <w:pPr>
        <w:pStyle w:val="SingleParagraph"/>
      </w:pPr>
    </w:p>
    <w:p w14:paraId="1BB4949A" w14:textId="77777777" w:rsidR="00BB2CB4" w:rsidRDefault="000674DA">
      <w:pPr>
        <w:pStyle w:val="Normal2"/>
      </w:pPr>
      <w:r>
        <w:t>The Government will provide $149.6 million over four years from 2025–‍26 (and $0.2 million per year ongoing) to further support women and children leaving violent relationships, to hold perpetrators of gender‑based violence to account, and to improve safety of Commonwealth systems. Funding includes:</w:t>
      </w:r>
    </w:p>
    <w:p w14:paraId="79B58AF8" w14:textId="77777777" w:rsidR="00BB2CB4" w:rsidRDefault="000674DA">
      <w:pPr>
        <w:pStyle w:val="Bullet"/>
      </w:pPr>
      <w:r>
        <w:t>$41.8 million over two years from 2025–‍26 to 1800RESPECT to meet increasing demand for the service and ensure quality service provision is maintained</w:t>
      </w:r>
    </w:p>
    <w:p w14:paraId="44A140AF" w14:textId="77777777" w:rsidR="00BB2CB4" w:rsidRDefault="000674DA">
      <w:pPr>
        <w:pStyle w:val="Bullet"/>
      </w:pPr>
      <w:r>
        <w:t>$33.8 million over two years from 2026–‍27 for the continuation of the Lighthouse Project pilot and culturally responsive support for First Nations Australians</w:t>
      </w:r>
    </w:p>
    <w:p w14:paraId="793B4553" w14:textId="77777777" w:rsidR="00BB2CB4" w:rsidRDefault="000674DA">
      <w:pPr>
        <w:pStyle w:val="Bullet"/>
      </w:pPr>
      <w:r>
        <w:t>$22.7 million over two years from 2026–‍27 to continue the Supporting Primary Care Response to Family, Domestic and Sexual Violence (FDSV) pilot to train primary health care workers to recognise, respond and refer patients to local FDSV services</w:t>
      </w:r>
    </w:p>
    <w:p w14:paraId="71DF737D" w14:textId="51164E6E" w:rsidR="00BB2CB4" w:rsidRDefault="000674DA">
      <w:pPr>
        <w:pStyle w:val="Bullet"/>
      </w:pPr>
      <w:r>
        <w:t>$20.4 million over four years from 2025–‍26 for the construction of a Women</w:t>
      </w:r>
      <w:r w:rsidR="00222C32">
        <w:t>’</w:t>
      </w:r>
      <w:r>
        <w:t>s and Children</w:t>
      </w:r>
      <w:r w:rsidR="00222C32">
        <w:t>’</w:t>
      </w:r>
      <w:r>
        <w:t>s Trauma Recovery Centre in East Gosford, New South Wales, which will provide crisis accommodation and on‑site support services for women and children experiencing domestic violence</w:t>
      </w:r>
    </w:p>
    <w:p w14:paraId="245E89CF" w14:textId="77777777" w:rsidR="00BB2CB4" w:rsidRDefault="000674DA">
      <w:pPr>
        <w:pStyle w:val="Bullet"/>
      </w:pPr>
      <w:r>
        <w:t>$9.1 million in 2025–‍26 for the continued operation of the Family Violence and Cross Examination of Parties Scheme to support victims of family violence in family law proceedings</w:t>
      </w:r>
    </w:p>
    <w:p w14:paraId="59D9865E" w14:textId="77777777" w:rsidR="00BB2CB4" w:rsidRDefault="000674DA">
      <w:pPr>
        <w:pStyle w:val="Bullet"/>
      </w:pPr>
      <w:r>
        <w:t>$8.6 million over two years from 2025–‍26 in additional funding to states and territories to boost innovative responses to high‑risk perpetrators, intensive behaviour change programs and specialist early interventions for young people at risk of using violence</w:t>
      </w:r>
    </w:p>
    <w:p w14:paraId="09049885" w14:textId="2667A82B" w:rsidR="00BB2CB4" w:rsidRDefault="000674DA">
      <w:pPr>
        <w:pStyle w:val="Bullet"/>
      </w:pPr>
      <w:r>
        <w:t>$3.9 million in 2026–‍27 to enable No to Violence to continue national coverage for the Men</w:t>
      </w:r>
      <w:r w:rsidR="00222C32">
        <w:t>’</w:t>
      </w:r>
      <w:r>
        <w:t>s Referral Service and the National Directory of Services</w:t>
      </w:r>
    </w:p>
    <w:p w14:paraId="105BEE07" w14:textId="4C72FAD2" w:rsidR="00BB2CB4" w:rsidRDefault="000674DA">
      <w:pPr>
        <w:pStyle w:val="Bullet"/>
      </w:pPr>
      <w:r>
        <w:t xml:space="preserve">$3.4 million over two years from 2025–‍26 to extend the Support for Trafficked People </w:t>
      </w:r>
      <w:r w:rsidR="00261E6F">
        <w:t>P</w:t>
      </w:r>
      <w:r>
        <w:t>rogram Additional Referral Pathway pilot enabling victim‑survivors to access continued support</w:t>
      </w:r>
    </w:p>
    <w:p w14:paraId="31C72F80" w14:textId="525AA24F" w:rsidR="00BB2CB4" w:rsidRDefault="000674DA">
      <w:pPr>
        <w:pStyle w:val="Bullet"/>
      </w:pPr>
      <w:r>
        <w:t>$3.0 million over three years from 2025–‍26 for Survivor</w:t>
      </w:r>
      <w:r w:rsidR="00222C32">
        <w:t>’</w:t>
      </w:r>
      <w:r>
        <w:t>s R Us to support the service and establish a permanent site in Cardiff, New South Wales, to continue to provide services to people experiencing domestic violence, homelessness or unemployment</w:t>
      </w:r>
    </w:p>
    <w:p w14:paraId="41761ABD" w14:textId="0F4A12CE" w:rsidR="00BB2CB4" w:rsidRDefault="000674DA">
      <w:pPr>
        <w:pStyle w:val="Bullet"/>
      </w:pPr>
      <w:r>
        <w:t>$2.3 million over two years from 2025–‍26 to continue addressing financial abuse through Government systems, including legislation to mitigate financial abuse through coerced directorships, consultation on options to stop perpetrators of domestic and family violence receiving victim</w:t>
      </w:r>
      <w:r w:rsidR="00222C32">
        <w:t>’</w:t>
      </w:r>
      <w:r>
        <w:t>s superannuation after their death and consultation on mechanisms to make perpetrators liable for social security and tax debts incurred by a victim‑survivor due to coercion or financial abuse</w:t>
      </w:r>
    </w:p>
    <w:p w14:paraId="6AECAB4F" w14:textId="77777777" w:rsidR="00BB2CB4" w:rsidRDefault="000674DA">
      <w:pPr>
        <w:pStyle w:val="Bullet"/>
      </w:pPr>
      <w:r>
        <w:lastRenderedPageBreak/>
        <w:t>$0.6 million over four years from 2025–‍26 (and $0.2 million per year ongoing from 2029–‍30) to establish a new Domestic, Family and Sexual Violence Advisory Council to provide advice on the implementation of the National Plan to End Violence Against Women and Children 2022–‍2032.</w:t>
      </w:r>
    </w:p>
    <w:p w14:paraId="1474F00F" w14:textId="720D33EF" w:rsidR="00BB2CB4" w:rsidRDefault="000674DA">
      <w:pPr>
        <w:pStyle w:val="Normal2"/>
      </w:pPr>
      <w:r w:rsidRPr="69C11E82">
        <w:rPr>
          <w:lang w:val="en-US"/>
        </w:rPr>
        <w:t>The Department of Social Services, Services Australia and the Treasury will partially meet the cost of this measure from within existing resources. The cost of this measure will also be partially met from savings identified in the Attorney‑General</w:t>
      </w:r>
      <w:r w:rsidR="00222C32" w:rsidRPr="69C11E82">
        <w:rPr>
          <w:lang w:val="en-US"/>
        </w:rPr>
        <w:t>’</w:t>
      </w:r>
      <w:r w:rsidRPr="69C11E82">
        <w:rPr>
          <w:lang w:val="en-US"/>
        </w:rPr>
        <w:t>s portfolio.</w:t>
      </w:r>
    </w:p>
    <w:p w14:paraId="652A3AC0" w14:textId="77777777" w:rsidR="00BB2CB4" w:rsidRDefault="000674DA">
      <w:pPr>
        <w:pStyle w:val="Normal2"/>
      </w:pPr>
      <w:r>
        <w:t>The Treasury manages Commonwealth payments to the states and territories.</w:t>
      </w:r>
    </w:p>
    <w:p w14:paraId="201CC6A5" w14:textId="77777777" w:rsidR="00BB2CB4" w:rsidRDefault="000674DA">
      <w:pPr>
        <w:pStyle w:val="Normal2"/>
      </w:pPr>
      <w:r w:rsidRPr="42F5CE43">
        <w:rPr>
          <w:lang w:val="en-US"/>
        </w:rPr>
        <w:t>This measure builds on the more than $4 billion invested by the Government to date in ending gender‑based violence and supports the implementation of the National Plan to End Violence against Women and Children 2022–‍32 and Working for Women: A Strategy for Gender Equality.</w:t>
      </w:r>
    </w:p>
    <w:p w14:paraId="0AFD7B31" w14:textId="7F8E5C5E" w:rsidR="00BB2CB4" w:rsidRDefault="000674DA">
      <w:pPr>
        <w:pStyle w:val="Normal2"/>
      </w:pPr>
      <w:r>
        <w:t>Parts of this measure deliver on the Government</w:t>
      </w:r>
      <w:r w:rsidR="00222C32">
        <w:t>’</w:t>
      </w:r>
      <w:r>
        <w:t>s election commitments made during the 2025</w:t>
      </w:r>
      <w:r w:rsidR="00C66B6B">
        <w:t> federal</w:t>
      </w:r>
      <w:r>
        <w:t xml:space="preserve"> election.</w:t>
      </w:r>
    </w:p>
    <w:p w14:paraId="396BB2B6" w14:textId="647B2771" w:rsidR="00BB2CB4" w:rsidRDefault="000674DA">
      <w:pPr>
        <w:pStyle w:val="MeasureTitle"/>
      </w:pPr>
      <w:r w:rsidRPr="69C11E82">
        <w:rPr>
          <w:lang w:val="en-US"/>
        </w:rPr>
        <w:t>Further Reducing Spending on Consultants, Contractors and Labour Hire, and</w:t>
      </w:r>
      <w:r w:rsidR="00FC0395">
        <w:rPr>
          <w:lang w:val="en-US"/>
        </w:rPr>
        <w:t> </w:t>
      </w:r>
      <w:r w:rsidRPr="69C11E82">
        <w:rPr>
          <w:lang w:val="en-US"/>
        </w:rPr>
        <w:t>Non‑wage Expenses</w:t>
      </w:r>
    </w:p>
    <w:p w14:paraId="73B3B486"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EFF297F" w14:textId="77777777" w:rsidTr="00825163">
        <w:trPr>
          <w:cantSplit/>
        </w:trPr>
        <w:tc>
          <w:tcPr>
            <w:tcW w:w="2501" w:type="dxa"/>
            <w:tcBorders>
              <w:top w:val="single" w:sz="4" w:space="0" w:color="293F5B"/>
              <w:bottom w:val="single" w:sz="4" w:space="0" w:color="293F5B"/>
            </w:tcBorders>
          </w:tcPr>
          <w:p w14:paraId="502172A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E38B282"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024FB6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5CD272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A65199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39324FF" w14:textId="77777777" w:rsidR="00BB2CB4" w:rsidRPr="00222C32" w:rsidRDefault="000674DA">
            <w:pPr>
              <w:pStyle w:val="MeasureTableYearHeadings"/>
              <w:keepNext/>
            </w:pPr>
            <w:r w:rsidRPr="00222C32">
              <w:t>2028-29</w:t>
            </w:r>
          </w:p>
        </w:tc>
      </w:tr>
      <w:tr w:rsidR="00BB2CB4" w:rsidRPr="00222C32" w14:paraId="5D3A1343" w14:textId="77777777" w:rsidTr="00825163">
        <w:trPr>
          <w:cantSplit/>
        </w:trPr>
        <w:tc>
          <w:tcPr>
            <w:tcW w:w="2501" w:type="dxa"/>
            <w:tcBorders>
              <w:top w:val="single" w:sz="4" w:space="0" w:color="293F5B"/>
              <w:bottom w:val="single" w:sz="4" w:space="0" w:color="293F5B"/>
            </w:tcBorders>
          </w:tcPr>
          <w:p w14:paraId="0DE7C555"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0F89F95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2F3F92" w14:textId="77777777" w:rsidR="00BB2CB4" w:rsidRPr="00222C32" w:rsidRDefault="000674DA">
            <w:pPr>
              <w:pStyle w:val="MeasureTableDataRightAlignedwith2ptsspacing"/>
              <w:keepNext/>
            </w:pPr>
            <w:r w:rsidRPr="00222C32">
              <w:t>-800.0</w:t>
            </w:r>
          </w:p>
        </w:tc>
        <w:tc>
          <w:tcPr>
            <w:tcW w:w="1044" w:type="dxa"/>
            <w:tcBorders>
              <w:top w:val="single" w:sz="4" w:space="0" w:color="293F5B"/>
              <w:bottom w:val="single" w:sz="4" w:space="0" w:color="293F5B"/>
            </w:tcBorders>
          </w:tcPr>
          <w:p w14:paraId="1EA68A06" w14:textId="77777777" w:rsidR="00BB2CB4" w:rsidRPr="00222C32" w:rsidRDefault="000674DA">
            <w:pPr>
              <w:pStyle w:val="MeasureTableDataRightAlignedwith2ptsspacing"/>
              <w:keepNext/>
            </w:pPr>
            <w:r w:rsidRPr="00222C32">
              <w:t>-2,000.0</w:t>
            </w:r>
          </w:p>
        </w:tc>
        <w:tc>
          <w:tcPr>
            <w:tcW w:w="1044" w:type="dxa"/>
            <w:tcBorders>
              <w:top w:val="single" w:sz="4" w:space="0" w:color="293F5B"/>
              <w:bottom w:val="single" w:sz="4" w:space="0" w:color="293F5B"/>
            </w:tcBorders>
          </w:tcPr>
          <w:p w14:paraId="7609D4AE" w14:textId="77777777" w:rsidR="00BB2CB4" w:rsidRPr="00222C32" w:rsidRDefault="000674DA">
            <w:pPr>
              <w:pStyle w:val="MeasureTableDataRightAlignedwith2ptsspacing"/>
              <w:keepNext/>
            </w:pPr>
            <w:r w:rsidRPr="00222C32">
              <w:t>-2,000.0</w:t>
            </w:r>
          </w:p>
        </w:tc>
        <w:tc>
          <w:tcPr>
            <w:tcW w:w="1044" w:type="dxa"/>
            <w:tcBorders>
              <w:top w:val="single" w:sz="4" w:space="0" w:color="293F5B"/>
              <w:bottom w:val="single" w:sz="4" w:space="0" w:color="293F5B"/>
            </w:tcBorders>
          </w:tcPr>
          <w:p w14:paraId="72310281" w14:textId="77777777" w:rsidR="00BB2CB4" w:rsidRPr="00222C32" w:rsidRDefault="000674DA">
            <w:pPr>
              <w:pStyle w:val="MeasureTableDataRightAlignedwith2ptsspacing"/>
              <w:keepNext/>
            </w:pPr>
            <w:r w:rsidRPr="00222C32">
              <w:t>-2,000.0</w:t>
            </w:r>
          </w:p>
        </w:tc>
      </w:tr>
    </w:tbl>
    <w:p w14:paraId="75976ABB" w14:textId="77777777" w:rsidR="000615EC" w:rsidRDefault="000615EC" w:rsidP="000615EC">
      <w:pPr>
        <w:pStyle w:val="SingleParagraph"/>
      </w:pPr>
    </w:p>
    <w:p w14:paraId="17A2F7F9" w14:textId="77777777" w:rsidR="00BB2CB4" w:rsidRDefault="000674DA">
      <w:pPr>
        <w:pStyle w:val="Normal2"/>
      </w:pPr>
      <w:r w:rsidRPr="42F5CE43">
        <w:rPr>
          <w:lang w:val="en-US"/>
        </w:rPr>
        <w:t>The Government will achieve savings of $6.8 billion over four years from 2025–‍26 by further reducing spending on external labour and other non‑wage expenses like travel, hospitality, and property. Savings include:</w:t>
      </w:r>
    </w:p>
    <w:p w14:paraId="620FC42D" w14:textId="137A8ECB" w:rsidR="00BB2CB4" w:rsidRDefault="000674DA">
      <w:pPr>
        <w:pStyle w:val="Bullet"/>
      </w:pPr>
      <w:r>
        <w:t>$6.4 billion over four years from 2025–‍26 to deliver on the Government</w:t>
      </w:r>
      <w:r w:rsidR="00222C32">
        <w:t>’</w:t>
      </w:r>
      <w:r>
        <w:t>s election commitment made during the 2025</w:t>
      </w:r>
      <w:r w:rsidR="00C66B6B">
        <w:t> federal</w:t>
      </w:r>
      <w:r>
        <w:t xml:space="preserve"> election</w:t>
      </w:r>
    </w:p>
    <w:p w14:paraId="11E5DF72" w14:textId="77777777" w:rsidR="00BB2CB4" w:rsidRDefault="000674DA">
      <w:pPr>
        <w:pStyle w:val="Bullet"/>
      </w:pPr>
      <w:r>
        <w:t>an additional $400.0 million in 2026–‍27.</w:t>
      </w:r>
    </w:p>
    <w:p w14:paraId="3AB9DDE0" w14:textId="77777777" w:rsidR="00BB2CB4" w:rsidRDefault="000674DA">
      <w:pPr>
        <w:pStyle w:val="Normal2"/>
      </w:pPr>
      <w:r>
        <w:t>To support the Australian Public Service to reduce its reliance on external consultants, the Government will expand and make permanent Australian Government Consulting in the Department of the Prime Minister and Cabinet, with the in‑house public service consultancy to grow to up to 150 people over the next four years. Australian Government Consulting will transition to a full cost‑recovery basis from 2026–‍27.</w:t>
      </w:r>
    </w:p>
    <w:p w14:paraId="07819C77" w14:textId="77777777" w:rsidR="00BB2CB4" w:rsidRDefault="000674DA">
      <w:pPr>
        <w:pStyle w:val="Normal2"/>
      </w:pPr>
      <w:r w:rsidRPr="42F5CE43">
        <w:rPr>
          <w:lang w:val="en-US"/>
        </w:rPr>
        <w:t>This measure builds on previous Budget measures reducing spending on external labour and non‑wage expenses, bringing the total savings from reducing spending on external labour and non‑wage expenses to $12.1 billion since 2022–‍23.</w:t>
      </w:r>
    </w:p>
    <w:p w14:paraId="125C3CA7" w14:textId="5FC4B2F9"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778F87B7" w14:textId="04B4E90E" w:rsidR="00BB2CB4" w:rsidRDefault="000674DA">
      <w:pPr>
        <w:pStyle w:val="MeasureTitle"/>
      </w:pPr>
      <w:r>
        <w:lastRenderedPageBreak/>
        <w:t>Investing in Australia</w:t>
      </w:r>
      <w:r w:rsidR="00222C32">
        <w:t>’</w:t>
      </w:r>
      <w:r>
        <w:t>s Critical Minerals</w:t>
      </w:r>
    </w:p>
    <w:p w14:paraId="58566865"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110D379" w14:textId="77777777" w:rsidTr="00825163">
        <w:trPr>
          <w:cantSplit/>
        </w:trPr>
        <w:tc>
          <w:tcPr>
            <w:tcW w:w="2501" w:type="dxa"/>
            <w:tcBorders>
              <w:top w:val="single" w:sz="4" w:space="0" w:color="293F5B"/>
              <w:bottom w:val="single" w:sz="4" w:space="0" w:color="293F5B"/>
            </w:tcBorders>
          </w:tcPr>
          <w:p w14:paraId="05EFE0B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E8C367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411CA8B"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9941E7E"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262CC7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34B0BCE" w14:textId="77777777" w:rsidR="00BB2CB4" w:rsidRPr="00222C32" w:rsidRDefault="000674DA">
            <w:pPr>
              <w:pStyle w:val="MeasureTableYearHeadings"/>
              <w:keepNext/>
            </w:pPr>
            <w:r w:rsidRPr="00222C32">
              <w:t>2028-29</w:t>
            </w:r>
          </w:p>
        </w:tc>
      </w:tr>
      <w:tr w:rsidR="00BB2CB4" w:rsidRPr="00222C32" w14:paraId="7C353C11" w14:textId="77777777" w:rsidTr="00825163">
        <w:trPr>
          <w:cantSplit/>
        </w:trPr>
        <w:tc>
          <w:tcPr>
            <w:tcW w:w="2501" w:type="dxa"/>
            <w:tcBorders>
              <w:top w:val="single" w:sz="4" w:space="0" w:color="293F5B"/>
              <w:bottom w:val="single" w:sz="4" w:space="0" w:color="293F5B"/>
            </w:tcBorders>
          </w:tcPr>
          <w:p w14:paraId="0D8DA98B"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0EADF22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22F3535"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2818FBD6"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61820274"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53A50171" w14:textId="77777777" w:rsidR="00BB2CB4" w:rsidRPr="00222C32" w:rsidRDefault="000674DA">
            <w:pPr>
              <w:pStyle w:val="MeasureTableDataRightAlignedwith2ptsspacing"/>
              <w:keepNext/>
            </w:pPr>
            <w:r w:rsidRPr="00222C32">
              <w:t>nfp</w:t>
            </w:r>
          </w:p>
        </w:tc>
      </w:tr>
    </w:tbl>
    <w:p w14:paraId="11BE9FDE" w14:textId="77777777" w:rsidR="000615EC" w:rsidRDefault="000615EC" w:rsidP="000615EC">
      <w:pPr>
        <w:pStyle w:val="SingleParagraph"/>
      </w:pPr>
    </w:p>
    <w:p w14:paraId="530F10AD" w14:textId="1812E143" w:rsidR="00BB2CB4" w:rsidRDefault="000674DA">
      <w:pPr>
        <w:pStyle w:val="Normal2"/>
      </w:pPr>
      <w:r w:rsidRPr="69C11E82">
        <w:rPr>
          <w:lang w:val="en-US"/>
        </w:rPr>
        <w:t>The Government will provide approximately AUD</w:t>
      </w:r>
      <w:r w:rsidR="00F01067">
        <w:rPr>
          <w:lang w:val="en-US"/>
        </w:rPr>
        <w:t>160.9</w:t>
      </w:r>
      <w:r w:rsidRPr="69C11E82">
        <w:rPr>
          <w:lang w:val="en-US"/>
        </w:rPr>
        <w:t> million to support the development of Australia</w:t>
      </w:r>
      <w:r w:rsidR="00222C32" w:rsidRPr="69C11E82">
        <w:rPr>
          <w:lang w:val="en-US"/>
        </w:rPr>
        <w:t>’</w:t>
      </w:r>
      <w:r w:rsidRPr="69C11E82">
        <w:rPr>
          <w:lang w:val="en-US"/>
        </w:rPr>
        <w:t>s critical minerals industry to produce and benefit from resources that are essential to Australia</w:t>
      </w:r>
      <w:r w:rsidR="00222C32" w:rsidRPr="69C11E82">
        <w:rPr>
          <w:lang w:val="en-US"/>
        </w:rPr>
        <w:t>’</w:t>
      </w:r>
      <w:r w:rsidRPr="69C11E82">
        <w:rPr>
          <w:lang w:val="en-US"/>
        </w:rPr>
        <w:t>s national interest. Funding includes:</w:t>
      </w:r>
    </w:p>
    <w:p w14:paraId="03FF94D1" w14:textId="6B1993F0" w:rsidR="00BB2CB4" w:rsidRDefault="000674DA">
      <w:pPr>
        <w:pStyle w:val="Bullet"/>
      </w:pPr>
      <w:r>
        <w:t>USD100.0 million (approximately AUD154.1 million) in equity financing to Arafura Rare Earths for the Nolans Rare Earths project in the Northern Territory. This builds on existing Government support provided to the Nolans Rare Earth</w:t>
      </w:r>
      <w:r w:rsidR="00655FA0">
        <w:t>s</w:t>
      </w:r>
      <w:r>
        <w:t xml:space="preserve"> project including USD325.0 million (approximately AUD493.0 million) in debt financing on the Critical Minerals Facility, up to USD130.0 million (approximately AUD200.0 million) through the Northern Australia Infrastructure Facility, USD75.0 million (approximately AUD115.0 million) on Export Finance Australia</w:t>
      </w:r>
      <w:r w:rsidR="00222C32">
        <w:t>’</w:t>
      </w:r>
      <w:r>
        <w:t>s Commercial Account, AUD200.0 million cornerstone investment through the National Reconstruction Fund Corporation, and AUD30.0 million provided through the Modern Manufacturing Initiative</w:t>
      </w:r>
    </w:p>
    <w:p w14:paraId="443175CB" w14:textId="77777777" w:rsidR="00BB2CB4" w:rsidRDefault="000674DA">
      <w:pPr>
        <w:pStyle w:val="Bullet"/>
      </w:pPr>
      <w:r>
        <w:t>AUD6.8 million in 2025–‍26 to the Department of Foreign Affairs and Trade, the Department of Industry, Science and Resources, and the Department of the Prime Minister and Cabinet to support the establishment of the Critical Minerals Strategic Reserve.</w:t>
      </w:r>
    </w:p>
    <w:p w14:paraId="060033AD" w14:textId="6E3B72FC" w:rsidR="00F01067" w:rsidRDefault="00F01067" w:rsidP="00825163">
      <w:pPr>
        <w:pStyle w:val="Normal2"/>
      </w:pPr>
      <w:r>
        <w:t>The Australian Government will also provide equity financing to Alcoa of Australia for the Alcoa‑Sojitz Gallium Recovery Project in Wagerup, Western Australia. The Australian Government will invest alongside the US Government and Alcoa of Australia in a joint venture with the Japan Organization for Metals and Energy Security and Sojitz Corporation.</w:t>
      </w:r>
    </w:p>
    <w:p w14:paraId="3880D7F8" w14:textId="77777777" w:rsidR="00BB2CB4" w:rsidRDefault="000674DA">
      <w:pPr>
        <w:pStyle w:val="Normal2"/>
      </w:pPr>
      <w:r>
        <w:t>The Government has also increased the size of the Critical Minerals Facility on the National Interest Account from AUD4.0 billion to AUD5.0 billion to support the delivery of the Critical Minerals Strategic Reserve and further development of Australian critical minerals projects.</w:t>
      </w:r>
    </w:p>
    <w:p w14:paraId="41EA1C29" w14:textId="77777777" w:rsidR="00BB2CB4" w:rsidRDefault="000674DA">
      <w:pPr>
        <w:pStyle w:val="Normal2"/>
      </w:pPr>
      <w:r w:rsidRPr="69C11E82">
        <w:rPr>
          <w:lang w:val="en-US"/>
        </w:rPr>
        <w:t>The financial implications for some elements of this measure are not for publication (nfp) as details would disclose individual financing arrangements with third parties.</w:t>
      </w:r>
    </w:p>
    <w:p w14:paraId="4D472D48" w14:textId="77777777" w:rsidR="00BB2CB4" w:rsidRDefault="000674DA">
      <w:pPr>
        <w:pStyle w:val="Normal2"/>
      </w:pPr>
      <w:r>
        <w:t xml:space="preserve">This measure builds on the 2024–‍25 Budget measure titled </w:t>
      </w:r>
      <w:r w:rsidRPr="000674DA">
        <w:rPr>
          <w:i/>
        </w:rPr>
        <w:t xml:space="preserve">Future Made in Australia – Making Australia a Renewable Energy Superpower </w:t>
      </w:r>
      <w:r>
        <w:t>and the 2023–‍24 MYEFO measure titled</w:t>
      </w:r>
      <w:r w:rsidRPr="000674DA">
        <w:rPr>
          <w:i/>
        </w:rPr>
        <w:t xml:space="preserve"> Working with the Australian Critical Minerals Industry to Unlock Investment in Enabling Infrastructure.</w:t>
      </w:r>
    </w:p>
    <w:p w14:paraId="3EA0FB92" w14:textId="5B62A6F1" w:rsidR="00BB2CB4" w:rsidRDefault="000674DA">
      <w:pPr>
        <w:pStyle w:val="Normal2"/>
      </w:pPr>
      <w:r>
        <w:t>Parts of this measure deliver on the Government</w:t>
      </w:r>
      <w:r w:rsidR="00222C32">
        <w:t>’</w:t>
      </w:r>
      <w:r>
        <w:t>s election commitments made during the 2025</w:t>
      </w:r>
      <w:r w:rsidR="00C66B6B">
        <w:t> federal</w:t>
      </w:r>
      <w:r>
        <w:t xml:space="preserve"> election.</w:t>
      </w:r>
    </w:p>
    <w:p w14:paraId="40DFF6C4" w14:textId="77777777" w:rsidR="00BB2CB4" w:rsidRDefault="000674DA">
      <w:pPr>
        <w:pStyle w:val="MeasureTitle"/>
        <w:rPr>
          <w:lang w:val="en-US"/>
        </w:rPr>
      </w:pPr>
      <w:r w:rsidRPr="69C11E82">
        <w:rPr>
          <w:lang w:val="en-US"/>
        </w:rPr>
        <w:lastRenderedPageBreak/>
        <w:t>Support for Community Sector Organisations</w:t>
      </w:r>
    </w:p>
    <w:p w14:paraId="6B0A982A"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D3C5B22" w14:textId="77777777" w:rsidTr="00825163">
        <w:trPr>
          <w:cantSplit/>
        </w:trPr>
        <w:tc>
          <w:tcPr>
            <w:tcW w:w="2501" w:type="dxa"/>
            <w:tcBorders>
              <w:top w:val="single" w:sz="4" w:space="0" w:color="293F5B"/>
              <w:bottom w:val="single" w:sz="4" w:space="0" w:color="293F5B"/>
            </w:tcBorders>
          </w:tcPr>
          <w:p w14:paraId="107C70BB"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0FD77F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6EF59B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752141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2DA19F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423D202" w14:textId="77777777" w:rsidR="00BB2CB4" w:rsidRPr="00222C32" w:rsidRDefault="000674DA">
            <w:pPr>
              <w:pStyle w:val="MeasureTableYearHeadings"/>
              <w:keepNext/>
            </w:pPr>
            <w:r w:rsidRPr="00222C32">
              <w:t>2028-29</w:t>
            </w:r>
          </w:p>
        </w:tc>
      </w:tr>
      <w:tr w:rsidR="00BB2CB4" w:rsidRPr="00222C32" w14:paraId="533FCFA9" w14:textId="77777777" w:rsidTr="00825163">
        <w:trPr>
          <w:cantSplit/>
        </w:trPr>
        <w:tc>
          <w:tcPr>
            <w:tcW w:w="2501" w:type="dxa"/>
            <w:tcBorders>
              <w:top w:val="single" w:sz="4" w:space="0" w:color="293F5B"/>
              <w:bottom w:val="single" w:sz="4" w:space="0" w:color="293F5B"/>
            </w:tcBorders>
          </w:tcPr>
          <w:p w14:paraId="6F812155" w14:textId="77777777" w:rsidR="00BB2CB4" w:rsidRPr="00222C32" w:rsidRDefault="000674DA">
            <w:pPr>
              <w:pStyle w:val="MeasureTableHeadingleftalignedwith2ptsspacing"/>
              <w:keepNext/>
            </w:pPr>
            <w:r w:rsidRPr="00222C32">
              <w:t>Various Agencies</w:t>
            </w:r>
          </w:p>
        </w:tc>
        <w:tc>
          <w:tcPr>
            <w:tcW w:w="1044" w:type="dxa"/>
            <w:tcBorders>
              <w:top w:val="single" w:sz="4" w:space="0" w:color="293F5B"/>
              <w:bottom w:val="single" w:sz="4" w:space="0" w:color="293F5B"/>
            </w:tcBorders>
          </w:tcPr>
          <w:p w14:paraId="47E8AEF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48E1C8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AE8D06B" w14:textId="77777777" w:rsidR="00BB2CB4" w:rsidRPr="00222C32" w:rsidRDefault="000674DA">
            <w:pPr>
              <w:pStyle w:val="MeasureTableDataRightAlignedwith2ptsspacing"/>
              <w:keepNext/>
            </w:pPr>
            <w:r w:rsidRPr="00222C32">
              <w:t>41.0</w:t>
            </w:r>
          </w:p>
        </w:tc>
        <w:tc>
          <w:tcPr>
            <w:tcW w:w="1044" w:type="dxa"/>
            <w:tcBorders>
              <w:top w:val="single" w:sz="4" w:space="0" w:color="293F5B"/>
              <w:bottom w:val="single" w:sz="4" w:space="0" w:color="293F5B"/>
            </w:tcBorders>
          </w:tcPr>
          <w:p w14:paraId="709051E4" w14:textId="77777777" w:rsidR="00BB2CB4" w:rsidRPr="00222C32" w:rsidRDefault="000674DA">
            <w:pPr>
              <w:pStyle w:val="MeasureTableDataRightAlignedwith2ptsspacing"/>
              <w:keepNext/>
            </w:pPr>
            <w:r w:rsidRPr="00222C32">
              <w:t>22.4</w:t>
            </w:r>
          </w:p>
        </w:tc>
        <w:tc>
          <w:tcPr>
            <w:tcW w:w="1044" w:type="dxa"/>
            <w:tcBorders>
              <w:top w:val="single" w:sz="4" w:space="0" w:color="293F5B"/>
              <w:bottom w:val="single" w:sz="4" w:space="0" w:color="293F5B"/>
            </w:tcBorders>
          </w:tcPr>
          <w:p w14:paraId="6BA27A6E" w14:textId="77777777" w:rsidR="00BB2CB4" w:rsidRPr="00222C32" w:rsidRDefault="000674DA">
            <w:pPr>
              <w:pStyle w:val="MeasureTableDataRightAlignedwith2ptsspacing"/>
              <w:keepNext/>
            </w:pPr>
            <w:r w:rsidRPr="00222C32">
              <w:t>-</w:t>
            </w:r>
          </w:p>
        </w:tc>
      </w:tr>
    </w:tbl>
    <w:p w14:paraId="6E73D2D1" w14:textId="77777777" w:rsidR="006616DE" w:rsidRDefault="006616DE" w:rsidP="006616DE">
      <w:pPr>
        <w:pStyle w:val="SingleParagraph"/>
      </w:pPr>
    </w:p>
    <w:p w14:paraId="0EFB938A" w14:textId="52A204B8" w:rsidR="00BB2CB4" w:rsidRDefault="000674DA">
      <w:pPr>
        <w:pStyle w:val="Normal2"/>
      </w:pPr>
      <w:r w:rsidRPr="69C11E82">
        <w:rPr>
          <w:lang w:val="en-US"/>
        </w:rPr>
        <w:t>The Government will provide additional funding of $63.4 million over two years from 2026–‍27 to extend support for Community Sector Organisations (CSOs). This measure maintains funding levels for CSOs pending the effect of the Government</w:t>
      </w:r>
      <w:r w:rsidR="00222C32" w:rsidRPr="69C11E82">
        <w:rPr>
          <w:lang w:val="en-US"/>
        </w:rPr>
        <w:t>’</w:t>
      </w:r>
      <w:r w:rsidRPr="69C11E82">
        <w:rPr>
          <w:lang w:val="en-US"/>
        </w:rPr>
        <w:t>s reforms to the indexation framework.</w:t>
      </w:r>
    </w:p>
    <w:p w14:paraId="6457C05D" w14:textId="77777777" w:rsidR="00BB2CB4" w:rsidRDefault="000674DA">
      <w:pPr>
        <w:pStyle w:val="Normal2"/>
      </w:pPr>
      <w:r w:rsidRPr="69C11E82">
        <w:rPr>
          <w:lang w:val="en-US"/>
        </w:rPr>
        <w:t xml:space="preserve">This measure extends the 2022–‍23 October Budget measure titled </w:t>
      </w:r>
      <w:r w:rsidRPr="69C11E82">
        <w:rPr>
          <w:i/>
          <w:lang w:val="en-US"/>
        </w:rPr>
        <w:t>Support for Community Sector Organisations.</w:t>
      </w:r>
    </w:p>
    <w:p w14:paraId="157BA893" w14:textId="77777777" w:rsidR="00BB2CB4" w:rsidRDefault="00BB2CB4">
      <w:pPr>
        <w:sectPr w:rsidR="00BB2CB4" w:rsidSect="00301ACF">
          <w:headerReference w:type="even" r:id="rId67"/>
          <w:headerReference w:type="default" r:id="rId68"/>
          <w:footerReference w:type="even" r:id="rId69"/>
          <w:footerReference w:type="default" r:id="rId70"/>
          <w:headerReference w:type="first" r:id="rId71"/>
          <w:footerReference w:type="first" r:id="rId72"/>
          <w:pgSz w:w="11906" w:h="16838" w:code="9"/>
          <w:pgMar w:top="2835" w:right="2098" w:bottom="2466" w:left="2098" w:header="1814" w:footer="1814" w:gutter="0"/>
          <w:cols w:space="720"/>
          <w:docGrid w:linePitch="272"/>
        </w:sectPr>
      </w:pPr>
    </w:p>
    <w:p w14:paraId="43FEBB63" w14:textId="7D7AE3FE" w:rsidR="00BB2CB4" w:rsidRDefault="000674DA" w:rsidP="00AD5404">
      <w:pPr>
        <w:pStyle w:val="PortfolioName"/>
        <w:spacing w:before="0"/>
        <w:rPr>
          <w:lang w:val="en-US"/>
        </w:rPr>
      </w:pPr>
      <w:r w:rsidRPr="69C11E82">
        <w:rPr>
          <w:lang w:val="en-US"/>
        </w:rPr>
        <w:lastRenderedPageBreak/>
        <w:t>Defence</w:t>
      </w:r>
    </w:p>
    <w:p w14:paraId="1E679058" w14:textId="77777777" w:rsidR="00BB2CB4" w:rsidRDefault="000674DA">
      <w:pPr>
        <w:pStyle w:val="MeasureTitle"/>
      </w:pPr>
      <w:r>
        <w:t>Australian War Memorial – financial sustainability and redevelopment completion</w:t>
      </w:r>
    </w:p>
    <w:p w14:paraId="06194F79"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B60D567" w14:textId="77777777" w:rsidTr="008B0AF4">
        <w:trPr>
          <w:cantSplit/>
        </w:trPr>
        <w:tc>
          <w:tcPr>
            <w:tcW w:w="2501" w:type="dxa"/>
            <w:tcBorders>
              <w:top w:val="single" w:sz="4" w:space="0" w:color="293F5B"/>
              <w:bottom w:val="single" w:sz="4" w:space="0" w:color="293F5B"/>
            </w:tcBorders>
          </w:tcPr>
          <w:p w14:paraId="140A7DB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185CE7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54F78A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4D4D0E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35FCC4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D2D3BEC" w14:textId="77777777" w:rsidR="00BB2CB4" w:rsidRPr="00222C32" w:rsidRDefault="000674DA">
            <w:pPr>
              <w:pStyle w:val="MeasureTableYearHeadings"/>
              <w:keepNext/>
            </w:pPr>
            <w:r w:rsidRPr="00222C32">
              <w:t>2028-29</w:t>
            </w:r>
          </w:p>
        </w:tc>
      </w:tr>
      <w:tr w:rsidR="00BB2CB4" w:rsidRPr="00222C32" w14:paraId="720A618D" w14:textId="77777777" w:rsidTr="00825163">
        <w:trPr>
          <w:cantSplit/>
        </w:trPr>
        <w:tc>
          <w:tcPr>
            <w:tcW w:w="2501" w:type="dxa"/>
            <w:tcBorders>
              <w:top w:val="single" w:sz="4" w:space="0" w:color="293F5B"/>
              <w:bottom w:val="single" w:sz="4" w:space="0" w:color="293F5B"/>
            </w:tcBorders>
          </w:tcPr>
          <w:p w14:paraId="5CE7B63E" w14:textId="77777777" w:rsidR="00BB2CB4" w:rsidRPr="00222C32" w:rsidRDefault="000674DA">
            <w:pPr>
              <w:pStyle w:val="MeasureTableHeadingleftalignedwith2ptsspacing"/>
              <w:keepNext/>
            </w:pPr>
            <w:r w:rsidRPr="00222C32">
              <w:t>Australian War Memorial</w:t>
            </w:r>
          </w:p>
        </w:tc>
        <w:tc>
          <w:tcPr>
            <w:tcW w:w="1044" w:type="dxa"/>
            <w:tcBorders>
              <w:top w:val="single" w:sz="4" w:space="0" w:color="293F5B"/>
              <w:bottom w:val="single" w:sz="4" w:space="0" w:color="293F5B"/>
            </w:tcBorders>
          </w:tcPr>
          <w:p w14:paraId="404762F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DAC2334" w14:textId="77777777" w:rsidR="00BB2CB4" w:rsidRPr="00222C32" w:rsidRDefault="000674DA">
            <w:pPr>
              <w:pStyle w:val="MeasureTableDataRightAlignedwith2ptsspacing"/>
              <w:keepNext/>
            </w:pPr>
            <w:r w:rsidRPr="00222C32">
              <w:t>25.4</w:t>
            </w:r>
          </w:p>
        </w:tc>
        <w:tc>
          <w:tcPr>
            <w:tcW w:w="1044" w:type="dxa"/>
            <w:tcBorders>
              <w:top w:val="single" w:sz="4" w:space="0" w:color="293F5B"/>
              <w:bottom w:val="single" w:sz="4" w:space="0" w:color="293F5B"/>
            </w:tcBorders>
          </w:tcPr>
          <w:p w14:paraId="1FCF3F56" w14:textId="77777777" w:rsidR="00BB2CB4" w:rsidRPr="00222C32" w:rsidRDefault="000674DA">
            <w:pPr>
              <w:pStyle w:val="MeasureTableDataRightAlignedwith2ptsspacing"/>
              <w:keepNext/>
            </w:pPr>
            <w:r w:rsidRPr="00222C32">
              <w:t>34.2</w:t>
            </w:r>
          </w:p>
        </w:tc>
        <w:tc>
          <w:tcPr>
            <w:tcW w:w="1044" w:type="dxa"/>
            <w:tcBorders>
              <w:top w:val="single" w:sz="4" w:space="0" w:color="293F5B"/>
              <w:bottom w:val="single" w:sz="4" w:space="0" w:color="293F5B"/>
            </w:tcBorders>
          </w:tcPr>
          <w:p w14:paraId="6CBD779E" w14:textId="77777777" w:rsidR="00BB2CB4" w:rsidRPr="00222C32" w:rsidRDefault="000674DA">
            <w:pPr>
              <w:pStyle w:val="MeasureTableDataRightAlignedwith2ptsspacing"/>
              <w:keepNext/>
            </w:pPr>
            <w:r w:rsidRPr="00222C32">
              <w:t>35.2</w:t>
            </w:r>
          </w:p>
        </w:tc>
        <w:tc>
          <w:tcPr>
            <w:tcW w:w="1044" w:type="dxa"/>
            <w:tcBorders>
              <w:top w:val="single" w:sz="4" w:space="0" w:color="293F5B"/>
              <w:bottom w:val="single" w:sz="4" w:space="0" w:color="293F5B"/>
            </w:tcBorders>
          </w:tcPr>
          <w:p w14:paraId="3BA2DD23" w14:textId="77777777" w:rsidR="00BB2CB4" w:rsidRPr="00222C32" w:rsidRDefault="000674DA">
            <w:pPr>
              <w:pStyle w:val="MeasureTableDataRightAlignedwith2ptsspacing"/>
              <w:keepNext/>
            </w:pPr>
            <w:r w:rsidRPr="00222C32">
              <w:t>24.3</w:t>
            </w:r>
          </w:p>
        </w:tc>
      </w:tr>
    </w:tbl>
    <w:p w14:paraId="2F4C70D2" w14:textId="77777777" w:rsidR="00193A16" w:rsidRDefault="00193A16" w:rsidP="00193A16">
      <w:pPr>
        <w:pStyle w:val="SingleParagraph"/>
      </w:pPr>
    </w:p>
    <w:p w14:paraId="18F2FB85" w14:textId="77777777" w:rsidR="00BB2CB4" w:rsidRDefault="000674DA">
      <w:pPr>
        <w:pStyle w:val="Normal2"/>
      </w:pPr>
      <w:r w:rsidRPr="69C11E82">
        <w:rPr>
          <w:lang w:val="en-US"/>
        </w:rPr>
        <w:t>The Government will provide additional funding of $119.2 million over four years from 2025–‍26 (and $24.7 million per year ongoing) to support the financial sustainability of the Australian War Memorial and the completion of its redevelopment in 2026, including to operate the newly expanded memorial building.</w:t>
      </w:r>
    </w:p>
    <w:p w14:paraId="3CA7D31E" w14:textId="77777777" w:rsidR="00BB2CB4" w:rsidRDefault="000674DA">
      <w:pPr>
        <w:pStyle w:val="Normal2"/>
      </w:pPr>
      <w:r>
        <w:t>Partial funding for this measure will be held in the Contingency Reserve until the Australian War Memorial has completed its redevelopment project.</w:t>
      </w:r>
    </w:p>
    <w:p w14:paraId="0D5AE96A" w14:textId="733E08C9" w:rsidR="00BB2CB4" w:rsidRDefault="000674DA">
      <w:pPr>
        <w:pStyle w:val="Normal2"/>
      </w:pPr>
      <w:r w:rsidRPr="69C11E82">
        <w:rPr>
          <w:lang w:val="en-US"/>
        </w:rPr>
        <w:t>The cost of this measure will be met from savings identified in the Veterans</w:t>
      </w:r>
      <w:r w:rsidR="00222C32" w:rsidRPr="69C11E82">
        <w:rPr>
          <w:lang w:val="en-US"/>
        </w:rPr>
        <w:t>’</w:t>
      </w:r>
      <w:r w:rsidRPr="69C11E82">
        <w:rPr>
          <w:lang w:val="en-US"/>
        </w:rPr>
        <w:t xml:space="preserve"> Affairs portfolio.</w:t>
      </w:r>
    </w:p>
    <w:p w14:paraId="73B92DDE" w14:textId="77777777" w:rsidR="00BB2CB4" w:rsidRDefault="000674DA">
      <w:pPr>
        <w:pStyle w:val="MeasureTitle"/>
      </w:pPr>
      <w:r w:rsidRPr="69C11E82">
        <w:rPr>
          <w:lang w:val="en-US"/>
        </w:rPr>
        <w:t>Continued Defence Support to Ukraine</w:t>
      </w:r>
    </w:p>
    <w:p w14:paraId="22219DDA"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90B2562" w14:textId="77777777" w:rsidTr="00825163">
        <w:trPr>
          <w:cantSplit/>
        </w:trPr>
        <w:tc>
          <w:tcPr>
            <w:tcW w:w="2501" w:type="dxa"/>
            <w:tcBorders>
              <w:top w:val="single" w:sz="4" w:space="0" w:color="293F5B"/>
              <w:bottom w:val="single" w:sz="4" w:space="0" w:color="293F5B"/>
            </w:tcBorders>
          </w:tcPr>
          <w:p w14:paraId="7EB185F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B6C4EE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51C0AE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FDAF3B2"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DC3BAD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8E3DFBD" w14:textId="77777777" w:rsidR="00BB2CB4" w:rsidRPr="00222C32" w:rsidRDefault="000674DA">
            <w:pPr>
              <w:pStyle w:val="MeasureTableYearHeadings"/>
              <w:keepNext/>
            </w:pPr>
            <w:r w:rsidRPr="00222C32">
              <w:t>2028-29</w:t>
            </w:r>
          </w:p>
        </w:tc>
      </w:tr>
      <w:tr w:rsidR="00BB2CB4" w:rsidRPr="00222C32" w14:paraId="23811107" w14:textId="77777777" w:rsidTr="00825163">
        <w:trPr>
          <w:cantSplit/>
        </w:trPr>
        <w:tc>
          <w:tcPr>
            <w:tcW w:w="2501" w:type="dxa"/>
            <w:tcBorders>
              <w:top w:val="single" w:sz="4" w:space="0" w:color="293F5B"/>
              <w:bottom w:val="single" w:sz="4" w:space="0" w:color="293F5B"/>
            </w:tcBorders>
          </w:tcPr>
          <w:p w14:paraId="6BA604A1" w14:textId="77777777" w:rsidR="00BB2CB4" w:rsidRPr="00222C32" w:rsidRDefault="000674DA">
            <w:pPr>
              <w:pStyle w:val="MeasureTableHeadingleftalignedwith2ptsspacing"/>
              <w:keepNext/>
            </w:pPr>
            <w:r w:rsidRPr="00222C32">
              <w:t>Department of Defence</w:t>
            </w:r>
          </w:p>
        </w:tc>
        <w:tc>
          <w:tcPr>
            <w:tcW w:w="1044" w:type="dxa"/>
            <w:tcBorders>
              <w:top w:val="single" w:sz="4" w:space="0" w:color="293F5B"/>
              <w:bottom w:val="single" w:sz="4" w:space="0" w:color="293F5B"/>
            </w:tcBorders>
          </w:tcPr>
          <w:p w14:paraId="5B0C812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9C2DDE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3C6C32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B3879E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0A9F74C" w14:textId="77777777" w:rsidR="00BB2CB4" w:rsidRPr="00222C32" w:rsidRDefault="000674DA">
            <w:pPr>
              <w:pStyle w:val="MeasureTableDataRightAlignedwith2ptsspacing"/>
              <w:keepNext/>
            </w:pPr>
            <w:r w:rsidRPr="00222C32">
              <w:t>-</w:t>
            </w:r>
          </w:p>
        </w:tc>
      </w:tr>
    </w:tbl>
    <w:p w14:paraId="710D5B99" w14:textId="77777777" w:rsidR="00193A16" w:rsidRDefault="00193A16" w:rsidP="00193A16">
      <w:pPr>
        <w:pStyle w:val="SingleParagraph"/>
      </w:pPr>
    </w:p>
    <w:p w14:paraId="5489324E" w14:textId="77777777" w:rsidR="00BB2CB4" w:rsidRDefault="000674DA">
      <w:pPr>
        <w:pStyle w:val="Normal2"/>
      </w:pPr>
      <w:r w:rsidRPr="69C11E82">
        <w:rPr>
          <w:lang w:val="en-US"/>
        </w:rPr>
        <w:t>The Government will provide $95.5 million in 2025–‍26 to continue to support the Government of Ukraine including through the provision of critical Australian Defence Force military equipment.</w:t>
      </w:r>
    </w:p>
    <w:p w14:paraId="2E5BB05B" w14:textId="77777777" w:rsidR="00BB2CB4" w:rsidRDefault="000674DA">
      <w:pPr>
        <w:pStyle w:val="Normal2"/>
      </w:pPr>
      <w:r w:rsidRPr="69C11E82">
        <w:rPr>
          <w:lang w:val="en-US"/>
        </w:rPr>
        <w:t>The measure includes a $50.0 million contribution to the Prioritised Ukraine Requirements List, a joint initiative between the United States (US) and NATO, to supply critical US military equipment to Ukraine.</w:t>
      </w:r>
    </w:p>
    <w:p w14:paraId="0E895A9E" w14:textId="77777777" w:rsidR="00BB2CB4" w:rsidRDefault="000674DA">
      <w:pPr>
        <w:pStyle w:val="Normal2"/>
      </w:pPr>
      <w:r w:rsidRPr="42F5CE43">
        <w:rPr>
          <w:lang w:val="en-US"/>
        </w:rPr>
        <w:t xml:space="preserve">Since February 2022, Australia has committed over $1.7 billion in support for Ukraine, including through the provision of humanitarian assistance, vital equipment for the battlefield and the training of Ukrainian forces and related support under </w:t>
      </w:r>
      <w:r w:rsidRPr="42F5CE43">
        <w:rPr>
          <w:i/>
          <w:lang w:val="en-US"/>
        </w:rPr>
        <w:t>Operation KUDU</w:t>
      </w:r>
      <w:r w:rsidRPr="42F5CE43">
        <w:rPr>
          <w:lang w:val="en-US"/>
        </w:rPr>
        <w:t>.</w:t>
      </w:r>
    </w:p>
    <w:p w14:paraId="466624C8" w14:textId="77777777" w:rsidR="00BB2CB4" w:rsidRDefault="000674DA">
      <w:pPr>
        <w:pStyle w:val="Normal2"/>
      </w:pPr>
      <w:r w:rsidRPr="69C11E82">
        <w:rPr>
          <w:lang w:val="en-US"/>
        </w:rPr>
        <w:t>The Department of Defence will meet the cost of this measure from within existing resources.</w:t>
      </w:r>
    </w:p>
    <w:p w14:paraId="579DEE23" w14:textId="77777777" w:rsidR="00BB2CB4" w:rsidRDefault="000674DA">
      <w:pPr>
        <w:pStyle w:val="Normal2"/>
      </w:pPr>
      <w:r w:rsidRPr="69C11E82">
        <w:rPr>
          <w:lang w:val="en-US"/>
        </w:rPr>
        <w:t xml:space="preserve">This measure builds on the 2025–‍26 Budget measure titled </w:t>
      </w:r>
      <w:r w:rsidRPr="69C11E82">
        <w:rPr>
          <w:i/>
          <w:lang w:val="en-US"/>
        </w:rPr>
        <w:t>Continued Defence Support to Ukraine</w:t>
      </w:r>
      <w:r w:rsidRPr="69C11E82">
        <w:rPr>
          <w:lang w:val="en-US"/>
        </w:rPr>
        <w:t>.</w:t>
      </w:r>
    </w:p>
    <w:p w14:paraId="60C59A9E" w14:textId="77777777" w:rsidR="00BB2CB4" w:rsidRDefault="000674DA">
      <w:pPr>
        <w:pStyle w:val="MeasureTitle"/>
      </w:pPr>
      <w:r>
        <w:lastRenderedPageBreak/>
        <w:t>Continuing to Support Veterans and their Families</w:t>
      </w:r>
    </w:p>
    <w:p w14:paraId="17C97A70"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E5BC12F" w14:textId="77777777" w:rsidTr="00825163">
        <w:trPr>
          <w:cantSplit/>
        </w:trPr>
        <w:tc>
          <w:tcPr>
            <w:tcW w:w="2501" w:type="dxa"/>
          </w:tcPr>
          <w:p w14:paraId="276AE8C4" w14:textId="77777777" w:rsidR="00BB2CB4" w:rsidRPr="00222C32" w:rsidRDefault="00BB2CB4">
            <w:pPr>
              <w:pStyle w:val="MeasureTableYearHeadings"/>
              <w:keepNext/>
            </w:pPr>
          </w:p>
        </w:tc>
        <w:tc>
          <w:tcPr>
            <w:tcW w:w="1044" w:type="dxa"/>
          </w:tcPr>
          <w:p w14:paraId="4B706505" w14:textId="77777777" w:rsidR="00BB2CB4" w:rsidRPr="00222C32" w:rsidRDefault="000674DA">
            <w:pPr>
              <w:pStyle w:val="MeasureTableYearHeadings"/>
              <w:keepNext/>
            </w:pPr>
            <w:r w:rsidRPr="00222C32">
              <w:t>2024-25</w:t>
            </w:r>
          </w:p>
        </w:tc>
        <w:tc>
          <w:tcPr>
            <w:tcW w:w="1044" w:type="dxa"/>
          </w:tcPr>
          <w:p w14:paraId="31E04509" w14:textId="77777777" w:rsidR="00BB2CB4" w:rsidRPr="00222C32" w:rsidRDefault="000674DA">
            <w:pPr>
              <w:pStyle w:val="MeasureTableYearHeadings"/>
              <w:keepNext/>
            </w:pPr>
            <w:r w:rsidRPr="00222C32">
              <w:t>2025-26</w:t>
            </w:r>
          </w:p>
        </w:tc>
        <w:tc>
          <w:tcPr>
            <w:tcW w:w="1044" w:type="dxa"/>
          </w:tcPr>
          <w:p w14:paraId="03C54A68" w14:textId="77777777" w:rsidR="00BB2CB4" w:rsidRPr="00222C32" w:rsidRDefault="000674DA">
            <w:pPr>
              <w:pStyle w:val="MeasureTableYearHeadings"/>
              <w:keepNext/>
            </w:pPr>
            <w:r w:rsidRPr="00222C32">
              <w:t>2026-27</w:t>
            </w:r>
          </w:p>
        </w:tc>
        <w:tc>
          <w:tcPr>
            <w:tcW w:w="1044" w:type="dxa"/>
          </w:tcPr>
          <w:p w14:paraId="42C42CFB" w14:textId="77777777" w:rsidR="00BB2CB4" w:rsidRPr="00222C32" w:rsidRDefault="000674DA">
            <w:pPr>
              <w:pStyle w:val="MeasureTableYearHeadings"/>
              <w:keepNext/>
            </w:pPr>
            <w:r w:rsidRPr="00222C32">
              <w:t>2027-28</w:t>
            </w:r>
          </w:p>
        </w:tc>
        <w:tc>
          <w:tcPr>
            <w:tcW w:w="1044" w:type="dxa"/>
          </w:tcPr>
          <w:p w14:paraId="7AFE71AC" w14:textId="77777777" w:rsidR="00BB2CB4" w:rsidRPr="00222C32" w:rsidRDefault="000674DA">
            <w:pPr>
              <w:pStyle w:val="MeasureTableYearHeadings"/>
              <w:keepNext/>
            </w:pPr>
            <w:r w:rsidRPr="00222C32">
              <w:t>2028-29</w:t>
            </w:r>
          </w:p>
        </w:tc>
      </w:tr>
      <w:tr w:rsidR="00BB2CB4" w:rsidRPr="00222C32" w14:paraId="06EDB194" w14:textId="77777777" w:rsidTr="00825163">
        <w:trPr>
          <w:cantSplit/>
        </w:trPr>
        <w:tc>
          <w:tcPr>
            <w:tcW w:w="2501" w:type="dxa"/>
          </w:tcPr>
          <w:p w14:paraId="710ED88D" w14:textId="72AB46E3"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61968711" w14:textId="77777777" w:rsidR="00BB2CB4" w:rsidRPr="00222C32" w:rsidRDefault="000674DA">
            <w:pPr>
              <w:pStyle w:val="MeasureTableDataRightAlignedwith2ptsspacing"/>
              <w:keepNext/>
            </w:pPr>
            <w:r w:rsidRPr="00222C32">
              <w:t>-</w:t>
            </w:r>
          </w:p>
        </w:tc>
        <w:tc>
          <w:tcPr>
            <w:tcW w:w="1044" w:type="dxa"/>
          </w:tcPr>
          <w:p w14:paraId="66C87C1A" w14:textId="77777777" w:rsidR="00BB2CB4" w:rsidRPr="00222C32" w:rsidRDefault="000674DA">
            <w:pPr>
              <w:pStyle w:val="MeasureTableDataRightAlignedwith2ptsspacing"/>
              <w:keepNext/>
            </w:pPr>
            <w:r w:rsidRPr="00222C32">
              <w:t>0.9</w:t>
            </w:r>
          </w:p>
        </w:tc>
        <w:tc>
          <w:tcPr>
            <w:tcW w:w="1044" w:type="dxa"/>
          </w:tcPr>
          <w:p w14:paraId="344DE4FC" w14:textId="77777777" w:rsidR="00BB2CB4" w:rsidRPr="00222C32" w:rsidRDefault="000674DA">
            <w:pPr>
              <w:pStyle w:val="MeasureTableDataRightAlignedwith2ptsspacing"/>
              <w:keepNext/>
            </w:pPr>
            <w:r w:rsidRPr="00222C32">
              <w:t>38.2</w:t>
            </w:r>
          </w:p>
        </w:tc>
        <w:tc>
          <w:tcPr>
            <w:tcW w:w="1044" w:type="dxa"/>
          </w:tcPr>
          <w:p w14:paraId="2B5674D6" w14:textId="77777777" w:rsidR="00BB2CB4" w:rsidRPr="00222C32" w:rsidRDefault="000674DA">
            <w:pPr>
              <w:pStyle w:val="MeasureTableDataRightAlignedwith2ptsspacing"/>
              <w:keepNext/>
            </w:pPr>
            <w:r w:rsidRPr="00222C32">
              <w:t>37.9</w:t>
            </w:r>
          </w:p>
        </w:tc>
        <w:tc>
          <w:tcPr>
            <w:tcW w:w="1044" w:type="dxa"/>
          </w:tcPr>
          <w:p w14:paraId="2ECCEEB0" w14:textId="77777777" w:rsidR="00BB2CB4" w:rsidRPr="00222C32" w:rsidRDefault="000674DA">
            <w:pPr>
              <w:pStyle w:val="MeasureTableDataRightAlignedwith2ptsspacing"/>
              <w:keepNext/>
            </w:pPr>
            <w:r w:rsidRPr="00222C32">
              <w:t>0.3</w:t>
            </w:r>
          </w:p>
        </w:tc>
      </w:tr>
      <w:tr w:rsidR="00BB2CB4" w:rsidRPr="00222C32" w14:paraId="10A637E3" w14:textId="77777777" w:rsidTr="00825163">
        <w:trPr>
          <w:cantSplit/>
        </w:trPr>
        <w:tc>
          <w:tcPr>
            <w:tcW w:w="2501" w:type="dxa"/>
          </w:tcPr>
          <w:p w14:paraId="67C233DC" w14:textId="77777777" w:rsidR="00BB2CB4" w:rsidRPr="00222C32" w:rsidRDefault="000674DA">
            <w:pPr>
              <w:pStyle w:val="MeasureTableHeadingleftalignedwith2ptsspacing"/>
              <w:keepNext/>
            </w:pPr>
            <w:r w:rsidRPr="00222C32">
              <w:t>Department of Defence</w:t>
            </w:r>
          </w:p>
        </w:tc>
        <w:tc>
          <w:tcPr>
            <w:tcW w:w="1044" w:type="dxa"/>
          </w:tcPr>
          <w:p w14:paraId="204C6880" w14:textId="77777777" w:rsidR="00BB2CB4" w:rsidRPr="00222C32" w:rsidRDefault="000674DA">
            <w:pPr>
              <w:pStyle w:val="MeasureTableDataRightAlignedwith2ptsspacing"/>
              <w:keepNext/>
            </w:pPr>
            <w:r w:rsidRPr="00222C32">
              <w:t>-</w:t>
            </w:r>
          </w:p>
        </w:tc>
        <w:tc>
          <w:tcPr>
            <w:tcW w:w="1044" w:type="dxa"/>
          </w:tcPr>
          <w:p w14:paraId="2E51A75B" w14:textId="77777777" w:rsidR="00BB2CB4" w:rsidRPr="00222C32" w:rsidRDefault="000674DA">
            <w:pPr>
              <w:pStyle w:val="MeasureTableDataRightAlignedwith2ptsspacing"/>
              <w:keepNext/>
            </w:pPr>
            <w:r w:rsidRPr="00222C32">
              <w:t>-</w:t>
            </w:r>
          </w:p>
        </w:tc>
        <w:tc>
          <w:tcPr>
            <w:tcW w:w="1044" w:type="dxa"/>
          </w:tcPr>
          <w:p w14:paraId="0D8E1206" w14:textId="77777777" w:rsidR="00BB2CB4" w:rsidRPr="00222C32" w:rsidRDefault="000674DA">
            <w:pPr>
              <w:pStyle w:val="MeasureTableDataRightAlignedwith2ptsspacing"/>
              <w:keepNext/>
            </w:pPr>
            <w:r w:rsidRPr="00222C32">
              <w:t>-</w:t>
            </w:r>
          </w:p>
        </w:tc>
        <w:tc>
          <w:tcPr>
            <w:tcW w:w="1044" w:type="dxa"/>
          </w:tcPr>
          <w:p w14:paraId="1E5619FE" w14:textId="77777777" w:rsidR="00BB2CB4" w:rsidRPr="00222C32" w:rsidRDefault="000674DA">
            <w:pPr>
              <w:pStyle w:val="MeasureTableDataRightAlignedwith2ptsspacing"/>
              <w:keepNext/>
            </w:pPr>
            <w:r w:rsidRPr="00222C32">
              <w:t>-</w:t>
            </w:r>
          </w:p>
        </w:tc>
        <w:tc>
          <w:tcPr>
            <w:tcW w:w="1044" w:type="dxa"/>
          </w:tcPr>
          <w:p w14:paraId="682FE662" w14:textId="77777777" w:rsidR="00BB2CB4" w:rsidRPr="00222C32" w:rsidRDefault="000674DA">
            <w:pPr>
              <w:pStyle w:val="MeasureTableDataRightAlignedwith2ptsspacing"/>
              <w:keepNext/>
            </w:pPr>
            <w:r w:rsidRPr="00222C32">
              <w:t>-</w:t>
            </w:r>
          </w:p>
        </w:tc>
      </w:tr>
      <w:tr w:rsidR="00BB2CB4" w:rsidRPr="00222C32" w14:paraId="3FCF8204" w14:textId="77777777" w:rsidTr="00825163">
        <w:trPr>
          <w:cantSplit/>
        </w:trPr>
        <w:tc>
          <w:tcPr>
            <w:tcW w:w="2501" w:type="dxa"/>
          </w:tcPr>
          <w:p w14:paraId="53BAC3B9" w14:textId="77777777" w:rsidR="00BB2CB4" w:rsidRPr="00222C32" w:rsidRDefault="000674DA">
            <w:pPr>
              <w:pStyle w:val="Totalrowleftaligned"/>
              <w:keepNext/>
            </w:pPr>
            <w:r w:rsidRPr="00222C32">
              <w:t>Total – Payments</w:t>
            </w:r>
          </w:p>
        </w:tc>
        <w:tc>
          <w:tcPr>
            <w:tcW w:w="1044" w:type="dxa"/>
          </w:tcPr>
          <w:p w14:paraId="3EF37C41" w14:textId="77777777" w:rsidR="00BB2CB4" w:rsidRPr="00222C32" w:rsidRDefault="000674DA">
            <w:pPr>
              <w:pStyle w:val="Totaldatarowrightaligned"/>
              <w:keepNext/>
            </w:pPr>
            <w:r w:rsidRPr="00222C32">
              <w:t>-</w:t>
            </w:r>
          </w:p>
        </w:tc>
        <w:tc>
          <w:tcPr>
            <w:tcW w:w="1044" w:type="dxa"/>
          </w:tcPr>
          <w:p w14:paraId="1DF2A09C" w14:textId="77777777" w:rsidR="00BB2CB4" w:rsidRPr="00222C32" w:rsidRDefault="000674DA">
            <w:pPr>
              <w:pStyle w:val="Totaldatarowrightaligned"/>
              <w:keepNext/>
            </w:pPr>
            <w:r w:rsidRPr="00222C32">
              <w:t>0.9</w:t>
            </w:r>
          </w:p>
        </w:tc>
        <w:tc>
          <w:tcPr>
            <w:tcW w:w="1044" w:type="dxa"/>
          </w:tcPr>
          <w:p w14:paraId="00082FBB" w14:textId="77777777" w:rsidR="00BB2CB4" w:rsidRPr="00222C32" w:rsidRDefault="000674DA">
            <w:pPr>
              <w:pStyle w:val="Totaldatarowrightaligned"/>
              <w:keepNext/>
            </w:pPr>
            <w:r w:rsidRPr="00222C32">
              <w:t>38.2</w:t>
            </w:r>
          </w:p>
        </w:tc>
        <w:tc>
          <w:tcPr>
            <w:tcW w:w="1044" w:type="dxa"/>
          </w:tcPr>
          <w:p w14:paraId="551BCF1B" w14:textId="77777777" w:rsidR="00BB2CB4" w:rsidRPr="00222C32" w:rsidRDefault="000674DA">
            <w:pPr>
              <w:pStyle w:val="Totaldatarowrightaligned"/>
              <w:keepNext/>
            </w:pPr>
            <w:r w:rsidRPr="00222C32">
              <w:t>37.9</w:t>
            </w:r>
          </w:p>
        </w:tc>
        <w:tc>
          <w:tcPr>
            <w:tcW w:w="1044" w:type="dxa"/>
          </w:tcPr>
          <w:p w14:paraId="26E5252A" w14:textId="77777777" w:rsidR="00BB2CB4" w:rsidRPr="00222C32" w:rsidRDefault="000674DA">
            <w:pPr>
              <w:pStyle w:val="Totaldatarowrightaligned"/>
              <w:keepNext/>
            </w:pPr>
            <w:r w:rsidRPr="00222C32">
              <w:t>0.3</w:t>
            </w:r>
          </w:p>
        </w:tc>
      </w:tr>
    </w:tbl>
    <w:p w14:paraId="102A8284" w14:textId="77777777" w:rsidR="00193A16" w:rsidRDefault="00193A16" w:rsidP="00193A16">
      <w:pPr>
        <w:pStyle w:val="SingleParagraph"/>
      </w:pPr>
    </w:p>
    <w:p w14:paraId="399200CE" w14:textId="77777777" w:rsidR="00BB2CB4" w:rsidRDefault="000674DA">
      <w:pPr>
        <w:pStyle w:val="Normal2"/>
      </w:pPr>
      <w:r>
        <w:t>The Government will provide $80.2 million over four years from 2025–‍26 (and $1.1 million per year ongoing) to continue to support veterans and their families. Funding includes:</w:t>
      </w:r>
    </w:p>
    <w:p w14:paraId="3135BBC0" w14:textId="1FA84ADF" w:rsidR="00BB2CB4" w:rsidRDefault="000674DA">
      <w:pPr>
        <w:pStyle w:val="Bullet"/>
      </w:pPr>
      <w:r>
        <w:t>$35.2 million over three years from 2026–‍27 to extend the Ensuring the Sustainability of Veterans</w:t>
      </w:r>
      <w:r w:rsidR="00222C32">
        <w:t>’</w:t>
      </w:r>
      <w:r>
        <w:t xml:space="preserve"> Care and Support programs for two years to 30 June 2028</w:t>
      </w:r>
    </w:p>
    <w:p w14:paraId="75707137" w14:textId="2834723E" w:rsidR="00BB2CB4" w:rsidRDefault="000674DA">
      <w:pPr>
        <w:pStyle w:val="Bullet"/>
      </w:pPr>
      <w:r>
        <w:t>$34.5 million over two years from 2026–‍27 to extend the Sustaining a Care and Support Workforce for the Veterans</w:t>
      </w:r>
      <w:r w:rsidR="00222C32">
        <w:t>’</w:t>
      </w:r>
      <w:r>
        <w:t xml:space="preserve"> Community: A Viability Supplement program for two years to 30 June 2028</w:t>
      </w:r>
    </w:p>
    <w:p w14:paraId="75B43B38" w14:textId="77777777" w:rsidR="00BB2CB4" w:rsidRDefault="000674DA">
      <w:pPr>
        <w:pStyle w:val="Bullet"/>
      </w:pPr>
      <w:r>
        <w:t>$3.5 million over three years from 2025–‍26 to extend the Military and Veterans Psychiatry Training program for two years to 30 June 2028</w:t>
      </w:r>
    </w:p>
    <w:p w14:paraId="1E50D772" w14:textId="77777777" w:rsidR="00BB2CB4" w:rsidRDefault="000674DA">
      <w:pPr>
        <w:pStyle w:val="Bullet"/>
      </w:pPr>
      <w:r>
        <w:t>$3.0 million over three years from 2026–‍27 (and $1.1 million per year ongoing) to continue recognition of prior learning and training undertaken by Australian Defence Force personnel to improve employment opportunities as they transition to civilian life</w:t>
      </w:r>
    </w:p>
    <w:p w14:paraId="1E65ECE2" w14:textId="77777777" w:rsidR="00BB2CB4" w:rsidRDefault="000674DA">
      <w:pPr>
        <w:pStyle w:val="Bullet"/>
      </w:pPr>
      <w:r>
        <w:t>$2.1 million over two years from 2026–‍27 to extend the Volunteer Training in Suicide Recognition and Intervention program for two years to 30 June 2028</w:t>
      </w:r>
    </w:p>
    <w:p w14:paraId="473D63FB" w14:textId="0DB9724E" w:rsidR="00BB2CB4" w:rsidRDefault="000674DA">
      <w:pPr>
        <w:pStyle w:val="Bullet"/>
      </w:pPr>
      <w:r>
        <w:t>$2.0 million over two years from 2026–‍27 to extend the Veterans</w:t>
      </w:r>
      <w:r w:rsidR="00222C32">
        <w:t>’</w:t>
      </w:r>
      <w:r>
        <w:t xml:space="preserve"> Chaplaincy Pilot program for two years to 30 June 2028.</w:t>
      </w:r>
    </w:p>
    <w:p w14:paraId="193171C6" w14:textId="77777777" w:rsidR="00BB2CB4" w:rsidRDefault="000674DA">
      <w:pPr>
        <w:pStyle w:val="Normal2"/>
      </w:pPr>
      <w:r>
        <w:t>The Government will continue to provide funding for new and amended listings on the Repatriation Pharmaceutical Benefits Scheme as recommended by the Repatriation Pharmaceutical Reference Committee.</w:t>
      </w:r>
    </w:p>
    <w:p w14:paraId="18E66763" w14:textId="4EBAFF07" w:rsidR="00BB2CB4" w:rsidRDefault="000674DA">
      <w:pPr>
        <w:pStyle w:val="Normal2"/>
      </w:pPr>
      <w:r w:rsidRPr="69C11E82">
        <w:rPr>
          <w:lang w:val="en-US"/>
        </w:rPr>
        <w:t>The Department of Defence will partially meet the cost of this measure from within existing resources. The cost of this measure will also be partially met from savings identified in the Veterans</w:t>
      </w:r>
      <w:r w:rsidR="00222C32" w:rsidRPr="69C11E82">
        <w:rPr>
          <w:lang w:val="en-US"/>
        </w:rPr>
        <w:t>’</w:t>
      </w:r>
      <w:r w:rsidRPr="69C11E82">
        <w:rPr>
          <w:lang w:val="en-US"/>
        </w:rPr>
        <w:t xml:space="preserve"> Affairs portfolio.</w:t>
      </w:r>
    </w:p>
    <w:p w14:paraId="5A190C1E" w14:textId="211072E0" w:rsidR="00BB2CB4" w:rsidRDefault="000674DA">
      <w:pPr>
        <w:pStyle w:val="Normal2"/>
      </w:pPr>
      <w:r>
        <w:t xml:space="preserve">This measure builds on the 2025–‍26 Budget measure titled </w:t>
      </w:r>
      <w:r w:rsidRPr="000674DA">
        <w:rPr>
          <w:i/>
        </w:rPr>
        <w:t xml:space="preserve">Continuing to Support Veterans and their Families </w:t>
      </w:r>
      <w:r>
        <w:t>and the 2022–‍23 October Budget measure titled</w:t>
      </w:r>
      <w:r w:rsidRPr="000674DA">
        <w:rPr>
          <w:i/>
        </w:rPr>
        <w:t xml:space="preserve"> Veterans</w:t>
      </w:r>
      <w:r w:rsidR="00222C32">
        <w:rPr>
          <w:i/>
        </w:rPr>
        <w:t>’</w:t>
      </w:r>
      <w:r w:rsidRPr="000674DA">
        <w:rPr>
          <w:i/>
        </w:rPr>
        <w:t xml:space="preserve"> Wellbeing Package.</w:t>
      </w:r>
    </w:p>
    <w:p w14:paraId="0DF2BBDC" w14:textId="062F78EF" w:rsidR="00BB2CB4" w:rsidRDefault="000674DA">
      <w:pPr>
        <w:pStyle w:val="MeasureTitle"/>
      </w:pPr>
      <w:r>
        <w:t>Delivering Veterans</w:t>
      </w:r>
      <w:r w:rsidR="00222C32">
        <w:t>’</w:t>
      </w:r>
      <w:r>
        <w:t xml:space="preserve"> Affairs Election Commitments</w:t>
      </w:r>
    </w:p>
    <w:p w14:paraId="341D9C0C" w14:textId="77777777" w:rsidR="00BB2CB4" w:rsidRDefault="000674DA" w:rsidP="007776AB">
      <w:pPr>
        <w:pStyle w:val="MeasureTableHeading"/>
        <w:keepLines/>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FD0573" w14:textId="77777777" w:rsidTr="00825163">
        <w:trPr>
          <w:cantSplit/>
        </w:trPr>
        <w:tc>
          <w:tcPr>
            <w:tcW w:w="2501" w:type="dxa"/>
          </w:tcPr>
          <w:p w14:paraId="6EF849E1" w14:textId="77777777" w:rsidR="00BB2CB4" w:rsidRPr="00222C32" w:rsidRDefault="00BB2CB4">
            <w:pPr>
              <w:pStyle w:val="MeasureTableYearHeadings"/>
              <w:keepNext/>
            </w:pPr>
          </w:p>
        </w:tc>
        <w:tc>
          <w:tcPr>
            <w:tcW w:w="1044" w:type="dxa"/>
          </w:tcPr>
          <w:p w14:paraId="46372E8E" w14:textId="77777777" w:rsidR="00BB2CB4" w:rsidRPr="00222C32" w:rsidRDefault="000674DA">
            <w:pPr>
              <w:pStyle w:val="MeasureTableYearHeadings"/>
              <w:keepNext/>
            </w:pPr>
            <w:r w:rsidRPr="00222C32">
              <w:t>2024-25</w:t>
            </w:r>
          </w:p>
        </w:tc>
        <w:tc>
          <w:tcPr>
            <w:tcW w:w="1044" w:type="dxa"/>
          </w:tcPr>
          <w:p w14:paraId="4E01D421" w14:textId="77777777" w:rsidR="00BB2CB4" w:rsidRPr="00222C32" w:rsidRDefault="000674DA">
            <w:pPr>
              <w:pStyle w:val="MeasureTableYearHeadings"/>
              <w:keepNext/>
            </w:pPr>
            <w:r w:rsidRPr="00222C32">
              <w:t>2025-26</w:t>
            </w:r>
          </w:p>
        </w:tc>
        <w:tc>
          <w:tcPr>
            <w:tcW w:w="1044" w:type="dxa"/>
          </w:tcPr>
          <w:p w14:paraId="3733C7F6" w14:textId="77777777" w:rsidR="00BB2CB4" w:rsidRPr="00222C32" w:rsidRDefault="000674DA">
            <w:pPr>
              <w:pStyle w:val="MeasureTableYearHeadings"/>
              <w:keepNext/>
            </w:pPr>
            <w:r w:rsidRPr="00222C32">
              <w:t>2026-27</w:t>
            </w:r>
          </w:p>
        </w:tc>
        <w:tc>
          <w:tcPr>
            <w:tcW w:w="1044" w:type="dxa"/>
          </w:tcPr>
          <w:p w14:paraId="588AF744" w14:textId="77777777" w:rsidR="00BB2CB4" w:rsidRPr="00222C32" w:rsidRDefault="000674DA">
            <w:pPr>
              <w:pStyle w:val="MeasureTableYearHeadings"/>
              <w:keepNext/>
            </w:pPr>
            <w:r w:rsidRPr="00222C32">
              <w:t>2027-28</w:t>
            </w:r>
          </w:p>
        </w:tc>
        <w:tc>
          <w:tcPr>
            <w:tcW w:w="1044" w:type="dxa"/>
          </w:tcPr>
          <w:p w14:paraId="663CCFCE" w14:textId="77777777" w:rsidR="00BB2CB4" w:rsidRPr="00222C32" w:rsidRDefault="000674DA">
            <w:pPr>
              <w:pStyle w:val="MeasureTableYearHeadings"/>
              <w:keepNext/>
            </w:pPr>
            <w:r w:rsidRPr="00222C32">
              <w:t>2028-29</w:t>
            </w:r>
          </w:p>
        </w:tc>
      </w:tr>
      <w:tr w:rsidR="00BB2CB4" w:rsidRPr="00222C32" w14:paraId="0D0002E4" w14:textId="77777777" w:rsidTr="00825163">
        <w:trPr>
          <w:cantSplit/>
        </w:trPr>
        <w:tc>
          <w:tcPr>
            <w:tcW w:w="2501" w:type="dxa"/>
          </w:tcPr>
          <w:p w14:paraId="16C6F109" w14:textId="2FCB5C6A"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69199B18" w14:textId="77777777" w:rsidR="00BB2CB4" w:rsidRPr="00222C32" w:rsidRDefault="000674DA">
            <w:pPr>
              <w:pStyle w:val="MeasureTableDataRightAlignedwith2ptsspacing"/>
              <w:keepNext/>
            </w:pPr>
            <w:r w:rsidRPr="00222C32">
              <w:t>-</w:t>
            </w:r>
          </w:p>
        </w:tc>
        <w:tc>
          <w:tcPr>
            <w:tcW w:w="1044" w:type="dxa"/>
          </w:tcPr>
          <w:p w14:paraId="165FC3BC" w14:textId="77777777" w:rsidR="00BB2CB4" w:rsidRPr="00222C32" w:rsidRDefault="000674DA">
            <w:pPr>
              <w:pStyle w:val="MeasureTableDataRightAlignedwith2ptsspacing"/>
              <w:keepNext/>
            </w:pPr>
            <w:r w:rsidRPr="00222C32">
              <w:t>2.6</w:t>
            </w:r>
          </w:p>
        </w:tc>
        <w:tc>
          <w:tcPr>
            <w:tcW w:w="1044" w:type="dxa"/>
          </w:tcPr>
          <w:p w14:paraId="72E4B8DE" w14:textId="77777777" w:rsidR="00BB2CB4" w:rsidRPr="00222C32" w:rsidRDefault="000674DA">
            <w:pPr>
              <w:pStyle w:val="MeasureTableDataRightAlignedwith2ptsspacing"/>
              <w:keepNext/>
            </w:pPr>
            <w:r w:rsidRPr="00222C32">
              <w:t>5.6</w:t>
            </w:r>
          </w:p>
        </w:tc>
        <w:tc>
          <w:tcPr>
            <w:tcW w:w="1044" w:type="dxa"/>
          </w:tcPr>
          <w:p w14:paraId="4B9517FB" w14:textId="77777777" w:rsidR="00BB2CB4" w:rsidRPr="00222C32" w:rsidRDefault="000674DA">
            <w:pPr>
              <w:pStyle w:val="MeasureTableDataRightAlignedwith2ptsspacing"/>
              <w:keepNext/>
            </w:pPr>
            <w:r w:rsidRPr="00222C32">
              <w:t>2.2</w:t>
            </w:r>
          </w:p>
        </w:tc>
        <w:tc>
          <w:tcPr>
            <w:tcW w:w="1044" w:type="dxa"/>
          </w:tcPr>
          <w:p w14:paraId="31C5D16D" w14:textId="77777777" w:rsidR="00BB2CB4" w:rsidRPr="00222C32" w:rsidRDefault="000674DA">
            <w:pPr>
              <w:pStyle w:val="MeasureTableDataRightAlignedwith2ptsspacing"/>
              <w:keepNext/>
            </w:pPr>
            <w:r w:rsidRPr="00222C32">
              <w:t>1.1</w:t>
            </w:r>
          </w:p>
        </w:tc>
      </w:tr>
    </w:tbl>
    <w:p w14:paraId="5CA49A1B" w14:textId="77777777" w:rsidR="00372FB8" w:rsidRDefault="00372FB8" w:rsidP="007776AB">
      <w:pPr>
        <w:pStyle w:val="SingleParagraph"/>
        <w:keepNext/>
        <w:keepLines/>
      </w:pPr>
    </w:p>
    <w:p w14:paraId="23AE8419" w14:textId="77777777" w:rsidR="00BB2CB4" w:rsidRDefault="000674DA" w:rsidP="007776AB">
      <w:pPr>
        <w:pStyle w:val="Normal2"/>
        <w:keepLines/>
      </w:pPr>
      <w:r>
        <w:t>The Government will provide $11.5 million over five years from 2025–‍26 to support veterans and their families. Funding includes:</w:t>
      </w:r>
    </w:p>
    <w:p w14:paraId="790E74A4" w14:textId="1D6450B3" w:rsidR="00BB2CB4" w:rsidRDefault="000674DA">
      <w:pPr>
        <w:pStyle w:val="Bullet"/>
      </w:pPr>
      <w:r>
        <w:lastRenderedPageBreak/>
        <w:t>$5.4 million over four years from 2025–‍26 for the design and construction of the Bendigo Veterans</w:t>
      </w:r>
      <w:r w:rsidR="00222C32">
        <w:t>’</w:t>
      </w:r>
      <w:r>
        <w:t xml:space="preserve"> and Families Hub to support veterans, their families, current Australian Defence Force members, and reservists across Bendigo and central Victoria</w:t>
      </w:r>
    </w:p>
    <w:p w14:paraId="3A9DB54F" w14:textId="77777777" w:rsidR="00BB2CB4" w:rsidRDefault="000674DA">
      <w:pPr>
        <w:pStyle w:val="Bullet"/>
      </w:pPr>
      <w:r>
        <w:t>$3.0 million over four years from 2025–‍26 to establish a fit‑for‑purpose Ballarat Veterans Assistance Centre to support veterans and families</w:t>
      </w:r>
    </w:p>
    <w:p w14:paraId="4F4169BF" w14:textId="77777777" w:rsidR="00BB2CB4" w:rsidRDefault="000674DA">
      <w:pPr>
        <w:pStyle w:val="Bullet"/>
      </w:pPr>
      <w:r>
        <w:t>$1.6 million over three years from 2025–‍26 to support the Doreen RSL Sub‑Branch to be located at the Brookwood Community Centre, with upgrades for veterans and families</w:t>
      </w:r>
    </w:p>
    <w:p w14:paraId="1B829A42" w14:textId="77777777" w:rsidR="00BB2CB4" w:rsidRDefault="000674DA">
      <w:pPr>
        <w:pStyle w:val="Bullet"/>
      </w:pPr>
      <w:r>
        <w:t>$0.8 million over three years from 2025–‍26 to support the relocation of the Blackwood and District RSL to a new facility alongside the Blackwood Bowling Club</w:t>
      </w:r>
    </w:p>
    <w:p w14:paraId="7C648F98" w14:textId="77777777" w:rsidR="00BB2CB4" w:rsidRDefault="000674DA">
      <w:pPr>
        <w:pStyle w:val="Bullet"/>
      </w:pPr>
      <w:r>
        <w:t>$0.7 million over four years from 2026–‍27 to extend funding for the Kokoda Track Memorial Walkway.</w:t>
      </w:r>
    </w:p>
    <w:p w14:paraId="38E5AE35" w14:textId="27A5225B" w:rsidR="00BB2CB4" w:rsidRDefault="000674DA">
      <w:pPr>
        <w:pStyle w:val="Normal2"/>
      </w:pPr>
      <w:r>
        <w:t>This measure delivers on the Government</w:t>
      </w:r>
      <w:r w:rsidR="00222C32">
        <w:t>’</w:t>
      </w:r>
      <w:r>
        <w:t>s election commitments made during the 2025</w:t>
      </w:r>
      <w:r w:rsidR="00C66B6B">
        <w:t> federal</w:t>
      </w:r>
      <w:r>
        <w:t xml:space="preserve"> election.</w:t>
      </w:r>
    </w:p>
    <w:p w14:paraId="5E5907FC" w14:textId="595FCC7C" w:rsidR="00BB2CB4" w:rsidRDefault="000674DA">
      <w:pPr>
        <w:pStyle w:val="MeasureTitle"/>
      </w:pPr>
      <w:r w:rsidRPr="69C11E82">
        <w:rPr>
          <w:lang w:val="en-US"/>
        </w:rPr>
        <w:t>Department of Veterans</w:t>
      </w:r>
      <w:r w:rsidR="00222C32" w:rsidRPr="69C11E82">
        <w:rPr>
          <w:lang w:val="en-US"/>
        </w:rPr>
        <w:t>’</w:t>
      </w:r>
      <w:r w:rsidRPr="69C11E82">
        <w:rPr>
          <w:lang w:val="en-US"/>
        </w:rPr>
        <w:t xml:space="preserve"> Affairs – additional resourcing to support service</w:t>
      </w:r>
      <w:r w:rsidR="00256132">
        <w:rPr>
          <w:lang w:val="en-US"/>
        </w:rPr>
        <w:t> </w:t>
      </w:r>
      <w:r w:rsidRPr="69C11E82">
        <w:rPr>
          <w:lang w:val="en-US"/>
        </w:rPr>
        <w:t>delivery</w:t>
      </w:r>
    </w:p>
    <w:p w14:paraId="18943B7F"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AFD59DC" w14:textId="77777777" w:rsidTr="00825163">
        <w:trPr>
          <w:cantSplit/>
        </w:trPr>
        <w:tc>
          <w:tcPr>
            <w:tcW w:w="2501" w:type="dxa"/>
          </w:tcPr>
          <w:p w14:paraId="09BB2EAA" w14:textId="77777777" w:rsidR="00BB2CB4" w:rsidRPr="00222C32" w:rsidRDefault="00BB2CB4">
            <w:pPr>
              <w:pStyle w:val="MeasureTableYearHeadings"/>
              <w:keepNext/>
            </w:pPr>
          </w:p>
        </w:tc>
        <w:tc>
          <w:tcPr>
            <w:tcW w:w="1044" w:type="dxa"/>
          </w:tcPr>
          <w:p w14:paraId="6CF9D3B9" w14:textId="77777777" w:rsidR="00BB2CB4" w:rsidRPr="00222C32" w:rsidRDefault="000674DA">
            <w:pPr>
              <w:pStyle w:val="MeasureTableYearHeadings"/>
              <w:keepNext/>
            </w:pPr>
            <w:r w:rsidRPr="00222C32">
              <w:t>2024-25</w:t>
            </w:r>
          </w:p>
        </w:tc>
        <w:tc>
          <w:tcPr>
            <w:tcW w:w="1044" w:type="dxa"/>
          </w:tcPr>
          <w:p w14:paraId="473C413D" w14:textId="77777777" w:rsidR="00BB2CB4" w:rsidRPr="00222C32" w:rsidRDefault="000674DA">
            <w:pPr>
              <w:pStyle w:val="MeasureTableYearHeadings"/>
              <w:keepNext/>
            </w:pPr>
            <w:r w:rsidRPr="00222C32">
              <w:t>2025-26</w:t>
            </w:r>
          </w:p>
        </w:tc>
        <w:tc>
          <w:tcPr>
            <w:tcW w:w="1044" w:type="dxa"/>
          </w:tcPr>
          <w:p w14:paraId="6D9FA3B0" w14:textId="77777777" w:rsidR="00BB2CB4" w:rsidRPr="00222C32" w:rsidRDefault="000674DA">
            <w:pPr>
              <w:pStyle w:val="MeasureTableYearHeadings"/>
              <w:keepNext/>
            </w:pPr>
            <w:r w:rsidRPr="00222C32">
              <w:t>2026-27</w:t>
            </w:r>
          </w:p>
        </w:tc>
        <w:tc>
          <w:tcPr>
            <w:tcW w:w="1044" w:type="dxa"/>
          </w:tcPr>
          <w:p w14:paraId="205791AC" w14:textId="77777777" w:rsidR="00BB2CB4" w:rsidRPr="00222C32" w:rsidRDefault="000674DA">
            <w:pPr>
              <w:pStyle w:val="MeasureTableYearHeadings"/>
              <w:keepNext/>
            </w:pPr>
            <w:r w:rsidRPr="00222C32">
              <w:t>2027-28</w:t>
            </w:r>
          </w:p>
        </w:tc>
        <w:tc>
          <w:tcPr>
            <w:tcW w:w="1044" w:type="dxa"/>
          </w:tcPr>
          <w:p w14:paraId="5A7C3B57" w14:textId="77777777" w:rsidR="00BB2CB4" w:rsidRPr="00222C32" w:rsidRDefault="000674DA">
            <w:pPr>
              <w:pStyle w:val="MeasureTableYearHeadings"/>
              <w:keepNext/>
            </w:pPr>
            <w:r w:rsidRPr="00222C32">
              <w:t>2028-29</w:t>
            </w:r>
          </w:p>
        </w:tc>
      </w:tr>
      <w:tr w:rsidR="00BB2CB4" w:rsidRPr="00222C32" w14:paraId="179F4121" w14:textId="77777777" w:rsidTr="00825163">
        <w:trPr>
          <w:cantSplit/>
        </w:trPr>
        <w:tc>
          <w:tcPr>
            <w:tcW w:w="2501" w:type="dxa"/>
          </w:tcPr>
          <w:p w14:paraId="146D4449" w14:textId="0523BA5B"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3EE165A2" w14:textId="77777777" w:rsidR="00BB2CB4" w:rsidRPr="00222C32" w:rsidRDefault="000674DA">
            <w:pPr>
              <w:pStyle w:val="MeasureTableDataRightAlignedwith2ptsspacing"/>
              <w:keepNext/>
            </w:pPr>
            <w:r w:rsidRPr="00222C32">
              <w:t>-</w:t>
            </w:r>
          </w:p>
        </w:tc>
        <w:tc>
          <w:tcPr>
            <w:tcW w:w="1044" w:type="dxa"/>
          </w:tcPr>
          <w:p w14:paraId="6804CBC5" w14:textId="77777777" w:rsidR="00BB2CB4" w:rsidRPr="00222C32" w:rsidRDefault="000674DA">
            <w:pPr>
              <w:pStyle w:val="MeasureTableDataRightAlignedwith2ptsspacing"/>
              <w:keepNext/>
            </w:pPr>
            <w:r w:rsidRPr="00222C32">
              <w:t>32.7</w:t>
            </w:r>
          </w:p>
        </w:tc>
        <w:tc>
          <w:tcPr>
            <w:tcW w:w="1044" w:type="dxa"/>
          </w:tcPr>
          <w:p w14:paraId="1B0A2F31" w14:textId="77777777" w:rsidR="00BB2CB4" w:rsidRPr="00222C32" w:rsidRDefault="000674DA">
            <w:pPr>
              <w:pStyle w:val="MeasureTableDataRightAlignedwith2ptsspacing"/>
              <w:keepNext/>
            </w:pPr>
            <w:r w:rsidRPr="00222C32">
              <w:t>137.2</w:t>
            </w:r>
          </w:p>
        </w:tc>
        <w:tc>
          <w:tcPr>
            <w:tcW w:w="1044" w:type="dxa"/>
          </w:tcPr>
          <w:p w14:paraId="70C1307B" w14:textId="77777777" w:rsidR="00BB2CB4" w:rsidRPr="00222C32" w:rsidRDefault="000674DA">
            <w:pPr>
              <w:pStyle w:val="MeasureTableDataRightAlignedwith2ptsspacing"/>
              <w:keepNext/>
            </w:pPr>
            <w:r w:rsidRPr="00222C32">
              <w:t>135.4</w:t>
            </w:r>
          </w:p>
        </w:tc>
        <w:tc>
          <w:tcPr>
            <w:tcW w:w="1044" w:type="dxa"/>
          </w:tcPr>
          <w:p w14:paraId="3E6DDC0A" w14:textId="77777777" w:rsidR="00BB2CB4" w:rsidRPr="00222C32" w:rsidRDefault="000674DA">
            <w:pPr>
              <w:pStyle w:val="MeasureTableDataRightAlignedwith2ptsspacing"/>
              <w:keepNext/>
            </w:pPr>
            <w:r w:rsidRPr="00222C32">
              <w:t>93.0</w:t>
            </w:r>
          </w:p>
        </w:tc>
      </w:tr>
      <w:tr w:rsidR="00BB2CB4" w:rsidRPr="00222C32" w14:paraId="0C6409CC" w14:textId="77777777" w:rsidTr="00825163">
        <w:trPr>
          <w:cantSplit/>
        </w:trPr>
        <w:tc>
          <w:tcPr>
            <w:tcW w:w="2501" w:type="dxa"/>
          </w:tcPr>
          <w:p w14:paraId="53924C21" w14:textId="77777777" w:rsidR="00BB2CB4" w:rsidRPr="00222C32" w:rsidRDefault="000674DA">
            <w:pPr>
              <w:pStyle w:val="MeasureTableHeadingleftalignedwith2ptsspacing"/>
              <w:keepNext/>
            </w:pPr>
            <w:r w:rsidRPr="00222C32">
              <w:t>Digital Transformation Agency</w:t>
            </w:r>
          </w:p>
        </w:tc>
        <w:tc>
          <w:tcPr>
            <w:tcW w:w="1044" w:type="dxa"/>
          </w:tcPr>
          <w:p w14:paraId="2E7F7038" w14:textId="77777777" w:rsidR="00BB2CB4" w:rsidRPr="00222C32" w:rsidRDefault="000674DA">
            <w:pPr>
              <w:pStyle w:val="MeasureTableDataRightAlignedwith2ptsspacing"/>
              <w:keepNext/>
            </w:pPr>
            <w:r w:rsidRPr="00222C32">
              <w:t>-</w:t>
            </w:r>
          </w:p>
        </w:tc>
        <w:tc>
          <w:tcPr>
            <w:tcW w:w="1044" w:type="dxa"/>
          </w:tcPr>
          <w:p w14:paraId="6A00F333" w14:textId="77777777" w:rsidR="00BB2CB4" w:rsidRPr="00222C32" w:rsidRDefault="000674DA">
            <w:pPr>
              <w:pStyle w:val="MeasureTableDataRightAlignedwith2ptsspacing"/>
              <w:keepNext/>
            </w:pPr>
            <w:r w:rsidRPr="00222C32">
              <w:t>..</w:t>
            </w:r>
          </w:p>
        </w:tc>
        <w:tc>
          <w:tcPr>
            <w:tcW w:w="1044" w:type="dxa"/>
          </w:tcPr>
          <w:p w14:paraId="417EEA15" w14:textId="77777777" w:rsidR="00BB2CB4" w:rsidRPr="00222C32" w:rsidRDefault="000674DA">
            <w:pPr>
              <w:pStyle w:val="MeasureTableDataRightAlignedwith2ptsspacing"/>
              <w:keepNext/>
            </w:pPr>
            <w:r w:rsidRPr="00222C32">
              <w:t>..</w:t>
            </w:r>
          </w:p>
        </w:tc>
        <w:tc>
          <w:tcPr>
            <w:tcW w:w="1044" w:type="dxa"/>
          </w:tcPr>
          <w:p w14:paraId="3CE6F973" w14:textId="77777777" w:rsidR="00BB2CB4" w:rsidRPr="00222C32" w:rsidRDefault="000674DA">
            <w:pPr>
              <w:pStyle w:val="MeasureTableDataRightAlignedwith2ptsspacing"/>
              <w:keepNext/>
            </w:pPr>
            <w:r w:rsidRPr="00222C32">
              <w:t>..</w:t>
            </w:r>
          </w:p>
        </w:tc>
        <w:tc>
          <w:tcPr>
            <w:tcW w:w="1044" w:type="dxa"/>
          </w:tcPr>
          <w:p w14:paraId="03FC981C" w14:textId="77777777" w:rsidR="00BB2CB4" w:rsidRPr="00222C32" w:rsidRDefault="000674DA">
            <w:pPr>
              <w:pStyle w:val="MeasureTableDataRightAlignedwith2ptsspacing"/>
              <w:keepNext/>
            </w:pPr>
            <w:r w:rsidRPr="00222C32">
              <w:t>-</w:t>
            </w:r>
          </w:p>
        </w:tc>
      </w:tr>
      <w:tr w:rsidR="00BB2CB4" w:rsidRPr="00222C32" w14:paraId="7912D566" w14:textId="77777777" w:rsidTr="00825163">
        <w:trPr>
          <w:cantSplit/>
        </w:trPr>
        <w:tc>
          <w:tcPr>
            <w:tcW w:w="2501" w:type="dxa"/>
          </w:tcPr>
          <w:p w14:paraId="74D87D3F" w14:textId="77777777" w:rsidR="00BB2CB4" w:rsidRPr="00222C32" w:rsidRDefault="000674DA">
            <w:pPr>
              <w:pStyle w:val="Totalrowleftaligned"/>
              <w:keepNext/>
            </w:pPr>
            <w:r w:rsidRPr="00222C32">
              <w:t>Total – Payments</w:t>
            </w:r>
          </w:p>
        </w:tc>
        <w:tc>
          <w:tcPr>
            <w:tcW w:w="1044" w:type="dxa"/>
          </w:tcPr>
          <w:p w14:paraId="3049C52F" w14:textId="77777777" w:rsidR="00BB2CB4" w:rsidRPr="00222C32" w:rsidRDefault="000674DA">
            <w:pPr>
              <w:pStyle w:val="Totaldatarowrightaligned"/>
              <w:keepNext/>
            </w:pPr>
            <w:r w:rsidRPr="00222C32">
              <w:t>-</w:t>
            </w:r>
          </w:p>
        </w:tc>
        <w:tc>
          <w:tcPr>
            <w:tcW w:w="1044" w:type="dxa"/>
          </w:tcPr>
          <w:p w14:paraId="191E7A1D" w14:textId="77777777" w:rsidR="00BB2CB4" w:rsidRPr="00222C32" w:rsidRDefault="000674DA">
            <w:pPr>
              <w:pStyle w:val="Totaldatarowrightaligned"/>
              <w:keepNext/>
            </w:pPr>
            <w:r w:rsidRPr="00222C32">
              <w:t>32.7</w:t>
            </w:r>
          </w:p>
        </w:tc>
        <w:tc>
          <w:tcPr>
            <w:tcW w:w="1044" w:type="dxa"/>
          </w:tcPr>
          <w:p w14:paraId="413F5C70" w14:textId="77777777" w:rsidR="00BB2CB4" w:rsidRPr="00222C32" w:rsidRDefault="000674DA">
            <w:pPr>
              <w:pStyle w:val="Totaldatarowrightaligned"/>
              <w:keepNext/>
            </w:pPr>
            <w:r w:rsidRPr="00222C32">
              <w:t>137.2</w:t>
            </w:r>
          </w:p>
        </w:tc>
        <w:tc>
          <w:tcPr>
            <w:tcW w:w="1044" w:type="dxa"/>
          </w:tcPr>
          <w:p w14:paraId="36CA0D7A" w14:textId="77777777" w:rsidR="00BB2CB4" w:rsidRPr="00222C32" w:rsidRDefault="000674DA">
            <w:pPr>
              <w:pStyle w:val="Totaldatarowrightaligned"/>
              <w:keepNext/>
            </w:pPr>
            <w:r w:rsidRPr="00222C32">
              <w:t>135.4</w:t>
            </w:r>
          </w:p>
        </w:tc>
        <w:tc>
          <w:tcPr>
            <w:tcW w:w="1044" w:type="dxa"/>
          </w:tcPr>
          <w:p w14:paraId="0073E488" w14:textId="77777777" w:rsidR="00BB2CB4" w:rsidRPr="00222C32" w:rsidRDefault="000674DA">
            <w:pPr>
              <w:pStyle w:val="Totaldatarowrightaligned"/>
              <w:keepNext/>
            </w:pPr>
            <w:r w:rsidRPr="00222C32">
              <w:t>93.0</w:t>
            </w:r>
          </w:p>
        </w:tc>
      </w:tr>
    </w:tbl>
    <w:p w14:paraId="1D0FE833" w14:textId="77777777" w:rsidR="007776AB" w:rsidRDefault="007776AB" w:rsidP="007776AB">
      <w:pPr>
        <w:pStyle w:val="SingleParagraph"/>
      </w:pPr>
    </w:p>
    <w:p w14:paraId="06B6C04A" w14:textId="2C0FFA1B" w:rsidR="00BB2CB4" w:rsidRDefault="000674DA">
      <w:pPr>
        <w:pStyle w:val="Normal2"/>
      </w:pPr>
      <w:r w:rsidRPr="69C11E82">
        <w:rPr>
          <w:lang w:val="en-US"/>
        </w:rPr>
        <w:t>The Government will provide $408.8 million over four years from 2025–‍26 (and $94.4 million per year ongoing) to sustain sufficient staffing and core services for veterans and their families, such as claims processing and downstream service delivery, and modernising the digital capability of the Department of Veterans</w:t>
      </w:r>
      <w:r w:rsidR="00222C32" w:rsidRPr="69C11E82">
        <w:rPr>
          <w:lang w:val="en-US"/>
        </w:rPr>
        <w:t>’</w:t>
      </w:r>
      <w:r w:rsidRPr="69C11E82">
        <w:rPr>
          <w:lang w:val="en-US"/>
        </w:rPr>
        <w:t xml:space="preserve"> Affairs. Funding includes:</w:t>
      </w:r>
    </w:p>
    <w:p w14:paraId="2BFB8F61" w14:textId="77777777" w:rsidR="00BB2CB4" w:rsidRDefault="000674DA">
      <w:pPr>
        <w:pStyle w:val="Bullet"/>
      </w:pPr>
      <w:r>
        <w:t>$271.4 million over three years from 2026–‍27 (and $94.4 million per year ongoing) to maintain core services for veterans and their families</w:t>
      </w:r>
    </w:p>
    <w:p w14:paraId="6CB8546D" w14:textId="77777777" w:rsidR="00BB2CB4" w:rsidRDefault="000674DA">
      <w:pPr>
        <w:pStyle w:val="Bullet"/>
      </w:pPr>
      <w:r>
        <w:t>$137.3 million over three years from 2025–‍26 to deliver essential ICT, digital and data enhancements.</w:t>
      </w:r>
    </w:p>
    <w:p w14:paraId="768BD1C8" w14:textId="7AE31544" w:rsidR="00BB2CB4" w:rsidRDefault="000674DA">
      <w:pPr>
        <w:pStyle w:val="Normal2"/>
      </w:pPr>
      <w:r w:rsidRPr="69C11E82">
        <w:rPr>
          <w:lang w:val="en-US"/>
        </w:rPr>
        <w:t>The Department of Veterans</w:t>
      </w:r>
      <w:r w:rsidR="00222C32" w:rsidRPr="69C11E82">
        <w:rPr>
          <w:lang w:val="en-US"/>
        </w:rPr>
        <w:t>’</w:t>
      </w:r>
      <w:r w:rsidRPr="69C11E82">
        <w:rPr>
          <w:lang w:val="en-US"/>
        </w:rPr>
        <w:t xml:space="preserve"> Affairs will partially meet the cost of this measure from within existing resources. The cost of this measure will also be partially met from savings identified in the Veterans</w:t>
      </w:r>
      <w:r w:rsidR="00222C32" w:rsidRPr="69C11E82">
        <w:rPr>
          <w:lang w:val="en-US"/>
        </w:rPr>
        <w:t>’</w:t>
      </w:r>
      <w:r w:rsidRPr="69C11E82">
        <w:rPr>
          <w:lang w:val="en-US"/>
        </w:rPr>
        <w:t xml:space="preserve"> Affairs portfolio.</w:t>
      </w:r>
    </w:p>
    <w:p w14:paraId="6CFBCCFB" w14:textId="3365AD90" w:rsidR="00BB2CB4" w:rsidRDefault="000674DA">
      <w:pPr>
        <w:pStyle w:val="Normal2"/>
      </w:pPr>
      <w:r w:rsidRPr="69C11E82">
        <w:rPr>
          <w:lang w:val="en-US"/>
        </w:rPr>
        <w:t xml:space="preserve">This measure builds on the 2025–‍26 Budget measure titled </w:t>
      </w:r>
      <w:r w:rsidRPr="69C11E82">
        <w:rPr>
          <w:i/>
          <w:lang w:val="en-US"/>
        </w:rPr>
        <w:t>Department of Veterans</w:t>
      </w:r>
      <w:r w:rsidR="00222C32" w:rsidRPr="69C11E82">
        <w:rPr>
          <w:i/>
          <w:lang w:val="en-US"/>
        </w:rPr>
        <w:t>’</w:t>
      </w:r>
      <w:r w:rsidRPr="69C11E82">
        <w:rPr>
          <w:i/>
          <w:lang w:val="en-US"/>
        </w:rPr>
        <w:t xml:space="preserve"> Affairs – additional resourcing to support service delivery.</w:t>
      </w:r>
    </w:p>
    <w:p w14:paraId="12F3A59C" w14:textId="5F359A53" w:rsidR="00BB2CB4" w:rsidRDefault="000674DA">
      <w:pPr>
        <w:pStyle w:val="MeasureTitle"/>
      </w:pPr>
      <w:r>
        <w:lastRenderedPageBreak/>
        <w:t>Department of Veterans</w:t>
      </w:r>
      <w:r w:rsidR="00222C32">
        <w:t>’</w:t>
      </w:r>
      <w:r>
        <w:t xml:space="preserve"> Affairs – enhancing the </w:t>
      </w:r>
      <w:r w:rsidR="00813112">
        <w:t>h</w:t>
      </w:r>
      <w:r>
        <w:t xml:space="preserve">ealth and </w:t>
      </w:r>
      <w:r w:rsidR="0043431E">
        <w:t>w</w:t>
      </w:r>
      <w:r>
        <w:t xml:space="preserve">ellbeing of </w:t>
      </w:r>
      <w:r w:rsidR="0043431E">
        <w:t>v</w:t>
      </w:r>
      <w:r>
        <w:t xml:space="preserve">eterans and </w:t>
      </w:r>
      <w:r w:rsidR="0043431E">
        <w:t>s</w:t>
      </w:r>
      <w:r>
        <w:t xml:space="preserve">erving </w:t>
      </w:r>
      <w:r w:rsidR="0043431E">
        <w:t>m</w:t>
      </w:r>
      <w:r>
        <w:t>embers</w:t>
      </w:r>
    </w:p>
    <w:p w14:paraId="2824FEDB"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7B1FFE0" w14:textId="77777777" w:rsidTr="00825163">
        <w:trPr>
          <w:cantSplit/>
        </w:trPr>
        <w:tc>
          <w:tcPr>
            <w:tcW w:w="2501" w:type="dxa"/>
          </w:tcPr>
          <w:p w14:paraId="2E51DF57" w14:textId="77777777" w:rsidR="00BB2CB4" w:rsidRPr="00222C32" w:rsidRDefault="00BB2CB4">
            <w:pPr>
              <w:pStyle w:val="MeasureTableYearHeadings"/>
              <w:keepNext/>
            </w:pPr>
          </w:p>
        </w:tc>
        <w:tc>
          <w:tcPr>
            <w:tcW w:w="1044" w:type="dxa"/>
          </w:tcPr>
          <w:p w14:paraId="15F1E6E6" w14:textId="77777777" w:rsidR="00BB2CB4" w:rsidRPr="00222C32" w:rsidRDefault="000674DA">
            <w:pPr>
              <w:pStyle w:val="MeasureTableYearHeadings"/>
              <w:keepNext/>
            </w:pPr>
            <w:r w:rsidRPr="00222C32">
              <w:t>2024-25</w:t>
            </w:r>
          </w:p>
        </w:tc>
        <w:tc>
          <w:tcPr>
            <w:tcW w:w="1044" w:type="dxa"/>
          </w:tcPr>
          <w:p w14:paraId="7C33B44E" w14:textId="77777777" w:rsidR="00BB2CB4" w:rsidRPr="00222C32" w:rsidRDefault="000674DA">
            <w:pPr>
              <w:pStyle w:val="MeasureTableYearHeadings"/>
              <w:keepNext/>
            </w:pPr>
            <w:r w:rsidRPr="00222C32">
              <w:t>2025-26</w:t>
            </w:r>
          </w:p>
        </w:tc>
        <w:tc>
          <w:tcPr>
            <w:tcW w:w="1044" w:type="dxa"/>
          </w:tcPr>
          <w:p w14:paraId="669921B9" w14:textId="77777777" w:rsidR="00BB2CB4" w:rsidRPr="00222C32" w:rsidRDefault="000674DA">
            <w:pPr>
              <w:pStyle w:val="MeasureTableYearHeadings"/>
              <w:keepNext/>
            </w:pPr>
            <w:r w:rsidRPr="00222C32">
              <w:t>2026-27</w:t>
            </w:r>
          </w:p>
        </w:tc>
        <w:tc>
          <w:tcPr>
            <w:tcW w:w="1044" w:type="dxa"/>
          </w:tcPr>
          <w:p w14:paraId="1BAFAD1F" w14:textId="77777777" w:rsidR="00BB2CB4" w:rsidRPr="00222C32" w:rsidRDefault="000674DA">
            <w:pPr>
              <w:pStyle w:val="MeasureTableYearHeadings"/>
              <w:keepNext/>
            </w:pPr>
            <w:r w:rsidRPr="00222C32">
              <w:t>2027-28</w:t>
            </w:r>
          </w:p>
        </w:tc>
        <w:tc>
          <w:tcPr>
            <w:tcW w:w="1044" w:type="dxa"/>
          </w:tcPr>
          <w:p w14:paraId="3D913BDA" w14:textId="77777777" w:rsidR="00BB2CB4" w:rsidRPr="00222C32" w:rsidRDefault="000674DA">
            <w:pPr>
              <w:pStyle w:val="MeasureTableYearHeadings"/>
              <w:keepNext/>
            </w:pPr>
            <w:r w:rsidRPr="00222C32">
              <w:t>2028-29</w:t>
            </w:r>
          </w:p>
        </w:tc>
      </w:tr>
      <w:tr w:rsidR="00BB2CB4" w:rsidRPr="00222C32" w14:paraId="2F04B300" w14:textId="77777777" w:rsidTr="00825163">
        <w:trPr>
          <w:cantSplit/>
        </w:trPr>
        <w:tc>
          <w:tcPr>
            <w:tcW w:w="2501" w:type="dxa"/>
          </w:tcPr>
          <w:p w14:paraId="52B1FA82" w14:textId="46B0D880"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10E427AB" w14:textId="77777777" w:rsidR="00BB2CB4" w:rsidRPr="00222C32" w:rsidRDefault="000674DA">
            <w:pPr>
              <w:pStyle w:val="MeasureTableDataRightAlignedwith2ptsspacing"/>
              <w:keepNext/>
            </w:pPr>
            <w:r w:rsidRPr="00222C32">
              <w:t>-</w:t>
            </w:r>
          </w:p>
        </w:tc>
        <w:tc>
          <w:tcPr>
            <w:tcW w:w="1044" w:type="dxa"/>
          </w:tcPr>
          <w:p w14:paraId="1BD287D1" w14:textId="77777777" w:rsidR="00BB2CB4" w:rsidRPr="00222C32" w:rsidRDefault="000674DA">
            <w:pPr>
              <w:pStyle w:val="MeasureTableDataRightAlignedwith2ptsspacing"/>
              <w:keepNext/>
            </w:pPr>
            <w:r w:rsidRPr="00222C32">
              <w:t>23.8</w:t>
            </w:r>
          </w:p>
        </w:tc>
        <w:tc>
          <w:tcPr>
            <w:tcW w:w="1044" w:type="dxa"/>
          </w:tcPr>
          <w:p w14:paraId="76B11558" w14:textId="77777777" w:rsidR="00BB2CB4" w:rsidRPr="00222C32" w:rsidRDefault="000674DA">
            <w:pPr>
              <w:pStyle w:val="MeasureTableDataRightAlignedwith2ptsspacing"/>
              <w:keepNext/>
            </w:pPr>
            <w:r w:rsidRPr="00222C32">
              <w:t>272.5</w:t>
            </w:r>
          </w:p>
        </w:tc>
        <w:tc>
          <w:tcPr>
            <w:tcW w:w="1044" w:type="dxa"/>
          </w:tcPr>
          <w:p w14:paraId="028CC88F" w14:textId="77777777" w:rsidR="00BB2CB4" w:rsidRPr="00222C32" w:rsidRDefault="000674DA">
            <w:pPr>
              <w:pStyle w:val="MeasureTableDataRightAlignedwith2ptsspacing"/>
              <w:keepNext/>
            </w:pPr>
            <w:r w:rsidRPr="00222C32">
              <w:t>235.6</w:t>
            </w:r>
          </w:p>
        </w:tc>
        <w:tc>
          <w:tcPr>
            <w:tcW w:w="1044" w:type="dxa"/>
          </w:tcPr>
          <w:p w14:paraId="6DF6C587" w14:textId="77777777" w:rsidR="00BB2CB4" w:rsidRPr="00222C32" w:rsidRDefault="000674DA">
            <w:pPr>
              <w:pStyle w:val="MeasureTableDataRightAlignedwith2ptsspacing"/>
              <w:keepNext/>
            </w:pPr>
            <w:r w:rsidRPr="00222C32">
              <w:t>202.4</w:t>
            </w:r>
          </w:p>
        </w:tc>
      </w:tr>
      <w:tr w:rsidR="00BB2CB4" w:rsidRPr="00222C32" w14:paraId="2C30EC10" w14:textId="77777777" w:rsidTr="00825163">
        <w:trPr>
          <w:cantSplit/>
        </w:trPr>
        <w:tc>
          <w:tcPr>
            <w:tcW w:w="2501" w:type="dxa"/>
          </w:tcPr>
          <w:p w14:paraId="6253C138" w14:textId="77777777" w:rsidR="00BB2CB4" w:rsidRPr="00222C32" w:rsidRDefault="000674DA">
            <w:pPr>
              <w:pStyle w:val="MeasureTableHeadingleftalignedwith2ptsspacing"/>
              <w:keepNext/>
            </w:pPr>
            <w:r w:rsidRPr="00222C32">
              <w:t>Department of Health, Disability and Ageing</w:t>
            </w:r>
          </w:p>
        </w:tc>
        <w:tc>
          <w:tcPr>
            <w:tcW w:w="1044" w:type="dxa"/>
          </w:tcPr>
          <w:p w14:paraId="4228605A" w14:textId="77777777" w:rsidR="00BB2CB4" w:rsidRPr="00222C32" w:rsidRDefault="000674DA">
            <w:pPr>
              <w:pStyle w:val="MeasureTableDataRightAlignedwith2ptsspacing"/>
              <w:keepNext/>
            </w:pPr>
            <w:r w:rsidRPr="00222C32">
              <w:t>-</w:t>
            </w:r>
          </w:p>
        </w:tc>
        <w:tc>
          <w:tcPr>
            <w:tcW w:w="1044" w:type="dxa"/>
          </w:tcPr>
          <w:p w14:paraId="220542D3" w14:textId="77777777" w:rsidR="00BB2CB4" w:rsidRPr="00222C32" w:rsidRDefault="000674DA">
            <w:pPr>
              <w:pStyle w:val="MeasureTableDataRightAlignedwith2ptsspacing"/>
              <w:keepNext/>
            </w:pPr>
            <w:r w:rsidRPr="00222C32">
              <w:t>-</w:t>
            </w:r>
          </w:p>
        </w:tc>
        <w:tc>
          <w:tcPr>
            <w:tcW w:w="1044" w:type="dxa"/>
          </w:tcPr>
          <w:p w14:paraId="3EE1623B" w14:textId="77777777" w:rsidR="00BB2CB4" w:rsidRPr="00222C32" w:rsidRDefault="000674DA">
            <w:pPr>
              <w:pStyle w:val="MeasureTableDataRightAlignedwith2ptsspacing"/>
              <w:keepNext/>
            </w:pPr>
            <w:r w:rsidRPr="00222C32">
              <w:t>0.7</w:t>
            </w:r>
          </w:p>
        </w:tc>
        <w:tc>
          <w:tcPr>
            <w:tcW w:w="1044" w:type="dxa"/>
          </w:tcPr>
          <w:p w14:paraId="67825982" w14:textId="77777777" w:rsidR="00BB2CB4" w:rsidRPr="00222C32" w:rsidRDefault="000674DA">
            <w:pPr>
              <w:pStyle w:val="MeasureTableDataRightAlignedwith2ptsspacing"/>
              <w:keepNext/>
            </w:pPr>
            <w:r w:rsidRPr="00222C32">
              <w:t>1.6</w:t>
            </w:r>
          </w:p>
        </w:tc>
        <w:tc>
          <w:tcPr>
            <w:tcW w:w="1044" w:type="dxa"/>
          </w:tcPr>
          <w:p w14:paraId="0EB0B588" w14:textId="77777777" w:rsidR="00BB2CB4" w:rsidRPr="00222C32" w:rsidRDefault="000674DA">
            <w:pPr>
              <w:pStyle w:val="MeasureTableDataRightAlignedwith2ptsspacing"/>
              <w:keepNext/>
            </w:pPr>
            <w:r w:rsidRPr="00222C32">
              <w:t>2.7</w:t>
            </w:r>
          </w:p>
        </w:tc>
      </w:tr>
      <w:tr w:rsidR="00BB2CB4" w:rsidRPr="00222C32" w14:paraId="7FB33F8D" w14:textId="77777777" w:rsidTr="00825163">
        <w:trPr>
          <w:cantSplit/>
        </w:trPr>
        <w:tc>
          <w:tcPr>
            <w:tcW w:w="2501" w:type="dxa"/>
          </w:tcPr>
          <w:p w14:paraId="6BDCEA7E" w14:textId="77777777" w:rsidR="00BB2CB4" w:rsidRPr="00222C32" w:rsidRDefault="000674DA">
            <w:pPr>
              <w:pStyle w:val="Totalrowleftaligned"/>
              <w:keepNext/>
            </w:pPr>
            <w:r w:rsidRPr="00222C32">
              <w:t>Total – Payments</w:t>
            </w:r>
          </w:p>
        </w:tc>
        <w:tc>
          <w:tcPr>
            <w:tcW w:w="1044" w:type="dxa"/>
          </w:tcPr>
          <w:p w14:paraId="151CC4F5" w14:textId="77777777" w:rsidR="00BB2CB4" w:rsidRPr="00222C32" w:rsidRDefault="000674DA">
            <w:pPr>
              <w:pStyle w:val="Totaldatarowrightaligned"/>
              <w:keepNext/>
            </w:pPr>
            <w:r w:rsidRPr="00222C32">
              <w:t>-</w:t>
            </w:r>
          </w:p>
        </w:tc>
        <w:tc>
          <w:tcPr>
            <w:tcW w:w="1044" w:type="dxa"/>
          </w:tcPr>
          <w:p w14:paraId="0BBCB51D" w14:textId="77777777" w:rsidR="00BB2CB4" w:rsidRPr="00222C32" w:rsidRDefault="000674DA">
            <w:pPr>
              <w:pStyle w:val="Totaldatarowrightaligned"/>
              <w:keepNext/>
            </w:pPr>
            <w:r w:rsidRPr="00222C32">
              <w:t>23.8</w:t>
            </w:r>
          </w:p>
        </w:tc>
        <w:tc>
          <w:tcPr>
            <w:tcW w:w="1044" w:type="dxa"/>
          </w:tcPr>
          <w:p w14:paraId="617CBF4C" w14:textId="77777777" w:rsidR="00BB2CB4" w:rsidRPr="00222C32" w:rsidRDefault="000674DA">
            <w:pPr>
              <w:pStyle w:val="Totaldatarowrightaligned"/>
              <w:keepNext/>
            </w:pPr>
            <w:r w:rsidRPr="00222C32">
              <w:t>273.2</w:t>
            </w:r>
          </w:p>
        </w:tc>
        <w:tc>
          <w:tcPr>
            <w:tcW w:w="1044" w:type="dxa"/>
          </w:tcPr>
          <w:p w14:paraId="09C3B56F" w14:textId="77777777" w:rsidR="00BB2CB4" w:rsidRPr="00222C32" w:rsidRDefault="000674DA">
            <w:pPr>
              <w:pStyle w:val="Totaldatarowrightaligned"/>
              <w:keepNext/>
            </w:pPr>
            <w:r w:rsidRPr="00222C32">
              <w:t>237.2</w:t>
            </w:r>
          </w:p>
        </w:tc>
        <w:tc>
          <w:tcPr>
            <w:tcW w:w="1044" w:type="dxa"/>
          </w:tcPr>
          <w:p w14:paraId="3414093D" w14:textId="77777777" w:rsidR="00BB2CB4" w:rsidRPr="00222C32" w:rsidRDefault="000674DA">
            <w:pPr>
              <w:pStyle w:val="Totaldatarowrightaligned"/>
              <w:keepNext/>
            </w:pPr>
            <w:r w:rsidRPr="00222C32">
              <w:t>205.0</w:t>
            </w:r>
          </w:p>
        </w:tc>
      </w:tr>
    </w:tbl>
    <w:p w14:paraId="7CCA1C9B" w14:textId="77777777" w:rsidR="007776AB" w:rsidRDefault="007776AB" w:rsidP="007776AB">
      <w:pPr>
        <w:pStyle w:val="SingleParagraph"/>
      </w:pPr>
    </w:p>
    <w:p w14:paraId="1E6420E8" w14:textId="77777777" w:rsidR="00BB2CB4" w:rsidRDefault="000674DA">
      <w:pPr>
        <w:pStyle w:val="Normal2"/>
      </w:pPr>
      <w:r w:rsidRPr="69C11E82">
        <w:rPr>
          <w:lang w:val="en-US"/>
        </w:rPr>
        <w:t>The Government will provide $739.2 million over four years from 2025–‍26 (and $130.2 million in 2029–‍30 and $159.3 million per year ongoing from 2030–‍31) to prioritise prevention, treatment and rehabilitation services to achieve better long‑term health and wellbeing outcomes for veterans, including:</w:t>
      </w:r>
    </w:p>
    <w:p w14:paraId="024F2147" w14:textId="77777777" w:rsidR="00BB2CB4" w:rsidRDefault="000674DA">
      <w:pPr>
        <w:pStyle w:val="Bullet"/>
      </w:pPr>
      <w:r>
        <w:t>$590.5 million over three years from 2026–‍27 (and $85.7 million in 2029–‍30 and $125.1 million per year ongoing from 2030–‍31) to implement a treatment first approach for veterans to access modern prevention, treatment and rehabilitation services</w:t>
      </w:r>
    </w:p>
    <w:p w14:paraId="30BC4EBA" w14:textId="77777777" w:rsidR="00BB2CB4" w:rsidRDefault="000674DA">
      <w:pPr>
        <w:pStyle w:val="Bullet"/>
      </w:pPr>
      <w:r>
        <w:t>$58.3 million over three years from 2026–‍27 (and $21.0 million per year ongoing) to strengthen mental health support for veterans across the continuum of care, including expanded access to Mental Health Treatment Plans</w:t>
      </w:r>
    </w:p>
    <w:p w14:paraId="4324F650" w14:textId="77777777" w:rsidR="00BB2CB4" w:rsidRDefault="000674DA">
      <w:pPr>
        <w:pStyle w:val="Bullet"/>
      </w:pPr>
      <w:r>
        <w:t xml:space="preserve">$40.3 million over four years from 2025–‍26 (and $3.5 million per year ongoing) to implement a streamlined and transparent claims process for veterans and their advocates through </w:t>
      </w:r>
      <w:r w:rsidRPr="00825163">
        <w:t>MyService</w:t>
      </w:r>
    </w:p>
    <w:p w14:paraId="7C0A2324" w14:textId="77777777" w:rsidR="00BB2CB4" w:rsidRDefault="000674DA">
      <w:pPr>
        <w:pStyle w:val="Bullet"/>
      </w:pPr>
      <w:r>
        <w:t>$26.5 million over three years from 2026–‍27 (and $27.6 million over two years from 2029–‍30) for a national study exploring innovative mental health treatments for post‑traumatic stress disorder, anxiety and depression.</w:t>
      </w:r>
    </w:p>
    <w:p w14:paraId="2BF3123E" w14:textId="05E832D5" w:rsidR="00BB2CB4" w:rsidRDefault="000674DA">
      <w:pPr>
        <w:pStyle w:val="MeasureTitle"/>
      </w:pPr>
      <w:r w:rsidRPr="69C11E82">
        <w:rPr>
          <w:lang w:val="en-US"/>
        </w:rPr>
        <w:t>Department of Veterans</w:t>
      </w:r>
      <w:r w:rsidR="00222C32" w:rsidRPr="69C11E82">
        <w:rPr>
          <w:lang w:val="en-US"/>
        </w:rPr>
        <w:t>’</w:t>
      </w:r>
      <w:r w:rsidRPr="69C11E82">
        <w:rPr>
          <w:lang w:val="en-US"/>
        </w:rPr>
        <w:t xml:space="preserve"> Affairs – establishing the Agency for Veteran and Family Wellbeing</w:t>
      </w:r>
    </w:p>
    <w:p w14:paraId="270F993C"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943B1B8" w14:textId="77777777" w:rsidTr="00825163">
        <w:trPr>
          <w:cantSplit/>
        </w:trPr>
        <w:tc>
          <w:tcPr>
            <w:tcW w:w="2501" w:type="dxa"/>
          </w:tcPr>
          <w:p w14:paraId="1C765BEE" w14:textId="77777777" w:rsidR="00BB2CB4" w:rsidRPr="00222C32" w:rsidRDefault="00BB2CB4">
            <w:pPr>
              <w:pStyle w:val="MeasureTableYearHeadings"/>
              <w:keepNext/>
            </w:pPr>
          </w:p>
        </w:tc>
        <w:tc>
          <w:tcPr>
            <w:tcW w:w="1044" w:type="dxa"/>
          </w:tcPr>
          <w:p w14:paraId="03B177BB" w14:textId="77777777" w:rsidR="00BB2CB4" w:rsidRPr="00222C32" w:rsidRDefault="000674DA">
            <w:pPr>
              <w:pStyle w:val="MeasureTableYearHeadings"/>
              <w:keepNext/>
            </w:pPr>
            <w:r w:rsidRPr="00222C32">
              <w:t>2024-25</w:t>
            </w:r>
          </w:p>
        </w:tc>
        <w:tc>
          <w:tcPr>
            <w:tcW w:w="1044" w:type="dxa"/>
          </w:tcPr>
          <w:p w14:paraId="4A4AF23C" w14:textId="77777777" w:rsidR="00BB2CB4" w:rsidRPr="00222C32" w:rsidRDefault="000674DA">
            <w:pPr>
              <w:pStyle w:val="MeasureTableYearHeadings"/>
              <w:keepNext/>
            </w:pPr>
            <w:r w:rsidRPr="00222C32">
              <w:t>2025-26</w:t>
            </w:r>
          </w:p>
        </w:tc>
        <w:tc>
          <w:tcPr>
            <w:tcW w:w="1044" w:type="dxa"/>
          </w:tcPr>
          <w:p w14:paraId="383BD591" w14:textId="77777777" w:rsidR="00BB2CB4" w:rsidRPr="00222C32" w:rsidRDefault="000674DA">
            <w:pPr>
              <w:pStyle w:val="MeasureTableYearHeadings"/>
              <w:keepNext/>
            </w:pPr>
            <w:r w:rsidRPr="00222C32">
              <w:t>2026-27</w:t>
            </w:r>
          </w:p>
        </w:tc>
        <w:tc>
          <w:tcPr>
            <w:tcW w:w="1044" w:type="dxa"/>
          </w:tcPr>
          <w:p w14:paraId="6A7CF97C" w14:textId="77777777" w:rsidR="00BB2CB4" w:rsidRPr="00222C32" w:rsidRDefault="000674DA">
            <w:pPr>
              <w:pStyle w:val="MeasureTableYearHeadings"/>
              <w:keepNext/>
            </w:pPr>
            <w:r w:rsidRPr="00222C32">
              <w:t>2027-28</w:t>
            </w:r>
          </w:p>
        </w:tc>
        <w:tc>
          <w:tcPr>
            <w:tcW w:w="1044" w:type="dxa"/>
          </w:tcPr>
          <w:p w14:paraId="577BF3C5" w14:textId="77777777" w:rsidR="00BB2CB4" w:rsidRPr="00222C32" w:rsidRDefault="000674DA">
            <w:pPr>
              <w:pStyle w:val="MeasureTableYearHeadings"/>
              <w:keepNext/>
            </w:pPr>
            <w:r w:rsidRPr="00222C32">
              <w:t>2028-29</w:t>
            </w:r>
          </w:p>
        </w:tc>
      </w:tr>
      <w:tr w:rsidR="00BB2CB4" w:rsidRPr="00222C32" w14:paraId="5F15EB53" w14:textId="77777777" w:rsidTr="00825163">
        <w:trPr>
          <w:cantSplit/>
        </w:trPr>
        <w:tc>
          <w:tcPr>
            <w:tcW w:w="2501" w:type="dxa"/>
          </w:tcPr>
          <w:p w14:paraId="4505C1ED" w14:textId="096E7D1F"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08ED7206" w14:textId="77777777" w:rsidR="00BB2CB4" w:rsidRPr="00222C32" w:rsidRDefault="000674DA">
            <w:pPr>
              <w:pStyle w:val="MeasureTableDataRightAlignedwith2ptsspacing"/>
              <w:keepNext/>
            </w:pPr>
            <w:r w:rsidRPr="00222C32">
              <w:t>-</w:t>
            </w:r>
          </w:p>
        </w:tc>
        <w:tc>
          <w:tcPr>
            <w:tcW w:w="1044" w:type="dxa"/>
          </w:tcPr>
          <w:p w14:paraId="183C0A40" w14:textId="77777777" w:rsidR="00BB2CB4" w:rsidRPr="00222C32" w:rsidRDefault="000674DA">
            <w:pPr>
              <w:pStyle w:val="MeasureTableDataRightAlignedwith2ptsspacing"/>
              <w:keepNext/>
            </w:pPr>
            <w:r w:rsidRPr="00222C32">
              <w:t>10.7</w:t>
            </w:r>
          </w:p>
        </w:tc>
        <w:tc>
          <w:tcPr>
            <w:tcW w:w="1044" w:type="dxa"/>
          </w:tcPr>
          <w:p w14:paraId="52620A52" w14:textId="77777777" w:rsidR="00BB2CB4" w:rsidRPr="00222C32" w:rsidRDefault="000674DA">
            <w:pPr>
              <w:pStyle w:val="MeasureTableDataRightAlignedwith2ptsspacing"/>
              <w:keepNext/>
            </w:pPr>
            <w:r w:rsidRPr="00222C32">
              <w:t>23.8</w:t>
            </w:r>
          </w:p>
        </w:tc>
        <w:tc>
          <w:tcPr>
            <w:tcW w:w="1044" w:type="dxa"/>
          </w:tcPr>
          <w:p w14:paraId="1632DA29" w14:textId="77777777" w:rsidR="00BB2CB4" w:rsidRPr="00222C32" w:rsidRDefault="000674DA">
            <w:pPr>
              <w:pStyle w:val="MeasureTableDataRightAlignedwith2ptsspacing"/>
              <w:keepNext/>
            </w:pPr>
            <w:r w:rsidRPr="00222C32">
              <w:t>22.9</w:t>
            </w:r>
          </w:p>
        </w:tc>
        <w:tc>
          <w:tcPr>
            <w:tcW w:w="1044" w:type="dxa"/>
          </w:tcPr>
          <w:p w14:paraId="37E81FBA" w14:textId="77777777" w:rsidR="00BB2CB4" w:rsidRPr="00222C32" w:rsidRDefault="000674DA">
            <w:pPr>
              <w:pStyle w:val="MeasureTableDataRightAlignedwith2ptsspacing"/>
              <w:keepNext/>
            </w:pPr>
            <w:r w:rsidRPr="00222C32">
              <w:t>20.6</w:t>
            </w:r>
          </w:p>
        </w:tc>
      </w:tr>
      <w:tr w:rsidR="00BB2CB4" w:rsidRPr="00222C32" w14:paraId="1B2C468E" w14:textId="77777777" w:rsidTr="00825163">
        <w:trPr>
          <w:cantSplit/>
        </w:trPr>
        <w:tc>
          <w:tcPr>
            <w:tcW w:w="2501" w:type="dxa"/>
          </w:tcPr>
          <w:p w14:paraId="66F1B74D" w14:textId="77777777" w:rsidR="00BB2CB4" w:rsidRPr="00222C32" w:rsidRDefault="000674DA">
            <w:pPr>
              <w:pStyle w:val="MeasureTableHeadingleftalignedwith2ptsspacing"/>
              <w:keepNext/>
            </w:pPr>
            <w:r w:rsidRPr="00222C32">
              <w:t>Department of Defence</w:t>
            </w:r>
          </w:p>
        </w:tc>
        <w:tc>
          <w:tcPr>
            <w:tcW w:w="1044" w:type="dxa"/>
          </w:tcPr>
          <w:p w14:paraId="6211F13E" w14:textId="77777777" w:rsidR="00BB2CB4" w:rsidRPr="00222C32" w:rsidRDefault="000674DA">
            <w:pPr>
              <w:pStyle w:val="MeasureTableDataRightAlignedwith2ptsspacing"/>
              <w:keepNext/>
            </w:pPr>
            <w:r w:rsidRPr="00222C32">
              <w:t>-</w:t>
            </w:r>
          </w:p>
        </w:tc>
        <w:tc>
          <w:tcPr>
            <w:tcW w:w="1044" w:type="dxa"/>
          </w:tcPr>
          <w:p w14:paraId="6560C36B" w14:textId="77777777" w:rsidR="00BB2CB4" w:rsidRPr="00222C32" w:rsidRDefault="000674DA">
            <w:pPr>
              <w:pStyle w:val="MeasureTableDataRightAlignedwith2ptsspacing"/>
              <w:keepNext/>
            </w:pPr>
            <w:r w:rsidRPr="00222C32">
              <w:t>-10.7</w:t>
            </w:r>
          </w:p>
        </w:tc>
        <w:tc>
          <w:tcPr>
            <w:tcW w:w="1044" w:type="dxa"/>
          </w:tcPr>
          <w:p w14:paraId="4C35CF4A" w14:textId="77777777" w:rsidR="00BB2CB4" w:rsidRPr="00222C32" w:rsidRDefault="000674DA">
            <w:pPr>
              <w:pStyle w:val="MeasureTableDataRightAlignedwith2ptsspacing"/>
              <w:keepNext/>
            </w:pPr>
            <w:r w:rsidRPr="00222C32">
              <w:t>-23.8</w:t>
            </w:r>
          </w:p>
        </w:tc>
        <w:tc>
          <w:tcPr>
            <w:tcW w:w="1044" w:type="dxa"/>
          </w:tcPr>
          <w:p w14:paraId="475E278B" w14:textId="77777777" w:rsidR="00BB2CB4" w:rsidRPr="00222C32" w:rsidRDefault="000674DA">
            <w:pPr>
              <w:pStyle w:val="MeasureTableDataRightAlignedwith2ptsspacing"/>
              <w:keepNext/>
            </w:pPr>
            <w:r w:rsidRPr="00222C32">
              <w:t>-22.9</w:t>
            </w:r>
          </w:p>
        </w:tc>
        <w:tc>
          <w:tcPr>
            <w:tcW w:w="1044" w:type="dxa"/>
          </w:tcPr>
          <w:p w14:paraId="021FDB4A" w14:textId="77777777" w:rsidR="00BB2CB4" w:rsidRPr="00222C32" w:rsidRDefault="000674DA">
            <w:pPr>
              <w:pStyle w:val="MeasureTableDataRightAlignedwith2ptsspacing"/>
              <w:keepNext/>
            </w:pPr>
            <w:r w:rsidRPr="00222C32">
              <w:t>-20.6</w:t>
            </w:r>
          </w:p>
        </w:tc>
      </w:tr>
      <w:tr w:rsidR="00BB2CB4" w:rsidRPr="00222C32" w14:paraId="686A9687" w14:textId="77777777" w:rsidTr="00825163">
        <w:trPr>
          <w:cantSplit/>
        </w:trPr>
        <w:tc>
          <w:tcPr>
            <w:tcW w:w="2501" w:type="dxa"/>
          </w:tcPr>
          <w:p w14:paraId="0C9B708F" w14:textId="77777777" w:rsidR="00BB2CB4" w:rsidRPr="00222C32" w:rsidRDefault="000674DA">
            <w:pPr>
              <w:pStyle w:val="Totalrowleftaligned"/>
              <w:keepNext/>
            </w:pPr>
            <w:r w:rsidRPr="00222C32">
              <w:t>Total – Payments</w:t>
            </w:r>
          </w:p>
        </w:tc>
        <w:tc>
          <w:tcPr>
            <w:tcW w:w="1044" w:type="dxa"/>
          </w:tcPr>
          <w:p w14:paraId="4239E68E" w14:textId="77777777" w:rsidR="00BB2CB4" w:rsidRPr="00222C32" w:rsidRDefault="000674DA">
            <w:pPr>
              <w:pStyle w:val="Totaldatarowrightaligned"/>
              <w:keepNext/>
            </w:pPr>
            <w:r w:rsidRPr="00222C32">
              <w:t>-</w:t>
            </w:r>
          </w:p>
        </w:tc>
        <w:tc>
          <w:tcPr>
            <w:tcW w:w="1044" w:type="dxa"/>
          </w:tcPr>
          <w:p w14:paraId="424EAFCD" w14:textId="77777777" w:rsidR="00BB2CB4" w:rsidRPr="00222C32" w:rsidRDefault="000674DA">
            <w:pPr>
              <w:pStyle w:val="Totaldatarowrightaligned"/>
              <w:keepNext/>
            </w:pPr>
            <w:r w:rsidRPr="00222C32">
              <w:t>-</w:t>
            </w:r>
          </w:p>
        </w:tc>
        <w:tc>
          <w:tcPr>
            <w:tcW w:w="1044" w:type="dxa"/>
          </w:tcPr>
          <w:p w14:paraId="5FBB199F" w14:textId="77777777" w:rsidR="00BB2CB4" w:rsidRPr="00222C32" w:rsidRDefault="000674DA">
            <w:pPr>
              <w:pStyle w:val="Totaldatarowrightaligned"/>
              <w:keepNext/>
            </w:pPr>
            <w:r w:rsidRPr="00222C32">
              <w:t>-</w:t>
            </w:r>
          </w:p>
        </w:tc>
        <w:tc>
          <w:tcPr>
            <w:tcW w:w="1044" w:type="dxa"/>
          </w:tcPr>
          <w:p w14:paraId="27D2D3E9" w14:textId="77777777" w:rsidR="00BB2CB4" w:rsidRPr="00222C32" w:rsidRDefault="000674DA">
            <w:pPr>
              <w:pStyle w:val="Totaldatarowrightaligned"/>
              <w:keepNext/>
            </w:pPr>
            <w:r w:rsidRPr="00222C32">
              <w:t>-</w:t>
            </w:r>
          </w:p>
        </w:tc>
        <w:tc>
          <w:tcPr>
            <w:tcW w:w="1044" w:type="dxa"/>
          </w:tcPr>
          <w:p w14:paraId="5E1861BE" w14:textId="77777777" w:rsidR="00BB2CB4" w:rsidRPr="00222C32" w:rsidRDefault="000674DA">
            <w:pPr>
              <w:pStyle w:val="Totaldatarowrightaligned"/>
              <w:keepNext/>
            </w:pPr>
            <w:r w:rsidRPr="00222C32">
              <w:t>-</w:t>
            </w:r>
          </w:p>
        </w:tc>
      </w:tr>
    </w:tbl>
    <w:p w14:paraId="35602079" w14:textId="77777777" w:rsidR="007776AB" w:rsidRDefault="007776AB" w:rsidP="007776AB">
      <w:pPr>
        <w:pStyle w:val="SingleParagraph"/>
      </w:pPr>
    </w:p>
    <w:p w14:paraId="7B137AA9" w14:textId="77777777" w:rsidR="00BB2CB4" w:rsidRDefault="000674DA">
      <w:pPr>
        <w:pStyle w:val="Normal2"/>
      </w:pPr>
      <w:r w:rsidRPr="69C11E82">
        <w:rPr>
          <w:lang w:val="en-US"/>
        </w:rPr>
        <w:t>The Government will provide $78.0 million over four years from 2025–‍26 (and $7.5 million per year ongoing) to establish a new executive agency from 1 July 2026 focused on veteran wellbeing to deliver more integrated and connected support for veterans and families, including:</w:t>
      </w:r>
    </w:p>
    <w:p w14:paraId="355594F7" w14:textId="34115D14" w:rsidR="00BB2CB4" w:rsidRDefault="000674DA">
      <w:pPr>
        <w:pStyle w:val="Bullet"/>
      </w:pPr>
      <w:r>
        <w:t>$38.9 million over three years from 2026–‍27 for the Veterans</w:t>
      </w:r>
      <w:r w:rsidR="00222C32">
        <w:t>’</w:t>
      </w:r>
      <w:r>
        <w:t xml:space="preserve"> and Families</w:t>
      </w:r>
      <w:r w:rsidR="00222C32">
        <w:t>’</w:t>
      </w:r>
      <w:r>
        <w:t xml:space="preserve"> Hubs program</w:t>
      </w:r>
    </w:p>
    <w:p w14:paraId="2F408D0A" w14:textId="77777777" w:rsidR="00BB2CB4" w:rsidRDefault="000674DA">
      <w:pPr>
        <w:pStyle w:val="Bullet"/>
      </w:pPr>
      <w:r>
        <w:t>$2.9 million over three years from 2026–‍27 (and $1.1 million per year ongoing) for a cultural transition program to support veterans transition from military to civilian life.</w:t>
      </w:r>
    </w:p>
    <w:p w14:paraId="5A6F9325" w14:textId="77777777" w:rsidR="00BB2CB4" w:rsidRDefault="000674DA">
      <w:pPr>
        <w:pStyle w:val="Normal2"/>
      </w:pPr>
      <w:r w:rsidRPr="69C11E82">
        <w:rPr>
          <w:lang w:val="en-US"/>
        </w:rPr>
        <w:lastRenderedPageBreak/>
        <w:t>The cost of this measure will be met from savings identified in the Defence portfolio.</w:t>
      </w:r>
    </w:p>
    <w:p w14:paraId="056CDC78" w14:textId="77777777" w:rsidR="00BB2CB4" w:rsidRDefault="000674DA">
      <w:pPr>
        <w:pStyle w:val="Normal2"/>
      </w:pPr>
      <w:r w:rsidRPr="69C11E82">
        <w:rPr>
          <w:lang w:val="en-US"/>
        </w:rPr>
        <w:t xml:space="preserve">This measure supports the </w:t>
      </w:r>
      <w:r w:rsidRPr="69C11E82">
        <w:rPr>
          <w:i/>
          <w:lang w:val="en-US"/>
        </w:rPr>
        <w:t>Australian Government Response to the Final Report of the Royal Commission into Defence and Veteran Suicide</w:t>
      </w:r>
      <w:r w:rsidRPr="69C11E82">
        <w:rPr>
          <w:lang w:val="en-US"/>
        </w:rPr>
        <w:t>.</w:t>
      </w:r>
    </w:p>
    <w:p w14:paraId="3C529BE5" w14:textId="2D99F991" w:rsidR="00BB2CB4" w:rsidRDefault="000674DA">
      <w:pPr>
        <w:pStyle w:val="MeasureTitle"/>
      </w:pPr>
      <w:r>
        <w:t>Department of Veterans</w:t>
      </w:r>
      <w:r w:rsidR="00222C32">
        <w:t>’</w:t>
      </w:r>
      <w:r>
        <w:t xml:space="preserve"> Affairs – strengthening program integrity and veterans</w:t>
      </w:r>
      <w:r w:rsidR="00222C32">
        <w:t>’</w:t>
      </w:r>
      <w:r w:rsidR="00EF4629">
        <w:t> </w:t>
      </w:r>
      <w:r>
        <w:t>advocacy</w:t>
      </w:r>
    </w:p>
    <w:p w14:paraId="483371CA"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CE0F8EE" w14:textId="77777777" w:rsidTr="00825163">
        <w:trPr>
          <w:cantSplit/>
        </w:trPr>
        <w:tc>
          <w:tcPr>
            <w:tcW w:w="2501" w:type="dxa"/>
          </w:tcPr>
          <w:p w14:paraId="78A124CD" w14:textId="77777777" w:rsidR="00BB2CB4" w:rsidRPr="00222C32" w:rsidRDefault="00BB2CB4">
            <w:pPr>
              <w:pStyle w:val="MeasureTableYearHeadings"/>
              <w:keepNext/>
            </w:pPr>
          </w:p>
        </w:tc>
        <w:tc>
          <w:tcPr>
            <w:tcW w:w="1044" w:type="dxa"/>
          </w:tcPr>
          <w:p w14:paraId="590DC52E" w14:textId="77777777" w:rsidR="00BB2CB4" w:rsidRPr="00222C32" w:rsidRDefault="000674DA">
            <w:pPr>
              <w:pStyle w:val="MeasureTableYearHeadings"/>
              <w:keepNext/>
            </w:pPr>
            <w:r w:rsidRPr="00222C32">
              <w:t>2024-25</w:t>
            </w:r>
          </w:p>
        </w:tc>
        <w:tc>
          <w:tcPr>
            <w:tcW w:w="1044" w:type="dxa"/>
          </w:tcPr>
          <w:p w14:paraId="00526788" w14:textId="77777777" w:rsidR="00BB2CB4" w:rsidRPr="00222C32" w:rsidRDefault="000674DA">
            <w:pPr>
              <w:pStyle w:val="MeasureTableYearHeadings"/>
              <w:keepNext/>
            </w:pPr>
            <w:r w:rsidRPr="00222C32">
              <w:t>2025-26</w:t>
            </w:r>
          </w:p>
        </w:tc>
        <w:tc>
          <w:tcPr>
            <w:tcW w:w="1044" w:type="dxa"/>
          </w:tcPr>
          <w:p w14:paraId="745A7C82" w14:textId="77777777" w:rsidR="00BB2CB4" w:rsidRPr="00222C32" w:rsidRDefault="000674DA">
            <w:pPr>
              <w:pStyle w:val="MeasureTableYearHeadings"/>
              <w:keepNext/>
            </w:pPr>
            <w:r w:rsidRPr="00222C32">
              <w:t>2026-27</w:t>
            </w:r>
          </w:p>
        </w:tc>
        <w:tc>
          <w:tcPr>
            <w:tcW w:w="1044" w:type="dxa"/>
          </w:tcPr>
          <w:p w14:paraId="4E677898" w14:textId="77777777" w:rsidR="00BB2CB4" w:rsidRPr="00222C32" w:rsidRDefault="000674DA">
            <w:pPr>
              <w:pStyle w:val="MeasureTableYearHeadings"/>
              <w:keepNext/>
            </w:pPr>
            <w:r w:rsidRPr="00222C32">
              <w:t>2027-28</w:t>
            </w:r>
          </w:p>
        </w:tc>
        <w:tc>
          <w:tcPr>
            <w:tcW w:w="1044" w:type="dxa"/>
          </w:tcPr>
          <w:p w14:paraId="728A40B3" w14:textId="77777777" w:rsidR="00BB2CB4" w:rsidRPr="00222C32" w:rsidRDefault="000674DA">
            <w:pPr>
              <w:pStyle w:val="MeasureTableYearHeadings"/>
              <w:keepNext/>
            </w:pPr>
            <w:r w:rsidRPr="00222C32">
              <w:t>2028-29</w:t>
            </w:r>
          </w:p>
        </w:tc>
      </w:tr>
      <w:tr w:rsidR="00BB2CB4" w:rsidRPr="00222C32" w14:paraId="7357DE3C" w14:textId="77777777" w:rsidTr="00825163">
        <w:trPr>
          <w:cantSplit/>
        </w:trPr>
        <w:tc>
          <w:tcPr>
            <w:tcW w:w="2501" w:type="dxa"/>
          </w:tcPr>
          <w:p w14:paraId="1DBA9D80" w14:textId="77777777" w:rsidR="00BB2CB4" w:rsidRPr="00222C32" w:rsidRDefault="000674DA">
            <w:pPr>
              <w:pStyle w:val="MeasureTableHeadingleftalignedwith2ptsspacing"/>
              <w:keepNext/>
            </w:pPr>
            <w:r w:rsidRPr="00222C32">
              <w:t>Department of Health, Disability and Ageing</w:t>
            </w:r>
          </w:p>
        </w:tc>
        <w:tc>
          <w:tcPr>
            <w:tcW w:w="1044" w:type="dxa"/>
          </w:tcPr>
          <w:p w14:paraId="1B390594" w14:textId="77777777" w:rsidR="00BB2CB4" w:rsidRPr="00222C32" w:rsidRDefault="000674DA">
            <w:pPr>
              <w:pStyle w:val="MeasureTableDataRightAlignedwith2ptsspacing"/>
              <w:keepNext/>
            </w:pPr>
            <w:r w:rsidRPr="00222C32">
              <w:t>-</w:t>
            </w:r>
          </w:p>
        </w:tc>
        <w:tc>
          <w:tcPr>
            <w:tcW w:w="1044" w:type="dxa"/>
          </w:tcPr>
          <w:p w14:paraId="7597BC94" w14:textId="77777777" w:rsidR="00BB2CB4" w:rsidRPr="00222C32" w:rsidRDefault="000674DA">
            <w:pPr>
              <w:pStyle w:val="MeasureTableDataRightAlignedwith2ptsspacing"/>
              <w:keepNext/>
            </w:pPr>
            <w:r w:rsidRPr="00222C32">
              <w:t>0.8</w:t>
            </w:r>
          </w:p>
        </w:tc>
        <w:tc>
          <w:tcPr>
            <w:tcW w:w="1044" w:type="dxa"/>
          </w:tcPr>
          <w:p w14:paraId="592A7459" w14:textId="77777777" w:rsidR="00BB2CB4" w:rsidRPr="00222C32" w:rsidRDefault="000674DA">
            <w:pPr>
              <w:pStyle w:val="MeasureTableDataRightAlignedwith2ptsspacing"/>
              <w:keepNext/>
            </w:pPr>
            <w:r w:rsidRPr="00222C32">
              <w:t>1.6</w:t>
            </w:r>
          </w:p>
        </w:tc>
        <w:tc>
          <w:tcPr>
            <w:tcW w:w="1044" w:type="dxa"/>
          </w:tcPr>
          <w:p w14:paraId="4CBE5A77" w14:textId="77777777" w:rsidR="00BB2CB4" w:rsidRPr="00222C32" w:rsidRDefault="000674DA">
            <w:pPr>
              <w:pStyle w:val="MeasureTableDataRightAlignedwith2ptsspacing"/>
              <w:keepNext/>
            </w:pPr>
            <w:r w:rsidRPr="00222C32">
              <w:t>1.5</w:t>
            </w:r>
          </w:p>
        </w:tc>
        <w:tc>
          <w:tcPr>
            <w:tcW w:w="1044" w:type="dxa"/>
          </w:tcPr>
          <w:p w14:paraId="3DA162CB" w14:textId="77777777" w:rsidR="00BB2CB4" w:rsidRPr="00222C32" w:rsidRDefault="000674DA">
            <w:pPr>
              <w:pStyle w:val="MeasureTableDataRightAlignedwith2ptsspacing"/>
              <w:keepNext/>
            </w:pPr>
            <w:r w:rsidRPr="00222C32">
              <w:t>-</w:t>
            </w:r>
          </w:p>
        </w:tc>
      </w:tr>
      <w:tr w:rsidR="00BB2CB4" w:rsidRPr="00222C32" w14:paraId="780AA617" w14:textId="77777777" w:rsidTr="00825163">
        <w:trPr>
          <w:cantSplit/>
        </w:trPr>
        <w:tc>
          <w:tcPr>
            <w:tcW w:w="2501" w:type="dxa"/>
          </w:tcPr>
          <w:p w14:paraId="0CF5917F" w14:textId="77777777" w:rsidR="00BB2CB4" w:rsidRPr="00222C32" w:rsidRDefault="000674DA">
            <w:pPr>
              <w:pStyle w:val="MeasureTableHeadingleftalignedwith2ptsspacing"/>
              <w:keepNext/>
            </w:pPr>
            <w:r w:rsidRPr="00222C32">
              <w:t>Professional Services Review</w:t>
            </w:r>
          </w:p>
        </w:tc>
        <w:tc>
          <w:tcPr>
            <w:tcW w:w="1044" w:type="dxa"/>
          </w:tcPr>
          <w:p w14:paraId="43DB659E" w14:textId="77777777" w:rsidR="00BB2CB4" w:rsidRPr="00222C32" w:rsidRDefault="000674DA">
            <w:pPr>
              <w:pStyle w:val="MeasureTableDataRightAlignedwith2ptsspacing"/>
              <w:keepNext/>
            </w:pPr>
            <w:r w:rsidRPr="00222C32">
              <w:t>-</w:t>
            </w:r>
          </w:p>
        </w:tc>
        <w:tc>
          <w:tcPr>
            <w:tcW w:w="1044" w:type="dxa"/>
          </w:tcPr>
          <w:p w14:paraId="52D625E1" w14:textId="77777777" w:rsidR="00BB2CB4" w:rsidRPr="00222C32" w:rsidRDefault="000674DA">
            <w:pPr>
              <w:pStyle w:val="MeasureTableDataRightAlignedwith2ptsspacing"/>
              <w:keepNext/>
            </w:pPr>
            <w:r w:rsidRPr="00222C32">
              <w:t>0.1</w:t>
            </w:r>
          </w:p>
        </w:tc>
        <w:tc>
          <w:tcPr>
            <w:tcW w:w="1044" w:type="dxa"/>
          </w:tcPr>
          <w:p w14:paraId="7C780D83" w14:textId="77777777" w:rsidR="00BB2CB4" w:rsidRPr="00222C32" w:rsidRDefault="000674DA">
            <w:pPr>
              <w:pStyle w:val="MeasureTableDataRightAlignedwith2ptsspacing"/>
              <w:keepNext/>
            </w:pPr>
            <w:r w:rsidRPr="00222C32">
              <w:t>0.2</w:t>
            </w:r>
          </w:p>
        </w:tc>
        <w:tc>
          <w:tcPr>
            <w:tcW w:w="1044" w:type="dxa"/>
          </w:tcPr>
          <w:p w14:paraId="24AB668F" w14:textId="77777777" w:rsidR="00BB2CB4" w:rsidRPr="00222C32" w:rsidRDefault="000674DA">
            <w:pPr>
              <w:pStyle w:val="MeasureTableDataRightAlignedwith2ptsspacing"/>
              <w:keepNext/>
            </w:pPr>
            <w:r w:rsidRPr="00222C32">
              <w:t>0.2</w:t>
            </w:r>
          </w:p>
        </w:tc>
        <w:tc>
          <w:tcPr>
            <w:tcW w:w="1044" w:type="dxa"/>
          </w:tcPr>
          <w:p w14:paraId="5E8A3B1D" w14:textId="77777777" w:rsidR="00BB2CB4" w:rsidRPr="00222C32" w:rsidRDefault="000674DA">
            <w:pPr>
              <w:pStyle w:val="MeasureTableDataRightAlignedwith2ptsspacing"/>
              <w:keepNext/>
            </w:pPr>
            <w:r w:rsidRPr="00222C32">
              <w:t>-</w:t>
            </w:r>
          </w:p>
        </w:tc>
      </w:tr>
      <w:tr w:rsidR="00BB2CB4" w:rsidRPr="00222C32" w14:paraId="4BDDDB58" w14:textId="77777777" w:rsidTr="00825163">
        <w:trPr>
          <w:cantSplit/>
        </w:trPr>
        <w:tc>
          <w:tcPr>
            <w:tcW w:w="2501" w:type="dxa"/>
          </w:tcPr>
          <w:p w14:paraId="4B92C966" w14:textId="6EC2C0D6"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5945306F" w14:textId="77777777" w:rsidR="00BB2CB4" w:rsidRPr="00222C32" w:rsidRDefault="000674DA">
            <w:pPr>
              <w:pStyle w:val="MeasureTableDataRightAlignedwith2ptsspacing"/>
              <w:keepNext/>
            </w:pPr>
            <w:r w:rsidRPr="00222C32">
              <w:t>-</w:t>
            </w:r>
          </w:p>
        </w:tc>
        <w:tc>
          <w:tcPr>
            <w:tcW w:w="1044" w:type="dxa"/>
          </w:tcPr>
          <w:p w14:paraId="4E5FFF1F" w14:textId="77777777" w:rsidR="00BB2CB4" w:rsidRPr="00222C32" w:rsidRDefault="000674DA">
            <w:pPr>
              <w:pStyle w:val="MeasureTableDataRightAlignedwith2ptsspacing"/>
              <w:keepNext/>
            </w:pPr>
            <w:r w:rsidRPr="00222C32">
              <w:t>-25.6</w:t>
            </w:r>
          </w:p>
        </w:tc>
        <w:tc>
          <w:tcPr>
            <w:tcW w:w="1044" w:type="dxa"/>
          </w:tcPr>
          <w:p w14:paraId="53CB1836" w14:textId="77777777" w:rsidR="00BB2CB4" w:rsidRPr="00222C32" w:rsidRDefault="000674DA">
            <w:pPr>
              <w:pStyle w:val="MeasureTableDataRightAlignedwith2ptsspacing"/>
              <w:keepNext/>
            </w:pPr>
            <w:r w:rsidRPr="00222C32">
              <w:t>-178.6</w:t>
            </w:r>
          </w:p>
        </w:tc>
        <w:tc>
          <w:tcPr>
            <w:tcW w:w="1044" w:type="dxa"/>
          </w:tcPr>
          <w:p w14:paraId="316CA230" w14:textId="77777777" w:rsidR="00BB2CB4" w:rsidRPr="00222C32" w:rsidRDefault="000674DA">
            <w:pPr>
              <w:pStyle w:val="MeasureTableDataRightAlignedwith2ptsspacing"/>
              <w:keepNext/>
            </w:pPr>
            <w:r w:rsidRPr="00222C32">
              <w:t>-206.5</w:t>
            </w:r>
          </w:p>
        </w:tc>
        <w:tc>
          <w:tcPr>
            <w:tcW w:w="1044" w:type="dxa"/>
          </w:tcPr>
          <w:p w14:paraId="2F96EBB9" w14:textId="77777777" w:rsidR="00BB2CB4" w:rsidRPr="00222C32" w:rsidRDefault="000674DA">
            <w:pPr>
              <w:pStyle w:val="MeasureTableDataRightAlignedwith2ptsspacing"/>
              <w:keepNext/>
            </w:pPr>
            <w:r w:rsidRPr="00222C32">
              <w:t>-272.1</w:t>
            </w:r>
          </w:p>
        </w:tc>
      </w:tr>
      <w:tr w:rsidR="00BB2CB4" w:rsidRPr="00222C32" w14:paraId="2B4BF0A3" w14:textId="77777777" w:rsidTr="00825163">
        <w:trPr>
          <w:cantSplit/>
        </w:trPr>
        <w:tc>
          <w:tcPr>
            <w:tcW w:w="2501" w:type="dxa"/>
          </w:tcPr>
          <w:p w14:paraId="19348F38" w14:textId="77777777" w:rsidR="00BB2CB4" w:rsidRPr="00222C32" w:rsidRDefault="000674DA">
            <w:pPr>
              <w:pStyle w:val="Totalrowleftaligned"/>
              <w:keepNext/>
            </w:pPr>
            <w:r w:rsidRPr="00222C32">
              <w:t>Total – Payments</w:t>
            </w:r>
          </w:p>
        </w:tc>
        <w:tc>
          <w:tcPr>
            <w:tcW w:w="1044" w:type="dxa"/>
          </w:tcPr>
          <w:p w14:paraId="10671F6E" w14:textId="77777777" w:rsidR="00BB2CB4" w:rsidRPr="00222C32" w:rsidRDefault="000674DA">
            <w:pPr>
              <w:pStyle w:val="Totaldatarowrightaligned"/>
              <w:keepNext/>
            </w:pPr>
            <w:r w:rsidRPr="00222C32">
              <w:t>-</w:t>
            </w:r>
          </w:p>
        </w:tc>
        <w:tc>
          <w:tcPr>
            <w:tcW w:w="1044" w:type="dxa"/>
          </w:tcPr>
          <w:p w14:paraId="5F2D6865" w14:textId="77777777" w:rsidR="00BB2CB4" w:rsidRPr="00222C32" w:rsidRDefault="000674DA">
            <w:pPr>
              <w:pStyle w:val="Totaldatarowrightaligned"/>
              <w:keepNext/>
            </w:pPr>
            <w:r w:rsidRPr="00222C32">
              <w:t>-24.7</w:t>
            </w:r>
          </w:p>
        </w:tc>
        <w:tc>
          <w:tcPr>
            <w:tcW w:w="1044" w:type="dxa"/>
          </w:tcPr>
          <w:p w14:paraId="6C0AD5B0" w14:textId="77777777" w:rsidR="00BB2CB4" w:rsidRPr="00222C32" w:rsidRDefault="000674DA">
            <w:pPr>
              <w:pStyle w:val="Totaldatarowrightaligned"/>
              <w:keepNext/>
            </w:pPr>
            <w:r w:rsidRPr="00222C32">
              <w:t>-176.9</w:t>
            </w:r>
          </w:p>
        </w:tc>
        <w:tc>
          <w:tcPr>
            <w:tcW w:w="1044" w:type="dxa"/>
          </w:tcPr>
          <w:p w14:paraId="76B4A976" w14:textId="77777777" w:rsidR="00BB2CB4" w:rsidRPr="00222C32" w:rsidRDefault="000674DA">
            <w:pPr>
              <w:pStyle w:val="Totaldatarowrightaligned"/>
              <w:keepNext/>
            </w:pPr>
            <w:r w:rsidRPr="00222C32">
              <w:t>-204.8</w:t>
            </w:r>
          </w:p>
        </w:tc>
        <w:tc>
          <w:tcPr>
            <w:tcW w:w="1044" w:type="dxa"/>
          </w:tcPr>
          <w:p w14:paraId="0BD5FCB2" w14:textId="77777777" w:rsidR="00BB2CB4" w:rsidRPr="00222C32" w:rsidRDefault="000674DA">
            <w:pPr>
              <w:pStyle w:val="Totaldatarowrightaligned"/>
              <w:keepNext/>
            </w:pPr>
            <w:r w:rsidRPr="00222C32">
              <w:t>-272.1</w:t>
            </w:r>
          </w:p>
        </w:tc>
      </w:tr>
    </w:tbl>
    <w:p w14:paraId="613D39FB" w14:textId="77777777" w:rsidR="00E24E1E" w:rsidRDefault="00E24E1E" w:rsidP="00E24E1E">
      <w:pPr>
        <w:pStyle w:val="SingleParagraph"/>
      </w:pPr>
    </w:p>
    <w:p w14:paraId="1D245A95" w14:textId="18475F5B" w:rsidR="00BB2CB4" w:rsidRDefault="000674DA">
      <w:pPr>
        <w:pStyle w:val="Normal2"/>
      </w:pPr>
      <w:r w:rsidRPr="69C11E82">
        <w:rPr>
          <w:lang w:val="en-US"/>
        </w:rPr>
        <w:t>The Government will provide $203.1 million over four years from 2025–‍26 to strengthen the Veterans</w:t>
      </w:r>
      <w:r w:rsidR="00222C32" w:rsidRPr="69C11E82">
        <w:rPr>
          <w:lang w:val="en-US"/>
        </w:rPr>
        <w:t>’</w:t>
      </w:r>
      <w:r w:rsidRPr="69C11E82">
        <w:rPr>
          <w:lang w:val="en-US"/>
        </w:rPr>
        <w:t xml:space="preserve"> Affairs portfolio</w:t>
      </w:r>
      <w:r w:rsidR="00222C32" w:rsidRPr="69C11E82">
        <w:rPr>
          <w:lang w:val="en-US"/>
        </w:rPr>
        <w:t>’</w:t>
      </w:r>
      <w:r w:rsidRPr="69C11E82">
        <w:rPr>
          <w:lang w:val="en-US"/>
        </w:rPr>
        <w:t>s program integrity capability by improving the prevention, detection and response to service provider and advocate fraud across veterans</w:t>
      </w:r>
      <w:r w:rsidR="00222C32" w:rsidRPr="69C11E82">
        <w:rPr>
          <w:lang w:val="en-US"/>
        </w:rPr>
        <w:t>’</w:t>
      </w:r>
      <w:r w:rsidRPr="69C11E82">
        <w:rPr>
          <w:lang w:val="en-US"/>
        </w:rPr>
        <w:t xml:space="preserve"> benefits and services, and expanding support of professionalised advocacy services for veterans and their families. Funding includes:</w:t>
      </w:r>
    </w:p>
    <w:p w14:paraId="16B3C479" w14:textId="7DE856D8" w:rsidR="00BB2CB4" w:rsidRDefault="000674DA">
      <w:pPr>
        <w:pStyle w:val="Bullet"/>
      </w:pPr>
      <w:r>
        <w:t>$151.0 million over four years from 2025–‍26 (and $52.0 million in 2029–‍30 and $45.2 million per year ongoing from 2030–‍31) to improve program integrity capability at the Department of Veterans</w:t>
      </w:r>
      <w:r w:rsidR="00222C32">
        <w:t>’</w:t>
      </w:r>
      <w:r>
        <w:t xml:space="preserve"> Affairs</w:t>
      </w:r>
    </w:p>
    <w:p w14:paraId="09850E3B" w14:textId="77777777" w:rsidR="00BB2CB4" w:rsidRDefault="000674DA">
      <w:pPr>
        <w:pStyle w:val="Bullet"/>
      </w:pPr>
      <w:r>
        <w:t>$44.7 million over three years from 2026–‍27 (and $21.0 million per year ongoing) to increase funding for free‑to‑the‑veteran advocacy services through the Building Excellence in Support and Training (BEST) grants program</w:t>
      </w:r>
    </w:p>
    <w:p w14:paraId="507FB0B8" w14:textId="43542619" w:rsidR="00BB2CB4" w:rsidRDefault="000674DA">
      <w:pPr>
        <w:pStyle w:val="Bullet"/>
      </w:pPr>
      <w:r>
        <w:t>$4.4 million over three years from 2025–‍26 for the Department of Health, Disability and Ageing and the Professional Services Review to investigate options to respond to inappropriate practices relating to veterans</w:t>
      </w:r>
      <w:r w:rsidR="00222C32">
        <w:t>’</w:t>
      </w:r>
      <w:r>
        <w:t xml:space="preserve"> health services</w:t>
      </w:r>
    </w:p>
    <w:p w14:paraId="4DAB6107" w14:textId="77777777" w:rsidR="00BB2CB4" w:rsidRDefault="000674DA">
      <w:pPr>
        <w:pStyle w:val="Bullet"/>
      </w:pPr>
      <w:r>
        <w:t>$3.0 million over four years from 2025–‍26 to support the operations of the Institute of Veterans Advocacy.</w:t>
      </w:r>
    </w:p>
    <w:p w14:paraId="42B62FBF" w14:textId="3B99F7EB" w:rsidR="00BB2CB4" w:rsidRDefault="000674DA">
      <w:pPr>
        <w:pStyle w:val="Normal2"/>
      </w:pPr>
      <w:r>
        <w:t>Through this measure, the Government will achieve savings of $881.6 million over four years from 2025–‍26 (and $382.7 million per year ongoing) by strengthening program integrity across the Veterans</w:t>
      </w:r>
      <w:r w:rsidR="00222C32">
        <w:t>’</w:t>
      </w:r>
      <w:r>
        <w:t xml:space="preserve"> Affairs portfolio. Savings include:</w:t>
      </w:r>
    </w:p>
    <w:p w14:paraId="625282EF" w14:textId="5E5D64A4" w:rsidR="00BB2CB4" w:rsidRDefault="000674DA">
      <w:pPr>
        <w:pStyle w:val="Bullet"/>
      </w:pPr>
      <w:r>
        <w:t>$685.9 million over four years from 2025–‍26 (and $313.6 million per year ongoing) by reducing service provider and advocate non‑compliance and fraud across veterans</w:t>
      </w:r>
      <w:r w:rsidR="00222C32">
        <w:t>’</w:t>
      </w:r>
      <w:r>
        <w:t xml:space="preserve"> benefits services</w:t>
      </w:r>
    </w:p>
    <w:p w14:paraId="1275EEC8" w14:textId="2EA2F9AC" w:rsidR="00BB2CB4" w:rsidRDefault="000674DA">
      <w:pPr>
        <w:pStyle w:val="Bullet"/>
      </w:pPr>
      <w:r>
        <w:t>$130.0 million over three years from 2026–‍27 (and $45.9 million per year ongoing) by making regulatory improvements to the Department of Veterans</w:t>
      </w:r>
      <w:r w:rsidR="00222C32">
        <w:t>’</w:t>
      </w:r>
      <w:r>
        <w:t xml:space="preserve"> Affairs Medicinal Cannabis Framework</w:t>
      </w:r>
    </w:p>
    <w:p w14:paraId="51562DF8" w14:textId="65EBF987" w:rsidR="00BB2CB4" w:rsidRDefault="000674DA">
      <w:pPr>
        <w:pStyle w:val="Bullet"/>
      </w:pPr>
      <w:r>
        <w:t>$65.7 million over three years from 2026–‍27 (and $23.2 million per year ongoing) by reforming and regulating the commercial veterans</w:t>
      </w:r>
      <w:r w:rsidR="00222C32">
        <w:t>’</w:t>
      </w:r>
      <w:r>
        <w:t xml:space="preserve"> advocacy industry.</w:t>
      </w:r>
    </w:p>
    <w:p w14:paraId="722E6F96" w14:textId="65BBF873" w:rsidR="00BB2CB4" w:rsidRDefault="000674DA">
      <w:pPr>
        <w:pStyle w:val="Normal2"/>
      </w:pPr>
      <w:r>
        <w:lastRenderedPageBreak/>
        <w:t>The savings from this measure will partially fund other Government policy priorities in the Veterans</w:t>
      </w:r>
      <w:r w:rsidR="00222C32">
        <w:t>’</w:t>
      </w:r>
      <w:r>
        <w:t xml:space="preserve"> Affairs portfolio.</w:t>
      </w:r>
    </w:p>
    <w:p w14:paraId="7A7BCE4A" w14:textId="1D87196C" w:rsidR="00BB2CB4" w:rsidRDefault="000674DA">
      <w:pPr>
        <w:pStyle w:val="MeasureTitle"/>
      </w:pPr>
      <w:r w:rsidRPr="69C11E82">
        <w:rPr>
          <w:lang w:val="en-US"/>
        </w:rPr>
        <w:t>Establishment of the Defence and Veterans</w:t>
      </w:r>
      <w:r w:rsidR="00222C32" w:rsidRPr="69C11E82">
        <w:rPr>
          <w:lang w:val="en-US"/>
        </w:rPr>
        <w:t>’</w:t>
      </w:r>
      <w:r w:rsidRPr="69C11E82">
        <w:rPr>
          <w:lang w:val="en-US"/>
        </w:rPr>
        <w:t xml:space="preserve"> Services Commission</w:t>
      </w:r>
    </w:p>
    <w:p w14:paraId="7AA5F65F"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DC92FBC" w14:textId="77777777" w:rsidTr="00825163">
        <w:trPr>
          <w:cantSplit/>
        </w:trPr>
        <w:tc>
          <w:tcPr>
            <w:tcW w:w="2501" w:type="dxa"/>
          </w:tcPr>
          <w:p w14:paraId="4BE9A6B4" w14:textId="77777777" w:rsidR="00BB2CB4" w:rsidRPr="00222C32" w:rsidRDefault="00BB2CB4">
            <w:pPr>
              <w:pStyle w:val="MeasureTableYearHeadings"/>
              <w:keepNext/>
            </w:pPr>
          </w:p>
        </w:tc>
        <w:tc>
          <w:tcPr>
            <w:tcW w:w="1044" w:type="dxa"/>
          </w:tcPr>
          <w:p w14:paraId="5DAD1B89" w14:textId="77777777" w:rsidR="00BB2CB4" w:rsidRPr="00222C32" w:rsidRDefault="000674DA">
            <w:pPr>
              <w:pStyle w:val="MeasureTableYearHeadings"/>
              <w:keepNext/>
            </w:pPr>
            <w:r w:rsidRPr="00222C32">
              <w:t>2024-25</w:t>
            </w:r>
          </w:p>
        </w:tc>
        <w:tc>
          <w:tcPr>
            <w:tcW w:w="1044" w:type="dxa"/>
          </w:tcPr>
          <w:p w14:paraId="55062FEF" w14:textId="77777777" w:rsidR="00BB2CB4" w:rsidRPr="00222C32" w:rsidRDefault="000674DA">
            <w:pPr>
              <w:pStyle w:val="MeasureTableYearHeadings"/>
              <w:keepNext/>
            </w:pPr>
            <w:r w:rsidRPr="00222C32">
              <w:t>2025-26</w:t>
            </w:r>
          </w:p>
        </w:tc>
        <w:tc>
          <w:tcPr>
            <w:tcW w:w="1044" w:type="dxa"/>
          </w:tcPr>
          <w:p w14:paraId="6969C381" w14:textId="77777777" w:rsidR="00BB2CB4" w:rsidRPr="00222C32" w:rsidRDefault="000674DA">
            <w:pPr>
              <w:pStyle w:val="MeasureTableYearHeadings"/>
              <w:keepNext/>
            </w:pPr>
            <w:r w:rsidRPr="00222C32">
              <w:t>2026-27</w:t>
            </w:r>
          </w:p>
        </w:tc>
        <w:tc>
          <w:tcPr>
            <w:tcW w:w="1044" w:type="dxa"/>
          </w:tcPr>
          <w:p w14:paraId="197E2A58" w14:textId="77777777" w:rsidR="00BB2CB4" w:rsidRPr="00222C32" w:rsidRDefault="000674DA">
            <w:pPr>
              <w:pStyle w:val="MeasureTableYearHeadings"/>
              <w:keepNext/>
            </w:pPr>
            <w:r w:rsidRPr="00222C32">
              <w:t>2027-28</w:t>
            </w:r>
          </w:p>
        </w:tc>
        <w:tc>
          <w:tcPr>
            <w:tcW w:w="1044" w:type="dxa"/>
          </w:tcPr>
          <w:p w14:paraId="182B3CD3" w14:textId="77777777" w:rsidR="00BB2CB4" w:rsidRPr="00222C32" w:rsidRDefault="000674DA">
            <w:pPr>
              <w:pStyle w:val="MeasureTableYearHeadings"/>
              <w:keepNext/>
            </w:pPr>
            <w:r w:rsidRPr="00222C32">
              <w:t>2028-29</w:t>
            </w:r>
          </w:p>
        </w:tc>
      </w:tr>
      <w:tr w:rsidR="00BB2CB4" w:rsidRPr="00222C32" w14:paraId="0C9F920C" w14:textId="77777777" w:rsidTr="00825163">
        <w:trPr>
          <w:cantSplit/>
        </w:trPr>
        <w:tc>
          <w:tcPr>
            <w:tcW w:w="2501" w:type="dxa"/>
          </w:tcPr>
          <w:p w14:paraId="3A392B45" w14:textId="406CC2E2" w:rsidR="00BB2CB4" w:rsidRPr="00222C32" w:rsidRDefault="000674DA">
            <w:pPr>
              <w:pStyle w:val="MeasureTableHeadingleftalignedwith2ptsspacing"/>
              <w:keepNext/>
            </w:pPr>
            <w:r w:rsidRPr="00222C32">
              <w:t>Defence and Veterans</w:t>
            </w:r>
            <w:r w:rsidR="007974EF">
              <w:t>’</w:t>
            </w:r>
            <w:r w:rsidRPr="00222C32">
              <w:t xml:space="preserve"> Services Commission</w:t>
            </w:r>
          </w:p>
        </w:tc>
        <w:tc>
          <w:tcPr>
            <w:tcW w:w="1044" w:type="dxa"/>
          </w:tcPr>
          <w:p w14:paraId="3E3DC617" w14:textId="77777777" w:rsidR="00BB2CB4" w:rsidRPr="00222C32" w:rsidRDefault="000674DA">
            <w:pPr>
              <w:pStyle w:val="MeasureTableDataRightAlignedwith2ptsspacing"/>
              <w:keepNext/>
            </w:pPr>
            <w:r w:rsidRPr="00222C32">
              <w:t>-</w:t>
            </w:r>
          </w:p>
        </w:tc>
        <w:tc>
          <w:tcPr>
            <w:tcW w:w="1044" w:type="dxa"/>
          </w:tcPr>
          <w:p w14:paraId="62E539E5" w14:textId="77777777" w:rsidR="00BB2CB4" w:rsidRPr="00222C32" w:rsidRDefault="000674DA">
            <w:pPr>
              <w:pStyle w:val="MeasureTableDataRightAlignedwith2ptsspacing"/>
              <w:keepNext/>
            </w:pPr>
            <w:r w:rsidRPr="00222C32">
              <w:t>10.0</w:t>
            </w:r>
          </w:p>
        </w:tc>
        <w:tc>
          <w:tcPr>
            <w:tcW w:w="1044" w:type="dxa"/>
          </w:tcPr>
          <w:p w14:paraId="0EEAE25B" w14:textId="77777777" w:rsidR="00BB2CB4" w:rsidRPr="00222C32" w:rsidRDefault="000674DA">
            <w:pPr>
              <w:pStyle w:val="MeasureTableDataRightAlignedwith2ptsspacing"/>
              <w:keepNext/>
            </w:pPr>
            <w:r w:rsidRPr="00222C32">
              <w:t>10.4</w:t>
            </w:r>
          </w:p>
        </w:tc>
        <w:tc>
          <w:tcPr>
            <w:tcW w:w="1044" w:type="dxa"/>
          </w:tcPr>
          <w:p w14:paraId="63FA8091" w14:textId="77777777" w:rsidR="00BB2CB4" w:rsidRPr="00222C32" w:rsidRDefault="000674DA">
            <w:pPr>
              <w:pStyle w:val="MeasureTableDataRightAlignedwith2ptsspacing"/>
              <w:keepNext/>
            </w:pPr>
            <w:r w:rsidRPr="00222C32">
              <w:t>12.0</w:t>
            </w:r>
          </w:p>
        </w:tc>
        <w:tc>
          <w:tcPr>
            <w:tcW w:w="1044" w:type="dxa"/>
          </w:tcPr>
          <w:p w14:paraId="1C232DC5" w14:textId="77777777" w:rsidR="00BB2CB4" w:rsidRPr="00222C32" w:rsidRDefault="000674DA">
            <w:pPr>
              <w:pStyle w:val="MeasureTableDataRightAlignedwith2ptsspacing"/>
              <w:keepNext/>
            </w:pPr>
            <w:r w:rsidRPr="00222C32">
              <w:t>12.2</w:t>
            </w:r>
          </w:p>
        </w:tc>
      </w:tr>
      <w:tr w:rsidR="00BB2CB4" w:rsidRPr="00222C32" w14:paraId="699E4D0C" w14:textId="77777777" w:rsidTr="00825163">
        <w:trPr>
          <w:cantSplit/>
        </w:trPr>
        <w:tc>
          <w:tcPr>
            <w:tcW w:w="2501" w:type="dxa"/>
          </w:tcPr>
          <w:p w14:paraId="60B281AB" w14:textId="77777777" w:rsidR="00BB2CB4" w:rsidRPr="00222C32" w:rsidRDefault="000674DA">
            <w:pPr>
              <w:pStyle w:val="MeasureTableHeadingleftalignedwith2ptsspacing"/>
              <w:keepNext/>
            </w:pPr>
            <w:r w:rsidRPr="00222C32">
              <w:t>Department of Defence</w:t>
            </w:r>
          </w:p>
        </w:tc>
        <w:tc>
          <w:tcPr>
            <w:tcW w:w="1044" w:type="dxa"/>
          </w:tcPr>
          <w:p w14:paraId="3B255683" w14:textId="77777777" w:rsidR="00BB2CB4" w:rsidRPr="00222C32" w:rsidRDefault="000674DA">
            <w:pPr>
              <w:pStyle w:val="MeasureTableDataRightAlignedwith2ptsspacing"/>
              <w:keepNext/>
            </w:pPr>
            <w:r w:rsidRPr="00222C32">
              <w:t>-</w:t>
            </w:r>
          </w:p>
        </w:tc>
        <w:tc>
          <w:tcPr>
            <w:tcW w:w="1044" w:type="dxa"/>
          </w:tcPr>
          <w:p w14:paraId="2274ADD1" w14:textId="77777777" w:rsidR="00BB2CB4" w:rsidRPr="00222C32" w:rsidRDefault="000674DA">
            <w:pPr>
              <w:pStyle w:val="MeasureTableDataRightAlignedwith2ptsspacing"/>
              <w:keepNext/>
            </w:pPr>
            <w:r w:rsidRPr="00222C32">
              <w:t>-10.0</w:t>
            </w:r>
          </w:p>
        </w:tc>
        <w:tc>
          <w:tcPr>
            <w:tcW w:w="1044" w:type="dxa"/>
          </w:tcPr>
          <w:p w14:paraId="713CF6AD" w14:textId="77777777" w:rsidR="00BB2CB4" w:rsidRPr="00222C32" w:rsidRDefault="000674DA">
            <w:pPr>
              <w:pStyle w:val="MeasureTableDataRightAlignedwith2ptsspacing"/>
              <w:keepNext/>
            </w:pPr>
            <w:r w:rsidRPr="00222C32">
              <w:t>-10.4</w:t>
            </w:r>
          </w:p>
        </w:tc>
        <w:tc>
          <w:tcPr>
            <w:tcW w:w="1044" w:type="dxa"/>
          </w:tcPr>
          <w:p w14:paraId="4AD03D30" w14:textId="77777777" w:rsidR="00BB2CB4" w:rsidRPr="00222C32" w:rsidRDefault="000674DA">
            <w:pPr>
              <w:pStyle w:val="MeasureTableDataRightAlignedwith2ptsspacing"/>
              <w:keepNext/>
            </w:pPr>
            <w:r w:rsidRPr="00222C32">
              <w:t>-12.0</w:t>
            </w:r>
          </w:p>
        </w:tc>
        <w:tc>
          <w:tcPr>
            <w:tcW w:w="1044" w:type="dxa"/>
          </w:tcPr>
          <w:p w14:paraId="31C83B79" w14:textId="77777777" w:rsidR="00BB2CB4" w:rsidRPr="00222C32" w:rsidRDefault="000674DA">
            <w:pPr>
              <w:pStyle w:val="MeasureTableDataRightAlignedwith2ptsspacing"/>
              <w:keepNext/>
            </w:pPr>
            <w:r w:rsidRPr="00222C32">
              <w:t>-12.2</w:t>
            </w:r>
          </w:p>
        </w:tc>
      </w:tr>
      <w:tr w:rsidR="00BB2CB4" w:rsidRPr="00222C32" w14:paraId="1194B9AC" w14:textId="77777777" w:rsidTr="00825163">
        <w:trPr>
          <w:cantSplit/>
        </w:trPr>
        <w:tc>
          <w:tcPr>
            <w:tcW w:w="2501" w:type="dxa"/>
          </w:tcPr>
          <w:p w14:paraId="78FEB91F" w14:textId="77777777" w:rsidR="00BB2CB4" w:rsidRPr="00222C32" w:rsidRDefault="000674DA">
            <w:pPr>
              <w:pStyle w:val="Totalrowleftaligned"/>
              <w:keepNext/>
            </w:pPr>
            <w:r w:rsidRPr="00222C32">
              <w:t>Total – Payments</w:t>
            </w:r>
          </w:p>
        </w:tc>
        <w:tc>
          <w:tcPr>
            <w:tcW w:w="1044" w:type="dxa"/>
          </w:tcPr>
          <w:p w14:paraId="5F10CC73" w14:textId="77777777" w:rsidR="00BB2CB4" w:rsidRPr="00222C32" w:rsidRDefault="000674DA">
            <w:pPr>
              <w:pStyle w:val="Totaldatarowrightaligned"/>
              <w:keepNext/>
            </w:pPr>
            <w:r w:rsidRPr="00222C32">
              <w:t>-</w:t>
            </w:r>
          </w:p>
        </w:tc>
        <w:tc>
          <w:tcPr>
            <w:tcW w:w="1044" w:type="dxa"/>
          </w:tcPr>
          <w:p w14:paraId="22805117" w14:textId="77777777" w:rsidR="00BB2CB4" w:rsidRPr="00222C32" w:rsidRDefault="000674DA">
            <w:pPr>
              <w:pStyle w:val="Totaldatarowrightaligned"/>
              <w:keepNext/>
            </w:pPr>
            <w:r w:rsidRPr="00222C32">
              <w:t>-</w:t>
            </w:r>
          </w:p>
        </w:tc>
        <w:tc>
          <w:tcPr>
            <w:tcW w:w="1044" w:type="dxa"/>
          </w:tcPr>
          <w:p w14:paraId="2FB395C1" w14:textId="77777777" w:rsidR="00BB2CB4" w:rsidRPr="00222C32" w:rsidRDefault="000674DA">
            <w:pPr>
              <w:pStyle w:val="Totaldatarowrightaligned"/>
              <w:keepNext/>
            </w:pPr>
            <w:r w:rsidRPr="00222C32">
              <w:t>-</w:t>
            </w:r>
          </w:p>
        </w:tc>
        <w:tc>
          <w:tcPr>
            <w:tcW w:w="1044" w:type="dxa"/>
          </w:tcPr>
          <w:p w14:paraId="1784E203" w14:textId="77777777" w:rsidR="00BB2CB4" w:rsidRPr="00222C32" w:rsidRDefault="000674DA">
            <w:pPr>
              <w:pStyle w:val="Totaldatarowrightaligned"/>
              <w:keepNext/>
            </w:pPr>
            <w:r w:rsidRPr="00222C32">
              <w:t>-</w:t>
            </w:r>
          </w:p>
        </w:tc>
        <w:tc>
          <w:tcPr>
            <w:tcW w:w="1044" w:type="dxa"/>
          </w:tcPr>
          <w:p w14:paraId="5FDF38D9" w14:textId="77777777" w:rsidR="00BB2CB4" w:rsidRPr="00222C32" w:rsidRDefault="000674DA">
            <w:pPr>
              <w:pStyle w:val="Totaldatarowrightaligned"/>
              <w:keepNext/>
            </w:pPr>
            <w:r w:rsidRPr="00222C32">
              <w:t>-</w:t>
            </w:r>
          </w:p>
        </w:tc>
      </w:tr>
    </w:tbl>
    <w:p w14:paraId="77E8104F" w14:textId="77777777" w:rsidR="000F3AB2" w:rsidRDefault="000F3AB2" w:rsidP="000F3AB2">
      <w:pPr>
        <w:pStyle w:val="SingleParagraph"/>
      </w:pPr>
    </w:p>
    <w:p w14:paraId="4FC9818C" w14:textId="54C7AF9D" w:rsidR="00BB2CB4" w:rsidRDefault="000674DA">
      <w:pPr>
        <w:pStyle w:val="Normal2"/>
      </w:pPr>
      <w:r w:rsidRPr="69C11E82">
        <w:rPr>
          <w:lang w:val="en-US"/>
        </w:rPr>
        <w:t>The Government will provide $44.5 million over four years from 2025–‍26 (and $12.2 million per year ongoing) to establish and sustain the Defence and Veterans</w:t>
      </w:r>
      <w:r w:rsidR="00222C32" w:rsidRPr="69C11E82">
        <w:rPr>
          <w:lang w:val="en-US"/>
        </w:rPr>
        <w:t>’</w:t>
      </w:r>
      <w:r w:rsidRPr="69C11E82">
        <w:rPr>
          <w:lang w:val="en-US"/>
        </w:rPr>
        <w:t xml:space="preserve"> Services Commission (the Commission). The Commission will provide independent oversight and evidence‑based advice to government on reforms to improve suicide prevention and wellbeing outcomes for serving and ex‑serving Australian Defence Force members.</w:t>
      </w:r>
    </w:p>
    <w:p w14:paraId="007BB513" w14:textId="77777777" w:rsidR="00BB2CB4" w:rsidRDefault="000674DA">
      <w:pPr>
        <w:pStyle w:val="Normal2"/>
      </w:pPr>
      <w:r w:rsidRPr="69C11E82">
        <w:rPr>
          <w:lang w:val="en-US"/>
        </w:rPr>
        <w:t>The Department of Defence will meet the cost of this measure from within existing resources.</w:t>
      </w:r>
    </w:p>
    <w:p w14:paraId="24DE4BE2" w14:textId="77777777" w:rsidR="00BB2CB4" w:rsidRDefault="000674DA">
      <w:pPr>
        <w:pStyle w:val="Normal2"/>
      </w:pPr>
      <w:r w:rsidRPr="69C11E82">
        <w:rPr>
          <w:lang w:val="en-US"/>
        </w:rPr>
        <w:t xml:space="preserve">This measure builds on the 2024–‍25 MYEFO measure titled </w:t>
      </w:r>
      <w:r w:rsidRPr="69C11E82">
        <w:rPr>
          <w:i/>
          <w:lang w:val="en-US"/>
        </w:rPr>
        <w:t xml:space="preserve">Royal Commission into Defence and Veteran Suicide – initial steps. </w:t>
      </w:r>
    </w:p>
    <w:p w14:paraId="7F11D67F" w14:textId="77777777" w:rsidR="00BB2CB4" w:rsidRDefault="000674DA">
      <w:pPr>
        <w:pStyle w:val="MeasureTitle"/>
      </w:pPr>
      <w:r w:rsidRPr="69C11E82">
        <w:rPr>
          <w:lang w:val="en-US"/>
        </w:rPr>
        <w:t>Further Investment in Defence Naval Shipbuilding in Australia</w:t>
      </w:r>
    </w:p>
    <w:p w14:paraId="6A5EB0B8"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EE00B75" w14:textId="77777777" w:rsidTr="00825163">
        <w:trPr>
          <w:cantSplit/>
        </w:trPr>
        <w:tc>
          <w:tcPr>
            <w:tcW w:w="2501" w:type="dxa"/>
          </w:tcPr>
          <w:p w14:paraId="4DAE7EB3" w14:textId="77777777" w:rsidR="00BB2CB4" w:rsidRPr="00222C32" w:rsidRDefault="00BB2CB4">
            <w:pPr>
              <w:pStyle w:val="MeasureTableYearHeadings"/>
              <w:keepNext/>
            </w:pPr>
          </w:p>
        </w:tc>
        <w:tc>
          <w:tcPr>
            <w:tcW w:w="1044" w:type="dxa"/>
          </w:tcPr>
          <w:p w14:paraId="3A3F7C88" w14:textId="77777777" w:rsidR="00BB2CB4" w:rsidRPr="00222C32" w:rsidRDefault="000674DA">
            <w:pPr>
              <w:pStyle w:val="MeasureTableYearHeadings"/>
              <w:keepNext/>
            </w:pPr>
            <w:r w:rsidRPr="00222C32">
              <w:t>2024-25</w:t>
            </w:r>
          </w:p>
        </w:tc>
        <w:tc>
          <w:tcPr>
            <w:tcW w:w="1044" w:type="dxa"/>
          </w:tcPr>
          <w:p w14:paraId="30994FA3" w14:textId="77777777" w:rsidR="00BB2CB4" w:rsidRPr="00222C32" w:rsidRDefault="000674DA">
            <w:pPr>
              <w:pStyle w:val="MeasureTableYearHeadings"/>
              <w:keepNext/>
            </w:pPr>
            <w:r w:rsidRPr="00222C32">
              <w:t>2025-26</w:t>
            </w:r>
          </w:p>
        </w:tc>
        <w:tc>
          <w:tcPr>
            <w:tcW w:w="1044" w:type="dxa"/>
          </w:tcPr>
          <w:p w14:paraId="0490FF14" w14:textId="77777777" w:rsidR="00BB2CB4" w:rsidRPr="00222C32" w:rsidRDefault="000674DA">
            <w:pPr>
              <w:pStyle w:val="MeasureTableYearHeadings"/>
              <w:keepNext/>
            </w:pPr>
            <w:r w:rsidRPr="00222C32">
              <w:t>2026-27</w:t>
            </w:r>
          </w:p>
        </w:tc>
        <w:tc>
          <w:tcPr>
            <w:tcW w:w="1044" w:type="dxa"/>
          </w:tcPr>
          <w:p w14:paraId="49965418" w14:textId="77777777" w:rsidR="00BB2CB4" w:rsidRPr="00222C32" w:rsidRDefault="000674DA">
            <w:pPr>
              <w:pStyle w:val="MeasureTableYearHeadings"/>
              <w:keepNext/>
            </w:pPr>
            <w:r w:rsidRPr="00222C32">
              <w:t>2027-28</w:t>
            </w:r>
          </w:p>
        </w:tc>
        <w:tc>
          <w:tcPr>
            <w:tcW w:w="1044" w:type="dxa"/>
          </w:tcPr>
          <w:p w14:paraId="2724EE8B" w14:textId="77777777" w:rsidR="00BB2CB4" w:rsidRPr="00222C32" w:rsidRDefault="000674DA">
            <w:pPr>
              <w:pStyle w:val="MeasureTableYearHeadings"/>
              <w:keepNext/>
            </w:pPr>
            <w:r w:rsidRPr="00222C32">
              <w:t>2028-29</w:t>
            </w:r>
          </w:p>
        </w:tc>
      </w:tr>
      <w:tr w:rsidR="00BB2CB4" w:rsidRPr="00222C32" w14:paraId="16356FFE" w14:textId="77777777" w:rsidTr="00825163">
        <w:trPr>
          <w:cantSplit/>
        </w:trPr>
        <w:tc>
          <w:tcPr>
            <w:tcW w:w="2501" w:type="dxa"/>
          </w:tcPr>
          <w:p w14:paraId="042473DB" w14:textId="77777777" w:rsidR="00BB2CB4" w:rsidRPr="00222C32" w:rsidRDefault="000674DA">
            <w:pPr>
              <w:pStyle w:val="MeasureTableHeadingleftalignedwith2ptsspacing"/>
              <w:keepNext/>
            </w:pPr>
            <w:r w:rsidRPr="00222C32">
              <w:t>Department of Defence</w:t>
            </w:r>
          </w:p>
        </w:tc>
        <w:tc>
          <w:tcPr>
            <w:tcW w:w="1044" w:type="dxa"/>
          </w:tcPr>
          <w:p w14:paraId="057D3EB3" w14:textId="77777777" w:rsidR="00BB2CB4" w:rsidRPr="00222C32" w:rsidRDefault="000674DA">
            <w:pPr>
              <w:pStyle w:val="MeasureTableDataRightAlignedwith2ptsspacing"/>
              <w:keepNext/>
            </w:pPr>
            <w:r w:rsidRPr="00222C32">
              <w:t>-</w:t>
            </w:r>
          </w:p>
        </w:tc>
        <w:tc>
          <w:tcPr>
            <w:tcW w:w="1044" w:type="dxa"/>
          </w:tcPr>
          <w:p w14:paraId="30DB1DF6" w14:textId="77777777" w:rsidR="00BB2CB4" w:rsidRPr="00222C32" w:rsidRDefault="000674DA">
            <w:pPr>
              <w:pStyle w:val="MeasureTableDataRightAlignedwith2ptsspacing"/>
              <w:keepNext/>
            </w:pPr>
            <w:r w:rsidRPr="00222C32">
              <w:t>nfp</w:t>
            </w:r>
          </w:p>
        </w:tc>
        <w:tc>
          <w:tcPr>
            <w:tcW w:w="1044" w:type="dxa"/>
          </w:tcPr>
          <w:p w14:paraId="61194467" w14:textId="77777777" w:rsidR="00BB2CB4" w:rsidRPr="00222C32" w:rsidRDefault="000674DA">
            <w:pPr>
              <w:pStyle w:val="MeasureTableDataRightAlignedwith2ptsspacing"/>
              <w:keepNext/>
            </w:pPr>
            <w:r w:rsidRPr="00222C32">
              <w:t>nfp</w:t>
            </w:r>
          </w:p>
        </w:tc>
        <w:tc>
          <w:tcPr>
            <w:tcW w:w="1044" w:type="dxa"/>
          </w:tcPr>
          <w:p w14:paraId="2161FBB0" w14:textId="77777777" w:rsidR="00BB2CB4" w:rsidRPr="00222C32" w:rsidRDefault="000674DA">
            <w:pPr>
              <w:pStyle w:val="MeasureTableDataRightAlignedwith2ptsspacing"/>
              <w:keepNext/>
            </w:pPr>
            <w:r w:rsidRPr="00222C32">
              <w:t>nfp</w:t>
            </w:r>
          </w:p>
        </w:tc>
        <w:tc>
          <w:tcPr>
            <w:tcW w:w="1044" w:type="dxa"/>
          </w:tcPr>
          <w:p w14:paraId="4701415D" w14:textId="77777777" w:rsidR="00BB2CB4" w:rsidRPr="00222C32" w:rsidRDefault="000674DA">
            <w:pPr>
              <w:pStyle w:val="MeasureTableDataRightAlignedwith2ptsspacing"/>
              <w:keepNext/>
            </w:pPr>
            <w:r w:rsidRPr="00222C32">
              <w:t>nfp</w:t>
            </w:r>
          </w:p>
        </w:tc>
      </w:tr>
    </w:tbl>
    <w:p w14:paraId="5FB44EFA" w14:textId="77777777" w:rsidR="000F3AB2" w:rsidRDefault="000F3AB2" w:rsidP="000F3AB2">
      <w:pPr>
        <w:pStyle w:val="SingleParagraph"/>
      </w:pPr>
    </w:p>
    <w:p w14:paraId="3C47F4D5" w14:textId="77777777" w:rsidR="00BB2CB4" w:rsidRDefault="000674DA">
      <w:pPr>
        <w:pStyle w:val="Normal2"/>
      </w:pPr>
      <w:r w:rsidRPr="69C11E82">
        <w:rPr>
          <w:lang w:val="en-US"/>
        </w:rPr>
        <w:t>The Government will provide funding to support initial infrastructure needs at the Henderson Defence Precinct in Western Australia. The Henderson Defence Precinct will support continuous naval shipbuilding and the Nuclear‑Powered Submarine program.</w:t>
      </w:r>
    </w:p>
    <w:p w14:paraId="2F886613" w14:textId="6A4D794E" w:rsidR="00BB2CB4" w:rsidRDefault="000674DA">
      <w:pPr>
        <w:pStyle w:val="Normal2"/>
      </w:pPr>
      <w:r w:rsidRPr="42F5CE43">
        <w:rPr>
          <w:lang w:val="en-US"/>
        </w:rPr>
        <w:t>This is part of the Government</w:t>
      </w:r>
      <w:r w:rsidR="00222C32">
        <w:rPr>
          <w:lang w:val="en-US"/>
        </w:rPr>
        <w:t>’</w:t>
      </w:r>
      <w:r w:rsidRPr="42F5CE43">
        <w:rPr>
          <w:lang w:val="en-US"/>
        </w:rPr>
        <w:t>s $12 billion investment over the decade towards delivering the Henderson Defence Precinct.</w:t>
      </w:r>
    </w:p>
    <w:p w14:paraId="1EC0A073" w14:textId="0B74070D" w:rsidR="00BB2CB4" w:rsidRDefault="000674DA">
      <w:pPr>
        <w:pStyle w:val="Normal2"/>
      </w:pPr>
      <w:r w:rsidRPr="69C11E82">
        <w:rPr>
          <w:lang w:val="en-US"/>
        </w:rPr>
        <w:t>The financial implications of this measure are not for publication (nfp) due to commercial sensitivities which would impair the Commonwealth</w:t>
      </w:r>
      <w:r w:rsidR="00222C32" w:rsidRPr="69C11E82">
        <w:rPr>
          <w:lang w:val="en-US"/>
        </w:rPr>
        <w:t>’</w:t>
      </w:r>
      <w:r w:rsidRPr="69C11E82">
        <w:rPr>
          <w:lang w:val="en-US"/>
        </w:rPr>
        <w:t>s position in negotiating contracts to support these investments.</w:t>
      </w:r>
    </w:p>
    <w:p w14:paraId="5ED8226F" w14:textId="77777777" w:rsidR="00BB2CB4" w:rsidRDefault="000674DA">
      <w:pPr>
        <w:pStyle w:val="Normal2"/>
      </w:pPr>
      <w:r w:rsidRPr="69C11E82">
        <w:rPr>
          <w:lang w:val="en-US"/>
        </w:rPr>
        <w:t xml:space="preserve">The measure builds on the 2024–‍25 MYEFO measure titled </w:t>
      </w:r>
      <w:r w:rsidRPr="69C11E82">
        <w:rPr>
          <w:i/>
          <w:lang w:val="en-US"/>
        </w:rPr>
        <w:t>Investing in Defence Naval Shipbuilding in Australia</w:t>
      </w:r>
      <w:r w:rsidRPr="69C11E82">
        <w:rPr>
          <w:lang w:val="en-US"/>
        </w:rPr>
        <w:t>.</w:t>
      </w:r>
    </w:p>
    <w:p w14:paraId="24ADE12E" w14:textId="77777777" w:rsidR="00BB2CB4" w:rsidRDefault="000674DA">
      <w:pPr>
        <w:pStyle w:val="MeasureTitle"/>
      </w:pPr>
      <w:r>
        <w:lastRenderedPageBreak/>
        <w:t>Guardian‑class Patrol Boat to the Republic of the Maldives</w:t>
      </w:r>
    </w:p>
    <w:p w14:paraId="3DA467EB"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403D91F" w14:textId="77777777" w:rsidTr="00825163">
        <w:trPr>
          <w:cantSplit/>
        </w:trPr>
        <w:tc>
          <w:tcPr>
            <w:tcW w:w="2501" w:type="dxa"/>
          </w:tcPr>
          <w:p w14:paraId="673383C7" w14:textId="77777777" w:rsidR="00BB2CB4" w:rsidRPr="00222C32" w:rsidRDefault="00BB2CB4">
            <w:pPr>
              <w:pStyle w:val="MeasureTableYearHeadings"/>
              <w:keepNext/>
            </w:pPr>
          </w:p>
        </w:tc>
        <w:tc>
          <w:tcPr>
            <w:tcW w:w="1044" w:type="dxa"/>
          </w:tcPr>
          <w:p w14:paraId="3E53483A" w14:textId="77777777" w:rsidR="00BB2CB4" w:rsidRPr="00222C32" w:rsidRDefault="000674DA">
            <w:pPr>
              <w:pStyle w:val="MeasureTableYearHeadings"/>
              <w:keepNext/>
            </w:pPr>
            <w:r w:rsidRPr="00222C32">
              <w:t>2024-25</w:t>
            </w:r>
          </w:p>
        </w:tc>
        <w:tc>
          <w:tcPr>
            <w:tcW w:w="1044" w:type="dxa"/>
          </w:tcPr>
          <w:p w14:paraId="1C06B83B" w14:textId="77777777" w:rsidR="00BB2CB4" w:rsidRPr="00222C32" w:rsidRDefault="000674DA">
            <w:pPr>
              <w:pStyle w:val="MeasureTableYearHeadings"/>
              <w:keepNext/>
            </w:pPr>
            <w:r w:rsidRPr="00222C32">
              <w:t>2025-26</w:t>
            </w:r>
          </w:p>
        </w:tc>
        <w:tc>
          <w:tcPr>
            <w:tcW w:w="1044" w:type="dxa"/>
          </w:tcPr>
          <w:p w14:paraId="48D67D22" w14:textId="77777777" w:rsidR="00BB2CB4" w:rsidRPr="00222C32" w:rsidRDefault="000674DA">
            <w:pPr>
              <w:pStyle w:val="MeasureTableYearHeadings"/>
              <w:keepNext/>
            </w:pPr>
            <w:r w:rsidRPr="00222C32">
              <w:t>2026-27</w:t>
            </w:r>
          </w:p>
        </w:tc>
        <w:tc>
          <w:tcPr>
            <w:tcW w:w="1044" w:type="dxa"/>
          </w:tcPr>
          <w:p w14:paraId="678B690D" w14:textId="77777777" w:rsidR="00BB2CB4" w:rsidRPr="00222C32" w:rsidRDefault="000674DA">
            <w:pPr>
              <w:pStyle w:val="MeasureTableYearHeadings"/>
              <w:keepNext/>
            </w:pPr>
            <w:r w:rsidRPr="00222C32">
              <w:t>2027-28</w:t>
            </w:r>
          </w:p>
        </w:tc>
        <w:tc>
          <w:tcPr>
            <w:tcW w:w="1044" w:type="dxa"/>
          </w:tcPr>
          <w:p w14:paraId="6A4A008C" w14:textId="77777777" w:rsidR="00BB2CB4" w:rsidRPr="00222C32" w:rsidRDefault="000674DA">
            <w:pPr>
              <w:pStyle w:val="MeasureTableYearHeadings"/>
              <w:keepNext/>
            </w:pPr>
            <w:r w:rsidRPr="00222C32">
              <w:t>2028-29</w:t>
            </w:r>
          </w:p>
        </w:tc>
      </w:tr>
      <w:tr w:rsidR="00BB2CB4" w:rsidRPr="00222C32" w14:paraId="1E00B78E" w14:textId="77777777" w:rsidTr="00825163">
        <w:trPr>
          <w:cantSplit/>
        </w:trPr>
        <w:tc>
          <w:tcPr>
            <w:tcW w:w="2501" w:type="dxa"/>
          </w:tcPr>
          <w:p w14:paraId="12AD4112" w14:textId="77777777" w:rsidR="00BB2CB4" w:rsidRPr="00222C32" w:rsidRDefault="000674DA">
            <w:pPr>
              <w:pStyle w:val="MeasureTableHeadingleftalignedwith2ptsspacing"/>
              <w:keepNext/>
            </w:pPr>
            <w:r w:rsidRPr="00222C32">
              <w:t>Department of Defence</w:t>
            </w:r>
          </w:p>
        </w:tc>
        <w:tc>
          <w:tcPr>
            <w:tcW w:w="1044" w:type="dxa"/>
          </w:tcPr>
          <w:p w14:paraId="1BA61BF8" w14:textId="77777777" w:rsidR="00BB2CB4" w:rsidRPr="00222C32" w:rsidRDefault="000674DA">
            <w:pPr>
              <w:pStyle w:val="MeasureTableDataRightAlignedwith2ptsspacing"/>
              <w:keepNext/>
            </w:pPr>
            <w:r w:rsidRPr="00222C32">
              <w:t>-</w:t>
            </w:r>
          </w:p>
        </w:tc>
        <w:tc>
          <w:tcPr>
            <w:tcW w:w="1044" w:type="dxa"/>
          </w:tcPr>
          <w:p w14:paraId="4E8BB70F" w14:textId="77777777" w:rsidR="00BB2CB4" w:rsidRPr="00222C32" w:rsidRDefault="000674DA">
            <w:pPr>
              <w:pStyle w:val="MeasureTableDataRightAlignedwith2ptsspacing"/>
              <w:keepNext/>
            </w:pPr>
            <w:r w:rsidRPr="00222C32">
              <w:t>-</w:t>
            </w:r>
          </w:p>
        </w:tc>
        <w:tc>
          <w:tcPr>
            <w:tcW w:w="1044" w:type="dxa"/>
          </w:tcPr>
          <w:p w14:paraId="60FA9C9B" w14:textId="77777777" w:rsidR="00BB2CB4" w:rsidRPr="00222C32" w:rsidRDefault="000674DA">
            <w:pPr>
              <w:pStyle w:val="MeasureTableDataRightAlignedwith2ptsspacing"/>
              <w:keepNext/>
            </w:pPr>
            <w:r w:rsidRPr="00222C32">
              <w:t>-</w:t>
            </w:r>
          </w:p>
        </w:tc>
        <w:tc>
          <w:tcPr>
            <w:tcW w:w="1044" w:type="dxa"/>
          </w:tcPr>
          <w:p w14:paraId="0956BE34" w14:textId="77777777" w:rsidR="00BB2CB4" w:rsidRPr="00222C32" w:rsidRDefault="000674DA">
            <w:pPr>
              <w:pStyle w:val="MeasureTableDataRightAlignedwith2ptsspacing"/>
              <w:keepNext/>
            </w:pPr>
            <w:r w:rsidRPr="00222C32">
              <w:t>-</w:t>
            </w:r>
          </w:p>
        </w:tc>
        <w:tc>
          <w:tcPr>
            <w:tcW w:w="1044" w:type="dxa"/>
          </w:tcPr>
          <w:p w14:paraId="5FCB86D6" w14:textId="77777777" w:rsidR="00BB2CB4" w:rsidRPr="00222C32" w:rsidRDefault="000674DA">
            <w:pPr>
              <w:pStyle w:val="MeasureTableDataRightAlignedwith2ptsspacing"/>
              <w:keepNext/>
            </w:pPr>
            <w:r w:rsidRPr="00222C32">
              <w:t>-</w:t>
            </w:r>
          </w:p>
        </w:tc>
      </w:tr>
    </w:tbl>
    <w:p w14:paraId="10E2781F" w14:textId="77777777" w:rsidR="00CC2317" w:rsidRDefault="00CC2317" w:rsidP="00CC2317">
      <w:pPr>
        <w:pStyle w:val="SingleParagraph"/>
      </w:pPr>
    </w:p>
    <w:p w14:paraId="22E09821" w14:textId="77777777" w:rsidR="00BB2CB4" w:rsidRDefault="000674DA">
      <w:pPr>
        <w:pStyle w:val="Normal2"/>
      </w:pPr>
      <w:r>
        <w:t>The Government has provided $31.7 million over five years from 2024–‍25 (and $1.7 million per year for 21 years from 2029–‍30) to build and sustain an Australian‑built Guardian‑class Patrol Boat as a gift to Maldives, enhancing its sovereign capabilities and contributing to maritime security in the Indian Ocean.</w:t>
      </w:r>
    </w:p>
    <w:p w14:paraId="1D38F49F" w14:textId="77777777" w:rsidR="00BB2CB4" w:rsidRDefault="000674DA">
      <w:pPr>
        <w:pStyle w:val="Normal2"/>
      </w:pPr>
      <w:r w:rsidRPr="69C11E82">
        <w:rPr>
          <w:lang w:val="en-US"/>
        </w:rPr>
        <w:t>The Department of Defence will meet the cost of this measure from within existing resources.</w:t>
      </w:r>
    </w:p>
    <w:p w14:paraId="2D0D27F1" w14:textId="77777777" w:rsidR="00BB2CB4" w:rsidRDefault="000674DA">
      <w:pPr>
        <w:pStyle w:val="MeasureTitle"/>
      </w:pPr>
      <w:r>
        <w:t>Nuclear‑Powered Submarine Program – further program support</w:t>
      </w:r>
    </w:p>
    <w:p w14:paraId="6CC21A85"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D5F5929" w14:textId="77777777" w:rsidTr="00825163">
        <w:trPr>
          <w:cantSplit/>
        </w:trPr>
        <w:tc>
          <w:tcPr>
            <w:tcW w:w="2501" w:type="dxa"/>
          </w:tcPr>
          <w:p w14:paraId="6D805594" w14:textId="77777777" w:rsidR="00BB2CB4" w:rsidRPr="00222C32" w:rsidRDefault="00BB2CB4">
            <w:pPr>
              <w:pStyle w:val="MeasureTableYearHeadings"/>
              <w:keepNext/>
            </w:pPr>
          </w:p>
        </w:tc>
        <w:tc>
          <w:tcPr>
            <w:tcW w:w="1044" w:type="dxa"/>
          </w:tcPr>
          <w:p w14:paraId="6F5FF2F1" w14:textId="77777777" w:rsidR="00BB2CB4" w:rsidRPr="00222C32" w:rsidRDefault="000674DA">
            <w:pPr>
              <w:pStyle w:val="MeasureTableYearHeadings"/>
              <w:keepNext/>
            </w:pPr>
            <w:r w:rsidRPr="00222C32">
              <w:t>2024-25</w:t>
            </w:r>
          </w:p>
        </w:tc>
        <w:tc>
          <w:tcPr>
            <w:tcW w:w="1044" w:type="dxa"/>
          </w:tcPr>
          <w:p w14:paraId="4EF80235" w14:textId="77777777" w:rsidR="00BB2CB4" w:rsidRPr="00222C32" w:rsidRDefault="000674DA">
            <w:pPr>
              <w:pStyle w:val="MeasureTableYearHeadings"/>
              <w:keepNext/>
            </w:pPr>
            <w:r w:rsidRPr="00222C32">
              <w:t>2025-26</w:t>
            </w:r>
          </w:p>
        </w:tc>
        <w:tc>
          <w:tcPr>
            <w:tcW w:w="1044" w:type="dxa"/>
          </w:tcPr>
          <w:p w14:paraId="1B79926F" w14:textId="77777777" w:rsidR="00BB2CB4" w:rsidRPr="00222C32" w:rsidRDefault="000674DA">
            <w:pPr>
              <w:pStyle w:val="MeasureTableYearHeadings"/>
              <w:keepNext/>
            </w:pPr>
            <w:r w:rsidRPr="00222C32">
              <w:t>2026-27</w:t>
            </w:r>
          </w:p>
        </w:tc>
        <w:tc>
          <w:tcPr>
            <w:tcW w:w="1044" w:type="dxa"/>
          </w:tcPr>
          <w:p w14:paraId="21F3645F" w14:textId="77777777" w:rsidR="00BB2CB4" w:rsidRPr="00222C32" w:rsidRDefault="000674DA">
            <w:pPr>
              <w:pStyle w:val="MeasureTableYearHeadings"/>
              <w:keepNext/>
            </w:pPr>
            <w:r w:rsidRPr="00222C32">
              <w:t>2027-28</w:t>
            </w:r>
          </w:p>
        </w:tc>
        <w:tc>
          <w:tcPr>
            <w:tcW w:w="1044" w:type="dxa"/>
          </w:tcPr>
          <w:p w14:paraId="115E6542" w14:textId="77777777" w:rsidR="00BB2CB4" w:rsidRPr="00222C32" w:rsidRDefault="000674DA">
            <w:pPr>
              <w:pStyle w:val="MeasureTableYearHeadings"/>
              <w:keepNext/>
            </w:pPr>
            <w:r w:rsidRPr="00222C32">
              <w:t>2028-29</w:t>
            </w:r>
          </w:p>
        </w:tc>
      </w:tr>
      <w:tr w:rsidR="00BB2CB4" w:rsidRPr="00222C32" w14:paraId="2B5E6125" w14:textId="77777777" w:rsidTr="00825163">
        <w:trPr>
          <w:cantSplit/>
        </w:trPr>
        <w:tc>
          <w:tcPr>
            <w:tcW w:w="2501" w:type="dxa"/>
          </w:tcPr>
          <w:p w14:paraId="7DEC5EF8" w14:textId="77777777" w:rsidR="00BB2CB4" w:rsidRPr="00222C32" w:rsidRDefault="000674DA">
            <w:pPr>
              <w:pStyle w:val="MeasureTableHeadingleftalignedwith2ptsspacing"/>
              <w:keepNext/>
            </w:pPr>
            <w:r w:rsidRPr="00222C32">
              <w:t>Australian Federal Police</w:t>
            </w:r>
          </w:p>
        </w:tc>
        <w:tc>
          <w:tcPr>
            <w:tcW w:w="1044" w:type="dxa"/>
          </w:tcPr>
          <w:p w14:paraId="700451A4" w14:textId="77777777" w:rsidR="00BB2CB4" w:rsidRPr="00222C32" w:rsidRDefault="000674DA">
            <w:pPr>
              <w:pStyle w:val="MeasureTableDataRightAlignedwith2ptsspacing"/>
              <w:keepNext/>
            </w:pPr>
            <w:r w:rsidRPr="00222C32">
              <w:t>-</w:t>
            </w:r>
          </w:p>
        </w:tc>
        <w:tc>
          <w:tcPr>
            <w:tcW w:w="1044" w:type="dxa"/>
          </w:tcPr>
          <w:p w14:paraId="70BD0307" w14:textId="77777777" w:rsidR="00BB2CB4" w:rsidRPr="00222C32" w:rsidRDefault="000674DA">
            <w:pPr>
              <w:pStyle w:val="MeasureTableDataRightAlignedwith2ptsspacing"/>
              <w:keepNext/>
            </w:pPr>
            <w:r w:rsidRPr="00222C32">
              <w:t>73.8</w:t>
            </w:r>
          </w:p>
        </w:tc>
        <w:tc>
          <w:tcPr>
            <w:tcW w:w="1044" w:type="dxa"/>
          </w:tcPr>
          <w:p w14:paraId="1E2A0687" w14:textId="77777777" w:rsidR="00BB2CB4" w:rsidRPr="00222C32" w:rsidRDefault="000674DA">
            <w:pPr>
              <w:pStyle w:val="MeasureTableDataRightAlignedwith2ptsspacing"/>
              <w:keepNext/>
            </w:pPr>
            <w:r w:rsidRPr="00222C32">
              <w:t>125.2</w:t>
            </w:r>
          </w:p>
        </w:tc>
        <w:tc>
          <w:tcPr>
            <w:tcW w:w="1044" w:type="dxa"/>
          </w:tcPr>
          <w:p w14:paraId="4D491A92" w14:textId="77777777" w:rsidR="00BB2CB4" w:rsidRPr="00222C32" w:rsidRDefault="000674DA">
            <w:pPr>
              <w:pStyle w:val="MeasureTableDataRightAlignedwith2ptsspacing"/>
              <w:keepNext/>
            </w:pPr>
            <w:r w:rsidRPr="00222C32">
              <w:t>-</w:t>
            </w:r>
          </w:p>
        </w:tc>
        <w:tc>
          <w:tcPr>
            <w:tcW w:w="1044" w:type="dxa"/>
          </w:tcPr>
          <w:p w14:paraId="088D2F5B" w14:textId="77777777" w:rsidR="00BB2CB4" w:rsidRPr="00222C32" w:rsidRDefault="000674DA">
            <w:pPr>
              <w:pStyle w:val="MeasureTableDataRightAlignedwith2ptsspacing"/>
              <w:keepNext/>
            </w:pPr>
            <w:r w:rsidRPr="00222C32">
              <w:t>-</w:t>
            </w:r>
          </w:p>
        </w:tc>
      </w:tr>
      <w:tr w:rsidR="00BB2CB4" w:rsidRPr="00222C32" w14:paraId="69EA34FF" w14:textId="77777777" w:rsidTr="00825163">
        <w:trPr>
          <w:cantSplit/>
        </w:trPr>
        <w:tc>
          <w:tcPr>
            <w:tcW w:w="2501" w:type="dxa"/>
          </w:tcPr>
          <w:p w14:paraId="5EC18CED" w14:textId="77777777" w:rsidR="00BB2CB4" w:rsidRPr="00222C32" w:rsidRDefault="000674DA">
            <w:pPr>
              <w:pStyle w:val="MeasureTableHeadingleftalignedwith2ptsspacing"/>
              <w:keepNext/>
            </w:pPr>
            <w:r w:rsidRPr="00222C32">
              <w:t>Australian Submarine Agency</w:t>
            </w:r>
          </w:p>
        </w:tc>
        <w:tc>
          <w:tcPr>
            <w:tcW w:w="1044" w:type="dxa"/>
          </w:tcPr>
          <w:p w14:paraId="42483AB0" w14:textId="77777777" w:rsidR="00BB2CB4" w:rsidRPr="00222C32" w:rsidRDefault="000674DA">
            <w:pPr>
              <w:pStyle w:val="MeasureTableDataRightAlignedwith2ptsspacing"/>
              <w:keepNext/>
            </w:pPr>
            <w:r w:rsidRPr="00222C32">
              <w:t>-</w:t>
            </w:r>
          </w:p>
        </w:tc>
        <w:tc>
          <w:tcPr>
            <w:tcW w:w="1044" w:type="dxa"/>
          </w:tcPr>
          <w:p w14:paraId="68003C90" w14:textId="77777777" w:rsidR="00BB2CB4" w:rsidRPr="00222C32" w:rsidRDefault="000674DA">
            <w:pPr>
              <w:pStyle w:val="MeasureTableDataRightAlignedwith2ptsspacing"/>
              <w:keepNext/>
            </w:pPr>
            <w:r w:rsidRPr="00222C32">
              <w:t>-</w:t>
            </w:r>
          </w:p>
        </w:tc>
        <w:tc>
          <w:tcPr>
            <w:tcW w:w="1044" w:type="dxa"/>
          </w:tcPr>
          <w:p w14:paraId="6C205D37" w14:textId="77777777" w:rsidR="00BB2CB4" w:rsidRPr="00222C32" w:rsidRDefault="000674DA">
            <w:pPr>
              <w:pStyle w:val="MeasureTableDataRightAlignedwith2ptsspacing"/>
              <w:keepNext/>
            </w:pPr>
            <w:r w:rsidRPr="00222C32">
              <w:t>-</w:t>
            </w:r>
          </w:p>
        </w:tc>
        <w:tc>
          <w:tcPr>
            <w:tcW w:w="1044" w:type="dxa"/>
          </w:tcPr>
          <w:p w14:paraId="30A4FF51" w14:textId="77777777" w:rsidR="00BB2CB4" w:rsidRPr="00222C32" w:rsidRDefault="000674DA">
            <w:pPr>
              <w:pStyle w:val="MeasureTableDataRightAlignedwith2ptsspacing"/>
              <w:keepNext/>
            </w:pPr>
            <w:r w:rsidRPr="00222C32">
              <w:t>-</w:t>
            </w:r>
          </w:p>
        </w:tc>
        <w:tc>
          <w:tcPr>
            <w:tcW w:w="1044" w:type="dxa"/>
          </w:tcPr>
          <w:p w14:paraId="44E3957A" w14:textId="77777777" w:rsidR="00BB2CB4" w:rsidRPr="00222C32" w:rsidRDefault="000674DA">
            <w:pPr>
              <w:pStyle w:val="MeasureTableDataRightAlignedwith2ptsspacing"/>
              <w:keepNext/>
            </w:pPr>
            <w:r w:rsidRPr="00222C32">
              <w:t>-</w:t>
            </w:r>
          </w:p>
        </w:tc>
      </w:tr>
      <w:tr w:rsidR="00BB2CB4" w:rsidRPr="00222C32" w14:paraId="131AFC82" w14:textId="77777777" w:rsidTr="005C20C8">
        <w:trPr>
          <w:cantSplit/>
        </w:trPr>
        <w:tc>
          <w:tcPr>
            <w:tcW w:w="2501" w:type="dxa"/>
          </w:tcPr>
          <w:p w14:paraId="59000602" w14:textId="77777777" w:rsidR="00BB2CB4" w:rsidRPr="00222C32" w:rsidRDefault="000674DA">
            <w:pPr>
              <w:pStyle w:val="MeasureTableHeadingleftalignedwith2ptsspacing"/>
              <w:keepNext/>
            </w:pPr>
            <w:r w:rsidRPr="00222C32">
              <w:t>Department of Finance</w:t>
            </w:r>
          </w:p>
        </w:tc>
        <w:tc>
          <w:tcPr>
            <w:tcW w:w="1044" w:type="dxa"/>
          </w:tcPr>
          <w:p w14:paraId="70F35FBA" w14:textId="77777777" w:rsidR="00BB2CB4" w:rsidRPr="00222C32" w:rsidRDefault="000674DA">
            <w:pPr>
              <w:pStyle w:val="MeasureTableDataRightAlignedwith2ptsspacing"/>
              <w:keepNext/>
            </w:pPr>
            <w:r w:rsidRPr="00222C32">
              <w:t>-</w:t>
            </w:r>
          </w:p>
        </w:tc>
        <w:tc>
          <w:tcPr>
            <w:tcW w:w="1044" w:type="dxa"/>
          </w:tcPr>
          <w:p w14:paraId="43AC5D14" w14:textId="77777777" w:rsidR="00BB2CB4" w:rsidRPr="00222C32" w:rsidRDefault="000674DA">
            <w:pPr>
              <w:pStyle w:val="MeasureTableDataRightAlignedwith2ptsspacing"/>
              <w:keepNext/>
            </w:pPr>
            <w:r w:rsidRPr="00222C32">
              <w:t>nfp</w:t>
            </w:r>
          </w:p>
        </w:tc>
        <w:tc>
          <w:tcPr>
            <w:tcW w:w="1044" w:type="dxa"/>
          </w:tcPr>
          <w:p w14:paraId="467BA181" w14:textId="77777777" w:rsidR="00BB2CB4" w:rsidRPr="00222C32" w:rsidRDefault="000674DA">
            <w:pPr>
              <w:pStyle w:val="MeasureTableDataRightAlignedwith2ptsspacing"/>
              <w:keepNext/>
            </w:pPr>
            <w:r w:rsidRPr="00222C32">
              <w:t>nfp</w:t>
            </w:r>
          </w:p>
        </w:tc>
        <w:tc>
          <w:tcPr>
            <w:tcW w:w="1044" w:type="dxa"/>
          </w:tcPr>
          <w:p w14:paraId="0FEFB885" w14:textId="77777777" w:rsidR="00BB2CB4" w:rsidRPr="00222C32" w:rsidRDefault="000674DA">
            <w:pPr>
              <w:pStyle w:val="MeasureTableDataRightAlignedwith2ptsspacing"/>
              <w:keepNext/>
            </w:pPr>
            <w:r w:rsidRPr="00222C32">
              <w:t>nfp</w:t>
            </w:r>
          </w:p>
        </w:tc>
        <w:tc>
          <w:tcPr>
            <w:tcW w:w="1044" w:type="dxa"/>
          </w:tcPr>
          <w:p w14:paraId="7A8673F2" w14:textId="77777777" w:rsidR="00BB2CB4" w:rsidRPr="00222C32" w:rsidRDefault="000674DA">
            <w:pPr>
              <w:pStyle w:val="MeasureTableDataRightAlignedwith2ptsspacing"/>
              <w:keepNext/>
            </w:pPr>
            <w:r w:rsidRPr="00222C32">
              <w:t>nfp</w:t>
            </w:r>
          </w:p>
        </w:tc>
      </w:tr>
      <w:tr w:rsidR="00BB2CB4" w:rsidRPr="00222C32" w14:paraId="73A5A102" w14:textId="77777777" w:rsidTr="005C20C8">
        <w:trPr>
          <w:cantSplit/>
        </w:trPr>
        <w:tc>
          <w:tcPr>
            <w:tcW w:w="2501" w:type="dxa"/>
          </w:tcPr>
          <w:p w14:paraId="0D55C8CB" w14:textId="77777777" w:rsidR="00BB2CB4" w:rsidRPr="00222C32" w:rsidRDefault="000674DA">
            <w:pPr>
              <w:pStyle w:val="MeasureTableHeadingleftalignedwith2ptsspacing"/>
              <w:keepNext/>
            </w:pPr>
            <w:r w:rsidRPr="00222C32">
              <w:t>Department of Defence</w:t>
            </w:r>
          </w:p>
        </w:tc>
        <w:tc>
          <w:tcPr>
            <w:tcW w:w="1044" w:type="dxa"/>
          </w:tcPr>
          <w:p w14:paraId="2F04C4C0" w14:textId="77777777" w:rsidR="00BB2CB4" w:rsidRPr="00222C32" w:rsidRDefault="000674DA">
            <w:pPr>
              <w:pStyle w:val="MeasureTableDataRightAlignedwith2ptsspacing"/>
              <w:keepNext/>
            </w:pPr>
            <w:r w:rsidRPr="00222C32">
              <w:t>-</w:t>
            </w:r>
          </w:p>
        </w:tc>
        <w:tc>
          <w:tcPr>
            <w:tcW w:w="1044" w:type="dxa"/>
          </w:tcPr>
          <w:p w14:paraId="64FCCBA5" w14:textId="77777777" w:rsidR="00BB2CB4" w:rsidRPr="00222C32" w:rsidRDefault="000674DA">
            <w:pPr>
              <w:pStyle w:val="MeasureTableDataRightAlignedwith2ptsspacing"/>
              <w:keepNext/>
            </w:pPr>
            <w:r w:rsidRPr="00222C32">
              <w:t>nfp</w:t>
            </w:r>
          </w:p>
        </w:tc>
        <w:tc>
          <w:tcPr>
            <w:tcW w:w="1044" w:type="dxa"/>
          </w:tcPr>
          <w:p w14:paraId="511D673C" w14:textId="77777777" w:rsidR="00BB2CB4" w:rsidRPr="00222C32" w:rsidRDefault="000674DA">
            <w:pPr>
              <w:pStyle w:val="MeasureTableDataRightAlignedwith2ptsspacing"/>
              <w:keepNext/>
            </w:pPr>
            <w:r w:rsidRPr="00222C32">
              <w:t>nfp</w:t>
            </w:r>
          </w:p>
        </w:tc>
        <w:tc>
          <w:tcPr>
            <w:tcW w:w="1044" w:type="dxa"/>
          </w:tcPr>
          <w:p w14:paraId="700E5105" w14:textId="77777777" w:rsidR="00BB2CB4" w:rsidRPr="00222C32" w:rsidRDefault="000674DA">
            <w:pPr>
              <w:pStyle w:val="MeasureTableDataRightAlignedwith2ptsspacing"/>
              <w:keepNext/>
            </w:pPr>
            <w:r w:rsidRPr="00222C32">
              <w:t>nfp</w:t>
            </w:r>
          </w:p>
        </w:tc>
        <w:tc>
          <w:tcPr>
            <w:tcW w:w="1044" w:type="dxa"/>
          </w:tcPr>
          <w:p w14:paraId="7047200E" w14:textId="77777777" w:rsidR="00BB2CB4" w:rsidRPr="00222C32" w:rsidRDefault="000674DA">
            <w:pPr>
              <w:pStyle w:val="MeasureTableDataRightAlignedwith2ptsspacing"/>
              <w:keepNext/>
            </w:pPr>
            <w:r w:rsidRPr="00222C32">
              <w:t>nfp</w:t>
            </w:r>
          </w:p>
        </w:tc>
      </w:tr>
      <w:tr w:rsidR="00BB2CB4" w:rsidRPr="00222C32" w14:paraId="40CC7ABD" w14:textId="77777777" w:rsidTr="00825163">
        <w:trPr>
          <w:cantSplit/>
        </w:trPr>
        <w:tc>
          <w:tcPr>
            <w:tcW w:w="2501" w:type="dxa"/>
          </w:tcPr>
          <w:p w14:paraId="341EC788" w14:textId="77777777" w:rsidR="00BB2CB4" w:rsidRPr="00222C32" w:rsidRDefault="000674DA">
            <w:pPr>
              <w:pStyle w:val="Totalrowleftaligned"/>
              <w:keepNext/>
            </w:pPr>
            <w:r w:rsidRPr="00222C32">
              <w:t>Total – Payments</w:t>
            </w:r>
          </w:p>
        </w:tc>
        <w:tc>
          <w:tcPr>
            <w:tcW w:w="1044" w:type="dxa"/>
          </w:tcPr>
          <w:p w14:paraId="1BD98559" w14:textId="77777777" w:rsidR="00BB2CB4" w:rsidRPr="00222C32" w:rsidRDefault="000674DA">
            <w:pPr>
              <w:pStyle w:val="Totaldatarowrightaligned"/>
              <w:keepNext/>
            </w:pPr>
            <w:r w:rsidRPr="00222C32">
              <w:t>-</w:t>
            </w:r>
          </w:p>
        </w:tc>
        <w:tc>
          <w:tcPr>
            <w:tcW w:w="1044" w:type="dxa"/>
          </w:tcPr>
          <w:p w14:paraId="02DD721D" w14:textId="77777777" w:rsidR="00BB2CB4" w:rsidRPr="00222C32" w:rsidRDefault="000674DA">
            <w:pPr>
              <w:pStyle w:val="Totaldatarowrightaligned"/>
              <w:keepNext/>
            </w:pPr>
            <w:r w:rsidRPr="00222C32">
              <w:t>73.8</w:t>
            </w:r>
          </w:p>
        </w:tc>
        <w:tc>
          <w:tcPr>
            <w:tcW w:w="1044" w:type="dxa"/>
          </w:tcPr>
          <w:p w14:paraId="046F80A8" w14:textId="77777777" w:rsidR="00BB2CB4" w:rsidRPr="00222C32" w:rsidRDefault="000674DA">
            <w:pPr>
              <w:pStyle w:val="Totaldatarowrightaligned"/>
              <w:keepNext/>
            </w:pPr>
            <w:r w:rsidRPr="00222C32">
              <w:t>125.2</w:t>
            </w:r>
          </w:p>
        </w:tc>
        <w:tc>
          <w:tcPr>
            <w:tcW w:w="1044" w:type="dxa"/>
          </w:tcPr>
          <w:p w14:paraId="44A75066" w14:textId="77777777" w:rsidR="00BB2CB4" w:rsidRPr="00222C32" w:rsidRDefault="000674DA">
            <w:pPr>
              <w:pStyle w:val="Totaldatarowrightaligned"/>
              <w:keepNext/>
            </w:pPr>
            <w:r w:rsidRPr="00222C32">
              <w:t>-</w:t>
            </w:r>
          </w:p>
        </w:tc>
        <w:tc>
          <w:tcPr>
            <w:tcW w:w="1044" w:type="dxa"/>
          </w:tcPr>
          <w:p w14:paraId="61C43FB2" w14:textId="77777777" w:rsidR="00BB2CB4" w:rsidRPr="00222C32" w:rsidRDefault="000674DA">
            <w:pPr>
              <w:pStyle w:val="Totaldatarowrightaligned"/>
              <w:keepNext/>
            </w:pPr>
            <w:r w:rsidRPr="00222C32">
              <w:t>-</w:t>
            </w:r>
          </w:p>
        </w:tc>
      </w:tr>
    </w:tbl>
    <w:p w14:paraId="4DB26C11" w14:textId="77777777" w:rsidR="00E901A5" w:rsidRDefault="00E901A5" w:rsidP="00E901A5">
      <w:pPr>
        <w:pStyle w:val="SingleParagraph"/>
      </w:pPr>
    </w:p>
    <w:p w14:paraId="6FB9C302" w14:textId="77777777" w:rsidR="00BB2CB4" w:rsidRDefault="000674DA">
      <w:pPr>
        <w:pStyle w:val="Normal2"/>
      </w:pPr>
      <w:r w:rsidRPr="69C11E82">
        <w:rPr>
          <w:lang w:val="en-US"/>
        </w:rPr>
        <w:t>The Government will provide $262.3 million over four years from 2025–‍26 (and an additional $10.4 million in 2029–‍30) for continued support to the Nuclear‑Powered Submarine program. Funding includes:</w:t>
      </w:r>
    </w:p>
    <w:p w14:paraId="447B21D5" w14:textId="77777777" w:rsidR="00BB2CB4" w:rsidRDefault="000674DA">
      <w:pPr>
        <w:pStyle w:val="Bullet"/>
      </w:pPr>
      <w:r>
        <w:t xml:space="preserve">$199.1 million over two years from 2025–‍26 for the Australian Federal Police to continue to develop capabilities to provide protective security for Submarine Rotational Force‑West at </w:t>
      </w:r>
      <w:r w:rsidRPr="000674DA">
        <w:rPr>
          <w:i/>
        </w:rPr>
        <w:t>HMAS Stirling</w:t>
      </w:r>
    </w:p>
    <w:p w14:paraId="42CDB6D4" w14:textId="77777777" w:rsidR="00BB2CB4" w:rsidRDefault="000674DA">
      <w:pPr>
        <w:pStyle w:val="Bullet"/>
      </w:pPr>
      <w:r>
        <w:t>$61.2 million over four years from 2025–‍26 (and an additional $10.4 million in 2029–‍30) to support housing and related services for personnel deployed to Submarine Rotational Force‑West, to be delivered through Defence Housing Australia</w:t>
      </w:r>
    </w:p>
    <w:p w14:paraId="68EBC3AC" w14:textId="77777777" w:rsidR="00BB2CB4" w:rsidRDefault="000674DA">
      <w:pPr>
        <w:pStyle w:val="Bullet"/>
      </w:pPr>
      <w:r>
        <w:t>$2.0 million in 2025–‍26 for the Australian Submarine Agency to support community engagement and awareness activities.</w:t>
      </w:r>
    </w:p>
    <w:p w14:paraId="37BE8376" w14:textId="77777777" w:rsidR="00BB2CB4" w:rsidRDefault="000674DA">
      <w:pPr>
        <w:pStyle w:val="Normal2"/>
      </w:pPr>
      <w:r w:rsidRPr="69C11E82">
        <w:rPr>
          <w:lang w:val="en-US"/>
        </w:rPr>
        <w:t>The Government will also provide an equity injection for Australian Naval Infrastructure Pty Ltd over four years from 2025–‍26 to continue early construction and design works for a submarine construction yard in South Australia. The financial implications of this component of the measure are not for publication (nfp) due to commercial sensitivities.</w:t>
      </w:r>
    </w:p>
    <w:p w14:paraId="22C627E0" w14:textId="77777777" w:rsidR="00BB2CB4" w:rsidRDefault="000674DA">
      <w:pPr>
        <w:pStyle w:val="Normal2"/>
      </w:pPr>
      <w:r w:rsidRPr="69C11E82">
        <w:rPr>
          <w:lang w:val="en-US"/>
        </w:rPr>
        <w:t>The Department of Defence and the Australian Submarine Agency will meet the cost of this measure from within existing resources.</w:t>
      </w:r>
    </w:p>
    <w:p w14:paraId="26F48655" w14:textId="77777777" w:rsidR="00BB2CB4" w:rsidRDefault="000674DA">
      <w:pPr>
        <w:pStyle w:val="Normal2"/>
      </w:pPr>
      <w:r>
        <w:t xml:space="preserve">This measure builds on the 2024–‍25 MYEFO measures titled </w:t>
      </w:r>
      <w:r w:rsidRPr="000674DA">
        <w:rPr>
          <w:i/>
        </w:rPr>
        <w:t xml:space="preserve">Nuclear‑Powered Submarine Program – security and industry growth </w:t>
      </w:r>
      <w:r>
        <w:t xml:space="preserve">and </w:t>
      </w:r>
      <w:r w:rsidRPr="000674DA">
        <w:rPr>
          <w:i/>
        </w:rPr>
        <w:t>Nuclear‑Powered Submarine Program – infrastructure and capacity investment</w:t>
      </w:r>
      <w:r>
        <w:t>.</w:t>
      </w:r>
    </w:p>
    <w:p w14:paraId="0DD22913" w14:textId="77777777" w:rsidR="00BB2CB4" w:rsidRDefault="000674DA">
      <w:pPr>
        <w:pStyle w:val="MeasureTitle"/>
      </w:pPr>
      <w:r w:rsidRPr="69C11E82">
        <w:rPr>
          <w:lang w:val="en-US"/>
        </w:rPr>
        <w:lastRenderedPageBreak/>
        <w:t>Papua New Guinea – Australia Mutual Defence Treaty</w:t>
      </w:r>
    </w:p>
    <w:p w14:paraId="527E683C" w14:textId="77777777" w:rsidR="00BB2CB4" w:rsidRDefault="000674DA">
      <w:pPr>
        <w:pStyle w:val="MeasureTableHeading"/>
      </w:pPr>
      <w:r>
        <w:t>Payments ($m)</w:t>
      </w:r>
    </w:p>
    <w:tbl>
      <w:tblPr>
        <w:tblOverlap w:val="never"/>
        <w:tblW w:w="7721" w:type="dxa"/>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501"/>
        <w:gridCol w:w="1044"/>
        <w:gridCol w:w="1044"/>
        <w:gridCol w:w="1044"/>
        <w:gridCol w:w="1044"/>
        <w:gridCol w:w="1044"/>
      </w:tblGrid>
      <w:tr w:rsidR="00BB2CB4" w:rsidRPr="00222C32" w14:paraId="175400BF" w14:textId="77777777" w:rsidTr="00825163">
        <w:trPr>
          <w:cantSplit/>
        </w:trPr>
        <w:tc>
          <w:tcPr>
            <w:tcW w:w="2501" w:type="dxa"/>
          </w:tcPr>
          <w:p w14:paraId="5671B7B0" w14:textId="77777777" w:rsidR="00BB2CB4" w:rsidRPr="00222C32" w:rsidRDefault="00BB2CB4">
            <w:pPr>
              <w:pStyle w:val="MeasureTableYearHeadings"/>
              <w:keepNext/>
            </w:pPr>
          </w:p>
        </w:tc>
        <w:tc>
          <w:tcPr>
            <w:tcW w:w="1044" w:type="dxa"/>
          </w:tcPr>
          <w:p w14:paraId="63A0B85F" w14:textId="77777777" w:rsidR="00BB2CB4" w:rsidRPr="00222C32" w:rsidRDefault="000674DA">
            <w:pPr>
              <w:pStyle w:val="MeasureTableYearHeadings"/>
              <w:keepNext/>
            </w:pPr>
            <w:r w:rsidRPr="00222C32">
              <w:t>2024-25</w:t>
            </w:r>
          </w:p>
        </w:tc>
        <w:tc>
          <w:tcPr>
            <w:tcW w:w="1044" w:type="dxa"/>
          </w:tcPr>
          <w:p w14:paraId="27CE01C2" w14:textId="77777777" w:rsidR="00BB2CB4" w:rsidRPr="00222C32" w:rsidRDefault="000674DA">
            <w:pPr>
              <w:pStyle w:val="MeasureTableYearHeadings"/>
              <w:keepNext/>
            </w:pPr>
            <w:r w:rsidRPr="00222C32">
              <w:t>2025-26</w:t>
            </w:r>
          </w:p>
        </w:tc>
        <w:tc>
          <w:tcPr>
            <w:tcW w:w="1044" w:type="dxa"/>
          </w:tcPr>
          <w:p w14:paraId="252642E0" w14:textId="77777777" w:rsidR="00BB2CB4" w:rsidRPr="00222C32" w:rsidRDefault="000674DA">
            <w:pPr>
              <w:pStyle w:val="MeasureTableYearHeadings"/>
              <w:keepNext/>
            </w:pPr>
            <w:r w:rsidRPr="00222C32">
              <w:t>2026-27</w:t>
            </w:r>
          </w:p>
        </w:tc>
        <w:tc>
          <w:tcPr>
            <w:tcW w:w="1044" w:type="dxa"/>
          </w:tcPr>
          <w:p w14:paraId="47E04538" w14:textId="77777777" w:rsidR="00BB2CB4" w:rsidRPr="00222C32" w:rsidRDefault="000674DA">
            <w:pPr>
              <w:pStyle w:val="MeasureTableYearHeadings"/>
              <w:keepNext/>
            </w:pPr>
            <w:r w:rsidRPr="00222C32">
              <w:t>2027-28</w:t>
            </w:r>
          </w:p>
        </w:tc>
        <w:tc>
          <w:tcPr>
            <w:tcW w:w="1044" w:type="dxa"/>
          </w:tcPr>
          <w:p w14:paraId="01CC57E1" w14:textId="77777777" w:rsidR="00BB2CB4" w:rsidRPr="00222C32" w:rsidRDefault="000674DA">
            <w:pPr>
              <w:pStyle w:val="MeasureTableYearHeadings"/>
              <w:keepNext/>
            </w:pPr>
            <w:r w:rsidRPr="00222C32">
              <w:t>2028-29</w:t>
            </w:r>
          </w:p>
        </w:tc>
      </w:tr>
      <w:tr w:rsidR="00BB2CB4" w:rsidRPr="00222C32" w14:paraId="0E023638" w14:textId="77777777" w:rsidTr="00825163">
        <w:trPr>
          <w:cantSplit/>
        </w:trPr>
        <w:tc>
          <w:tcPr>
            <w:tcW w:w="2501" w:type="dxa"/>
          </w:tcPr>
          <w:p w14:paraId="0CAD6719" w14:textId="77777777" w:rsidR="00BB2CB4" w:rsidRPr="00222C32" w:rsidRDefault="000674DA">
            <w:pPr>
              <w:pStyle w:val="MeasureTableHeadingleftalignedwith2ptsspacing"/>
              <w:keepNext/>
            </w:pPr>
            <w:r w:rsidRPr="00222C32">
              <w:t>Department of Defence</w:t>
            </w:r>
          </w:p>
        </w:tc>
        <w:tc>
          <w:tcPr>
            <w:tcW w:w="1044" w:type="dxa"/>
          </w:tcPr>
          <w:p w14:paraId="7358EE0A" w14:textId="77777777" w:rsidR="00BB2CB4" w:rsidRPr="00222C32" w:rsidRDefault="000674DA">
            <w:pPr>
              <w:pStyle w:val="MeasureTableDataRightAlignedwith2ptsspacing"/>
              <w:keepNext/>
            </w:pPr>
            <w:r w:rsidRPr="00222C32">
              <w:t>-</w:t>
            </w:r>
          </w:p>
        </w:tc>
        <w:tc>
          <w:tcPr>
            <w:tcW w:w="1044" w:type="dxa"/>
          </w:tcPr>
          <w:p w14:paraId="35B0EC2C" w14:textId="77777777" w:rsidR="00BB2CB4" w:rsidRPr="00222C32" w:rsidRDefault="000674DA">
            <w:pPr>
              <w:pStyle w:val="MeasureTableDataRightAlignedwith2ptsspacing"/>
              <w:keepNext/>
            </w:pPr>
            <w:r w:rsidRPr="00222C32">
              <w:t>-</w:t>
            </w:r>
          </w:p>
        </w:tc>
        <w:tc>
          <w:tcPr>
            <w:tcW w:w="1044" w:type="dxa"/>
          </w:tcPr>
          <w:p w14:paraId="5F61153F" w14:textId="77777777" w:rsidR="00BB2CB4" w:rsidRPr="00222C32" w:rsidRDefault="000674DA">
            <w:pPr>
              <w:pStyle w:val="MeasureTableDataRightAlignedwith2ptsspacing"/>
              <w:keepNext/>
            </w:pPr>
            <w:r w:rsidRPr="00222C32">
              <w:t>-</w:t>
            </w:r>
          </w:p>
        </w:tc>
        <w:tc>
          <w:tcPr>
            <w:tcW w:w="1044" w:type="dxa"/>
          </w:tcPr>
          <w:p w14:paraId="2A78F3BF" w14:textId="77777777" w:rsidR="00BB2CB4" w:rsidRPr="00222C32" w:rsidRDefault="000674DA">
            <w:pPr>
              <w:pStyle w:val="MeasureTableDataRightAlignedwith2ptsspacing"/>
              <w:keepNext/>
            </w:pPr>
            <w:r w:rsidRPr="00222C32">
              <w:t>-</w:t>
            </w:r>
          </w:p>
        </w:tc>
        <w:tc>
          <w:tcPr>
            <w:tcW w:w="1044" w:type="dxa"/>
          </w:tcPr>
          <w:p w14:paraId="7D2BA267" w14:textId="77777777" w:rsidR="00BB2CB4" w:rsidRPr="00222C32" w:rsidRDefault="000674DA">
            <w:pPr>
              <w:pStyle w:val="MeasureTableDataRightAlignedwith2ptsspacing"/>
              <w:keepNext/>
            </w:pPr>
            <w:r w:rsidRPr="00222C32">
              <w:t>-</w:t>
            </w:r>
          </w:p>
        </w:tc>
      </w:tr>
    </w:tbl>
    <w:p w14:paraId="511E203C" w14:textId="77777777" w:rsidR="00AE5F8A" w:rsidRDefault="00AE5F8A" w:rsidP="00AE5F8A">
      <w:pPr>
        <w:pStyle w:val="SingleParagraph"/>
      </w:pPr>
    </w:p>
    <w:p w14:paraId="7D5E9C07" w14:textId="77777777" w:rsidR="00BB2CB4" w:rsidRDefault="000674DA">
      <w:pPr>
        <w:pStyle w:val="Normal2"/>
      </w:pPr>
      <w:r w:rsidRPr="69C11E82">
        <w:rPr>
          <w:lang w:val="en-US"/>
        </w:rPr>
        <w:t>The Government will provide $60.0 million over four years from 2025–‍26 to support the Papua New Guinea – Australia Mutual Defence Treaty, including:</w:t>
      </w:r>
    </w:p>
    <w:p w14:paraId="3194BF31" w14:textId="77777777" w:rsidR="00BB2CB4" w:rsidRDefault="000674DA">
      <w:pPr>
        <w:pStyle w:val="Bullet"/>
      </w:pPr>
      <w:r>
        <w:t>Australian‑made combat rifles and armoury upgrades to the Papua New Guinea Defence Force</w:t>
      </w:r>
    </w:p>
    <w:p w14:paraId="32777E03" w14:textId="77777777" w:rsidR="00BB2CB4" w:rsidRDefault="000674DA">
      <w:pPr>
        <w:pStyle w:val="Bullet"/>
      </w:pPr>
      <w:r>
        <w:t>infrastructure upgrades at the Goldie River Training Depot</w:t>
      </w:r>
    </w:p>
    <w:p w14:paraId="2D2A104F" w14:textId="77777777" w:rsidR="00BB2CB4" w:rsidRDefault="000674DA">
      <w:pPr>
        <w:pStyle w:val="Bullet"/>
      </w:pPr>
      <w:r>
        <w:t>initial designs for a company barracks in Hela Province.</w:t>
      </w:r>
    </w:p>
    <w:p w14:paraId="41C06AA9" w14:textId="77777777" w:rsidR="00BB2CB4" w:rsidRDefault="000674DA">
      <w:pPr>
        <w:pStyle w:val="Normal2"/>
      </w:pPr>
      <w:r w:rsidRPr="69C11E82">
        <w:rPr>
          <w:lang w:val="en-US"/>
        </w:rPr>
        <w:t>The Department of Defence will meet the cost of this measure from within existing resources.</w:t>
      </w:r>
    </w:p>
    <w:p w14:paraId="0DC8A592" w14:textId="77777777" w:rsidR="00BB2CB4" w:rsidRDefault="000674DA">
      <w:pPr>
        <w:pStyle w:val="MeasureTitle"/>
      </w:pPr>
      <w:r w:rsidRPr="69C11E82">
        <w:rPr>
          <w:lang w:val="en-US"/>
        </w:rPr>
        <w:t>Supporting Defence Community Engagement</w:t>
      </w:r>
    </w:p>
    <w:p w14:paraId="65849326"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B06D789" w14:textId="77777777" w:rsidTr="00825163">
        <w:tc>
          <w:tcPr>
            <w:tcW w:w="2501" w:type="dxa"/>
            <w:tcBorders>
              <w:top w:val="single" w:sz="4" w:space="0" w:color="293F5B"/>
              <w:bottom w:val="single" w:sz="4" w:space="0" w:color="293F5B"/>
            </w:tcBorders>
          </w:tcPr>
          <w:p w14:paraId="2A0E1317"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8FF1D9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E1FFC1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C1688C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789D0F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D23A1E7" w14:textId="77777777" w:rsidR="00BB2CB4" w:rsidRPr="00222C32" w:rsidRDefault="000674DA">
            <w:pPr>
              <w:pStyle w:val="MeasureTableYearHeadings"/>
              <w:keepNext/>
            </w:pPr>
            <w:r w:rsidRPr="00222C32">
              <w:t>2028-29</w:t>
            </w:r>
          </w:p>
        </w:tc>
      </w:tr>
      <w:tr w:rsidR="00BB2CB4" w:rsidRPr="00222C32" w14:paraId="4028AF4F" w14:textId="77777777" w:rsidTr="00825163">
        <w:tc>
          <w:tcPr>
            <w:tcW w:w="2501" w:type="dxa"/>
            <w:tcBorders>
              <w:top w:val="single" w:sz="4" w:space="0" w:color="293F5B"/>
              <w:bottom w:val="single" w:sz="4" w:space="0" w:color="293F5B"/>
            </w:tcBorders>
          </w:tcPr>
          <w:p w14:paraId="60877A95" w14:textId="77777777" w:rsidR="00BB2CB4" w:rsidRPr="00222C32" w:rsidRDefault="000674DA">
            <w:pPr>
              <w:pStyle w:val="MeasureTableHeadingleftalignedwith2ptsspacing"/>
              <w:keepNext/>
            </w:pPr>
            <w:r w:rsidRPr="00222C32">
              <w:t>Department of Defence</w:t>
            </w:r>
          </w:p>
        </w:tc>
        <w:tc>
          <w:tcPr>
            <w:tcW w:w="1044" w:type="dxa"/>
            <w:tcBorders>
              <w:top w:val="single" w:sz="4" w:space="0" w:color="293F5B"/>
              <w:bottom w:val="single" w:sz="4" w:space="0" w:color="293F5B"/>
            </w:tcBorders>
          </w:tcPr>
          <w:p w14:paraId="4876A1D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A2B6450" w14:textId="77777777" w:rsidR="00BB2CB4" w:rsidRPr="00222C32" w:rsidRDefault="000674DA">
            <w:pPr>
              <w:pStyle w:val="MeasureTableDataRightAlignedwith2ptsspacing"/>
              <w:keepNext/>
            </w:pPr>
            <w:r w:rsidRPr="00222C32">
              <w:t>1.7</w:t>
            </w:r>
          </w:p>
        </w:tc>
        <w:tc>
          <w:tcPr>
            <w:tcW w:w="1044" w:type="dxa"/>
            <w:tcBorders>
              <w:top w:val="single" w:sz="4" w:space="0" w:color="293F5B"/>
              <w:bottom w:val="single" w:sz="4" w:space="0" w:color="293F5B"/>
            </w:tcBorders>
          </w:tcPr>
          <w:p w14:paraId="3DB4152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09D171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58BD2F3" w14:textId="77777777" w:rsidR="00BB2CB4" w:rsidRPr="00222C32" w:rsidRDefault="000674DA">
            <w:pPr>
              <w:pStyle w:val="MeasureTableDataRightAlignedwith2ptsspacing"/>
              <w:keepNext/>
            </w:pPr>
            <w:r w:rsidRPr="00222C32">
              <w:t>-</w:t>
            </w:r>
          </w:p>
        </w:tc>
      </w:tr>
      <w:tr w:rsidR="00BB2CB4" w:rsidRPr="00222C32" w14:paraId="624234AC" w14:textId="77777777" w:rsidTr="00825163">
        <w:tc>
          <w:tcPr>
            <w:tcW w:w="2501" w:type="dxa"/>
            <w:tcBorders>
              <w:top w:val="single" w:sz="4" w:space="0" w:color="293F5B"/>
            </w:tcBorders>
          </w:tcPr>
          <w:p w14:paraId="73DA4D47" w14:textId="77777777" w:rsidR="00BB2CB4" w:rsidRPr="00222C32" w:rsidRDefault="000674DA">
            <w:pPr>
              <w:pStyle w:val="AgencyName"/>
              <w:keepNext/>
            </w:pPr>
            <w:r w:rsidRPr="00222C32">
              <w:t>Related receipts ($m)</w:t>
            </w:r>
          </w:p>
        </w:tc>
        <w:tc>
          <w:tcPr>
            <w:tcW w:w="1044" w:type="dxa"/>
            <w:tcBorders>
              <w:top w:val="single" w:sz="4" w:space="0" w:color="293F5B"/>
            </w:tcBorders>
          </w:tcPr>
          <w:p w14:paraId="18D385FF" w14:textId="77777777" w:rsidR="00BB2CB4" w:rsidRPr="00222C32" w:rsidRDefault="00BB2CB4">
            <w:pPr>
              <w:pStyle w:val="AgencyName"/>
              <w:keepNext/>
            </w:pPr>
          </w:p>
        </w:tc>
        <w:tc>
          <w:tcPr>
            <w:tcW w:w="1044" w:type="dxa"/>
            <w:tcBorders>
              <w:top w:val="single" w:sz="4" w:space="0" w:color="293F5B"/>
            </w:tcBorders>
          </w:tcPr>
          <w:p w14:paraId="05C83C04" w14:textId="77777777" w:rsidR="00BB2CB4" w:rsidRPr="00222C32" w:rsidRDefault="00BB2CB4">
            <w:pPr>
              <w:pStyle w:val="AgencyName"/>
              <w:keepNext/>
            </w:pPr>
          </w:p>
        </w:tc>
        <w:tc>
          <w:tcPr>
            <w:tcW w:w="1044" w:type="dxa"/>
            <w:tcBorders>
              <w:top w:val="single" w:sz="4" w:space="0" w:color="293F5B"/>
            </w:tcBorders>
          </w:tcPr>
          <w:p w14:paraId="6DB317A7" w14:textId="77777777" w:rsidR="00BB2CB4" w:rsidRPr="00222C32" w:rsidRDefault="00BB2CB4">
            <w:pPr>
              <w:pStyle w:val="AgencyName"/>
              <w:keepNext/>
            </w:pPr>
          </w:p>
        </w:tc>
        <w:tc>
          <w:tcPr>
            <w:tcW w:w="1044" w:type="dxa"/>
            <w:tcBorders>
              <w:top w:val="single" w:sz="4" w:space="0" w:color="293F5B"/>
            </w:tcBorders>
          </w:tcPr>
          <w:p w14:paraId="0A9F5656" w14:textId="77777777" w:rsidR="00BB2CB4" w:rsidRPr="00222C32" w:rsidRDefault="00BB2CB4">
            <w:pPr>
              <w:pStyle w:val="AgencyName"/>
              <w:keepNext/>
            </w:pPr>
          </w:p>
        </w:tc>
        <w:tc>
          <w:tcPr>
            <w:tcW w:w="1044" w:type="dxa"/>
            <w:tcBorders>
              <w:top w:val="single" w:sz="4" w:space="0" w:color="293F5B"/>
            </w:tcBorders>
          </w:tcPr>
          <w:p w14:paraId="1DBFCDAD" w14:textId="77777777" w:rsidR="00BB2CB4" w:rsidRPr="00222C32" w:rsidRDefault="00BB2CB4">
            <w:pPr>
              <w:pStyle w:val="AgencyName"/>
              <w:keepNext/>
            </w:pPr>
          </w:p>
        </w:tc>
      </w:tr>
      <w:tr w:rsidR="00BB2CB4" w:rsidRPr="00222C32" w14:paraId="49094B05" w14:textId="77777777" w:rsidTr="00825163">
        <w:tc>
          <w:tcPr>
            <w:tcW w:w="2501" w:type="dxa"/>
            <w:tcBorders>
              <w:bottom w:val="single" w:sz="4" w:space="0" w:color="293F5B"/>
            </w:tcBorders>
          </w:tcPr>
          <w:p w14:paraId="20EB879F" w14:textId="77777777" w:rsidR="00BB2CB4" w:rsidRPr="00222C32" w:rsidRDefault="000674DA">
            <w:pPr>
              <w:pStyle w:val="AgencyNamewith2ptsspacing"/>
              <w:keepNext/>
            </w:pPr>
            <w:r w:rsidRPr="00222C32">
              <w:t>Department of Defence</w:t>
            </w:r>
          </w:p>
        </w:tc>
        <w:tc>
          <w:tcPr>
            <w:tcW w:w="1044" w:type="dxa"/>
            <w:tcBorders>
              <w:bottom w:val="single" w:sz="4" w:space="0" w:color="293F5B"/>
            </w:tcBorders>
          </w:tcPr>
          <w:p w14:paraId="06BEB023"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5C77EC3B" w14:textId="77777777" w:rsidR="00BB2CB4" w:rsidRPr="00222C32" w:rsidRDefault="000674DA">
            <w:pPr>
              <w:pStyle w:val="Measuretabledatarightaligneditalics"/>
              <w:keepNext/>
            </w:pPr>
            <w:r w:rsidRPr="00222C32">
              <w:t>1.7</w:t>
            </w:r>
          </w:p>
        </w:tc>
        <w:tc>
          <w:tcPr>
            <w:tcW w:w="1044" w:type="dxa"/>
            <w:tcBorders>
              <w:bottom w:val="single" w:sz="4" w:space="0" w:color="293F5B"/>
            </w:tcBorders>
          </w:tcPr>
          <w:p w14:paraId="7FAE7224"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625DBFB2"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418FE9CE" w14:textId="77777777" w:rsidR="00BB2CB4" w:rsidRPr="00222C32" w:rsidRDefault="000674DA">
            <w:pPr>
              <w:pStyle w:val="Measuretabledatarightaligneditalics"/>
              <w:keepNext/>
            </w:pPr>
            <w:r w:rsidRPr="00222C32">
              <w:t>-</w:t>
            </w:r>
          </w:p>
        </w:tc>
      </w:tr>
    </w:tbl>
    <w:p w14:paraId="4BA6099C" w14:textId="77777777" w:rsidR="00AE5F8A" w:rsidRDefault="00AE5F8A" w:rsidP="00AE5F8A">
      <w:pPr>
        <w:pStyle w:val="SingleParagraph"/>
      </w:pPr>
    </w:p>
    <w:p w14:paraId="1AEDD3EF" w14:textId="77777777" w:rsidR="00BB2CB4" w:rsidRDefault="000674DA">
      <w:pPr>
        <w:pStyle w:val="Normal2"/>
      </w:pPr>
      <w:r w:rsidRPr="69C11E82">
        <w:rPr>
          <w:lang w:val="en-US"/>
        </w:rPr>
        <w:t>The Government will provide $4.3 million in 2025–‍26 to support Defence community engagement, tourism and the local economy. Funding includes:</w:t>
      </w:r>
    </w:p>
    <w:p w14:paraId="30E8357E" w14:textId="77777777" w:rsidR="00BB2CB4" w:rsidRDefault="000674DA">
      <w:pPr>
        <w:pStyle w:val="Bullet"/>
      </w:pPr>
      <w:r>
        <w:t>$2.3 million in 2025–‍26 to support the Royal Australian Air Force (RAAF) Richmond Airshow, commemorating the 100th anniversary of the RAAF Base Richmond</w:t>
      </w:r>
    </w:p>
    <w:p w14:paraId="5758E90E" w14:textId="28D499EE" w:rsidR="00BB2CB4" w:rsidRDefault="000674DA">
      <w:pPr>
        <w:pStyle w:val="Bullet"/>
      </w:pPr>
      <w:r>
        <w:t xml:space="preserve">$2.0 million in 2025–‍26 to install a new full‑sized replica helicopter to replace the </w:t>
      </w:r>
      <w:r w:rsidR="00222C32">
        <w:t>‘</w:t>
      </w:r>
      <w:r>
        <w:t>chopper on a stick</w:t>
      </w:r>
      <w:r w:rsidR="00222C32">
        <w:t>’</w:t>
      </w:r>
      <w:r>
        <w:t xml:space="preserve"> in Nowra, New South Wales.</w:t>
      </w:r>
    </w:p>
    <w:p w14:paraId="08F1A677" w14:textId="77777777" w:rsidR="00BB2CB4" w:rsidRDefault="000674DA">
      <w:pPr>
        <w:pStyle w:val="Normal2"/>
      </w:pPr>
      <w:r w:rsidRPr="69C11E82">
        <w:rPr>
          <w:lang w:val="en-US"/>
        </w:rPr>
        <w:t>The Department of Defence will meet the cost of this measure from within existing resources and through cost recovery.</w:t>
      </w:r>
    </w:p>
    <w:p w14:paraId="398BD7AE" w14:textId="277D3CBB"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44DE0DBF" w14:textId="77777777" w:rsidR="00BB2CB4" w:rsidRDefault="00BB2CB4">
      <w:pPr>
        <w:sectPr w:rsidR="00BB2CB4" w:rsidSect="00301ACF">
          <w:headerReference w:type="even" r:id="rId73"/>
          <w:headerReference w:type="default" r:id="rId74"/>
          <w:footerReference w:type="even" r:id="rId75"/>
          <w:footerReference w:type="default" r:id="rId76"/>
          <w:headerReference w:type="first" r:id="rId77"/>
          <w:footerReference w:type="first" r:id="rId78"/>
          <w:pgSz w:w="11906" w:h="16838" w:code="9"/>
          <w:pgMar w:top="2835" w:right="2098" w:bottom="2466" w:left="2098" w:header="1814" w:footer="1814" w:gutter="0"/>
          <w:cols w:space="720"/>
          <w:docGrid w:linePitch="272"/>
        </w:sectPr>
      </w:pPr>
    </w:p>
    <w:p w14:paraId="15C22292" w14:textId="69181C3F" w:rsidR="00BB2CB4" w:rsidRDefault="000674DA" w:rsidP="00AD5404">
      <w:pPr>
        <w:pStyle w:val="PortfolioName"/>
        <w:spacing w:before="0"/>
      </w:pPr>
      <w:r>
        <w:lastRenderedPageBreak/>
        <w:t>Education</w:t>
      </w:r>
    </w:p>
    <w:p w14:paraId="53B4E7C5" w14:textId="6812658C" w:rsidR="00BB2CB4" w:rsidRDefault="000674DA">
      <w:pPr>
        <w:pStyle w:val="MeasureTitle"/>
      </w:pPr>
      <w:r>
        <w:t>Developing a Framework of Remuneration Classification Ranges for University</w:t>
      </w:r>
      <w:r w:rsidR="0027435B">
        <w:t> </w:t>
      </w:r>
      <w:r>
        <w:t>Vice‑Chancellor Remuneration</w:t>
      </w:r>
    </w:p>
    <w:p w14:paraId="5E2C5B43"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169BABD7" w14:textId="77777777" w:rsidTr="00825163">
        <w:trPr>
          <w:cantSplit/>
        </w:trPr>
        <w:tc>
          <w:tcPr>
            <w:tcW w:w="2500" w:type="dxa"/>
            <w:tcBorders>
              <w:top w:val="single" w:sz="4" w:space="0" w:color="293F5B"/>
              <w:bottom w:val="single" w:sz="4" w:space="0" w:color="293F5B"/>
            </w:tcBorders>
          </w:tcPr>
          <w:p w14:paraId="66B60C5A" w14:textId="77777777" w:rsidR="00BB2CB4" w:rsidRPr="00222C32" w:rsidRDefault="00BB2CB4">
            <w:pPr>
              <w:pStyle w:val="MeasureTableYearHeadings"/>
              <w:keepNext/>
            </w:pPr>
          </w:p>
        </w:tc>
        <w:tc>
          <w:tcPr>
            <w:tcW w:w="1043" w:type="dxa"/>
            <w:tcBorders>
              <w:top w:val="single" w:sz="4" w:space="0" w:color="293F5B"/>
              <w:bottom w:val="single" w:sz="4" w:space="0" w:color="293F5B"/>
            </w:tcBorders>
          </w:tcPr>
          <w:p w14:paraId="7104D1ED" w14:textId="77777777" w:rsidR="00BB2CB4" w:rsidRPr="00222C32" w:rsidRDefault="000674DA">
            <w:pPr>
              <w:pStyle w:val="MeasureTableYearHeadings"/>
              <w:keepNext/>
            </w:pPr>
            <w:r w:rsidRPr="00222C32">
              <w:t>2024-25</w:t>
            </w:r>
          </w:p>
        </w:tc>
        <w:tc>
          <w:tcPr>
            <w:tcW w:w="1043" w:type="dxa"/>
            <w:tcBorders>
              <w:top w:val="single" w:sz="4" w:space="0" w:color="293F5B"/>
              <w:bottom w:val="single" w:sz="4" w:space="0" w:color="293F5B"/>
            </w:tcBorders>
          </w:tcPr>
          <w:p w14:paraId="60F66D41" w14:textId="77777777" w:rsidR="00BB2CB4" w:rsidRPr="00222C32" w:rsidRDefault="000674DA">
            <w:pPr>
              <w:pStyle w:val="MeasureTableYearHeadings"/>
              <w:keepNext/>
            </w:pPr>
            <w:r w:rsidRPr="00222C32">
              <w:t>2025-26</w:t>
            </w:r>
          </w:p>
        </w:tc>
        <w:tc>
          <w:tcPr>
            <w:tcW w:w="1043" w:type="dxa"/>
            <w:tcBorders>
              <w:top w:val="single" w:sz="4" w:space="0" w:color="293F5B"/>
              <w:bottom w:val="single" w:sz="4" w:space="0" w:color="293F5B"/>
            </w:tcBorders>
          </w:tcPr>
          <w:p w14:paraId="68CA2FB3" w14:textId="77777777" w:rsidR="00BB2CB4" w:rsidRPr="00222C32" w:rsidRDefault="000674DA">
            <w:pPr>
              <w:pStyle w:val="MeasureTableYearHeadings"/>
              <w:keepNext/>
            </w:pPr>
            <w:r w:rsidRPr="00222C32">
              <w:t>2026-27</w:t>
            </w:r>
          </w:p>
        </w:tc>
        <w:tc>
          <w:tcPr>
            <w:tcW w:w="1043" w:type="dxa"/>
            <w:tcBorders>
              <w:top w:val="single" w:sz="4" w:space="0" w:color="293F5B"/>
              <w:bottom w:val="single" w:sz="4" w:space="0" w:color="293F5B"/>
            </w:tcBorders>
          </w:tcPr>
          <w:p w14:paraId="2F94E51B" w14:textId="77777777" w:rsidR="00BB2CB4" w:rsidRPr="00222C32" w:rsidRDefault="000674DA">
            <w:pPr>
              <w:pStyle w:val="MeasureTableYearHeadings"/>
              <w:keepNext/>
            </w:pPr>
            <w:r w:rsidRPr="00222C32">
              <w:t>2027-28</w:t>
            </w:r>
          </w:p>
        </w:tc>
        <w:tc>
          <w:tcPr>
            <w:tcW w:w="1043" w:type="dxa"/>
            <w:tcBorders>
              <w:top w:val="single" w:sz="4" w:space="0" w:color="293F5B"/>
              <w:bottom w:val="single" w:sz="4" w:space="0" w:color="293F5B"/>
            </w:tcBorders>
          </w:tcPr>
          <w:p w14:paraId="7E26190B" w14:textId="77777777" w:rsidR="00BB2CB4" w:rsidRPr="00222C32" w:rsidRDefault="000674DA">
            <w:pPr>
              <w:pStyle w:val="MeasureTableYearHeadings"/>
              <w:keepNext/>
            </w:pPr>
            <w:r w:rsidRPr="00222C32">
              <w:t>2028-29</w:t>
            </w:r>
          </w:p>
        </w:tc>
      </w:tr>
      <w:tr w:rsidR="00BB2CB4" w:rsidRPr="00222C32" w14:paraId="73254B9A" w14:textId="77777777" w:rsidTr="00825163">
        <w:trPr>
          <w:cantSplit/>
        </w:trPr>
        <w:tc>
          <w:tcPr>
            <w:tcW w:w="2500" w:type="dxa"/>
            <w:tcBorders>
              <w:top w:val="single" w:sz="4" w:space="0" w:color="293F5B"/>
              <w:bottom w:val="single" w:sz="4" w:space="0" w:color="293F5B"/>
            </w:tcBorders>
          </w:tcPr>
          <w:p w14:paraId="6D1C1FDC" w14:textId="77777777" w:rsidR="00BB2CB4" w:rsidRPr="00222C32" w:rsidRDefault="000674DA">
            <w:pPr>
              <w:pStyle w:val="MeasureTableHeadingleftalignedwith2ptsspacing"/>
              <w:keepNext/>
            </w:pPr>
            <w:r w:rsidRPr="00222C32">
              <w:t>Department of Education</w:t>
            </w:r>
          </w:p>
        </w:tc>
        <w:tc>
          <w:tcPr>
            <w:tcW w:w="1043" w:type="dxa"/>
            <w:tcBorders>
              <w:top w:val="single" w:sz="4" w:space="0" w:color="293F5B"/>
              <w:bottom w:val="single" w:sz="4" w:space="0" w:color="293F5B"/>
            </w:tcBorders>
          </w:tcPr>
          <w:p w14:paraId="6AFF2312"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58F155F6"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3D7B91EA"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489985CA"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44AE70AC" w14:textId="77777777" w:rsidR="00BB2CB4" w:rsidRPr="00222C32" w:rsidRDefault="000674DA">
            <w:pPr>
              <w:pStyle w:val="MeasureTableDataRightAlignedwith2ptsspacing"/>
              <w:keepNext/>
            </w:pPr>
            <w:r w:rsidRPr="00222C32">
              <w:t>-</w:t>
            </w:r>
          </w:p>
        </w:tc>
      </w:tr>
    </w:tbl>
    <w:p w14:paraId="1CB45AD7" w14:textId="77777777" w:rsidR="000551D2" w:rsidRDefault="000551D2" w:rsidP="000551D2">
      <w:pPr>
        <w:pStyle w:val="SingleParagraph"/>
      </w:pPr>
    </w:p>
    <w:p w14:paraId="3406D602" w14:textId="34046E87" w:rsidR="00BB2CB4" w:rsidRDefault="000674DA" w:rsidP="000551D2">
      <w:pPr>
        <w:pStyle w:val="Normal2"/>
      </w:pPr>
      <w:r w:rsidRPr="69C11E82">
        <w:rPr>
          <w:lang w:val="en-US"/>
        </w:rPr>
        <w:t>The Australian Government, with the Commonwealth Remuneration Tribunal, will develop a national, publicly available framework to guide the settings of Vice‑Chancellor remuneration at Australia</w:t>
      </w:r>
      <w:r w:rsidR="00222C32" w:rsidRPr="69C11E82">
        <w:rPr>
          <w:lang w:val="en-US"/>
        </w:rPr>
        <w:t>’</w:t>
      </w:r>
      <w:r w:rsidRPr="69C11E82">
        <w:rPr>
          <w:lang w:val="en-US"/>
        </w:rPr>
        <w:t>s public universities. The framework will better align Vice‑Chancellor remuneration with community expectations, while maintaining flexibility for universities to attract and retain high quality leaders.</w:t>
      </w:r>
    </w:p>
    <w:p w14:paraId="054CC865" w14:textId="77777777" w:rsidR="00BB2CB4" w:rsidRDefault="000674DA">
      <w:pPr>
        <w:pStyle w:val="Normal2"/>
      </w:pPr>
      <w:r>
        <w:t>The Department of Education will meet the cost of this measure from within existing resources.</w:t>
      </w:r>
    </w:p>
    <w:p w14:paraId="6DB090F9" w14:textId="75270B78" w:rsidR="00BB2CB4" w:rsidRDefault="000674DA">
      <w:pPr>
        <w:pStyle w:val="MeasureTitle"/>
      </w:pPr>
      <w:r w:rsidRPr="69C11E82">
        <w:rPr>
          <w:lang w:val="en-US"/>
        </w:rPr>
        <w:t>Early Childhood Education and Care Worker Retention Payment – additional</w:t>
      </w:r>
      <w:r w:rsidR="007C6E46">
        <w:rPr>
          <w:lang w:val="en-US"/>
        </w:rPr>
        <w:t> </w:t>
      </w:r>
      <w:r w:rsidRPr="69C11E82">
        <w:rPr>
          <w:lang w:val="en-US"/>
        </w:rPr>
        <w:t>support</w:t>
      </w:r>
    </w:p>
    <w:p w14:paraId="29B688D5" w14:textId="77777777" w:rsidR="00BB2CB4" w:rsidRDefault="000674DA">
      <w:pPr>
        <w:pStyle w:val="MeasureTableHeading"/>
      </w:pPr>
      <w:r>
        <w:t>Payments ($m)</w:t>
      </w:r>
    </w:p>
    <w:tbl>
      <w:tblPr>
        <w:tblOverlap w:val="never"/>
        <w:tblW w:w="5000" w:type="pct"/>
        <w:tblBorders>
          <w:top w:val="single" w:sz="4" w:space="0" w:color="293F5B"/>
          <w:bottom w:val="single" w:sz="4" w:space="0" w:color="000000"/>
          <w:insideH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4654B0FD" w14:textId="77777777" w:rsidTr="00825163">
        <w:trPr>
          <w:cantSplit/>
        </w:trPr>
        <w:tc>
          <w:tcPr>
            <w:tcW w:w="2500" w:type="dxa"/>
            <w:tcBorders>
              <w:bottom w:val="single" w:sz="4" w:space="0" w:color="293F5B"/>
            </w:tcBorders>
          </w:tcPr>
          <w:p w14:paraId="5AAC2E44" w14:textId="77777777" w:rsidR="00BB2CB4" w:rsidRPr="00222C32" w:rsidRDefault="00BB2CB4">
            <w:pPr>
              <w:pStyle w:val="MeasureTableYearHeadings"/>
              <w:keepNext/>
            </w:pPr>
          </w:p>
        </w:tc>
        <w:tc>
          <w:tcPr>
            <w:tcW w:w="1043" w:type="dxa"/>
            <w:tcBorders>
              <w:bottom w:val="single" w:sz="4" w:space="0" w:color="293F5B"/>
            </w:tcBorders>
          </w:tcPr>
          <w:p w14:paraId="1A77CD35" w14:textId="77777777" w:rsidR="00BB2CB4" w:rsidRPr="00222C32" w:rsidRDefault="000674DA">
            <w:pPr>
              <w:pStyle w:val="MeasureTableYearHeadings"/>
              <w:keepNext/>
            </w:pPr>
            <w:r w:rsidRPr="00222C32">
              <w:t>2024-25</w:t>
            </w:r>
          </w:p>
        </w:tc>
        <w:tc>
          <w:tcPr>
            <w:tcW w:w="1043" w:type="dxa"/>
            <w:tcBorders>
              <w:bottom w:val="single" w:sz="4" w:space="0" w:color="293F5B"/>
            </w:tcBorders>
          </w:tcPr>
          <w:p w14:paraId="01083051" w14:textId="77777777" w:rsidR="00BB2CB4" w:rsidRPr="00222C32" w:rsidRDefault="000674DA">
            <w:pPr>
              <w:pStyle w:val="MeasureTableYearHeadings"/>
              <w:keepNext/>
            </w:pPr>
            <w:r w:rsidRPr="00222C32">
              <w:t>2025-26</w:t>
            </w:r>
          </w:p>
        </w:tc>
        <w:tc>
          <w:tcPr>
            <w:tcW w:w="1043" w:type="dxa"/>
            <w:tcBorders>
              <w:bottom w:val="single" w:sz="4" w:space="0" w:color="293F5B"/>
            </w:tcBorders>
          </w:tcPr>
          <w:p w14:paraId="32324089" w14:textId="77777777" w:rsidR="00BB2CB4" w:rsidRPr="00222C32" w:rsidRDefault="000674DA">
            <w:pPr>
              <w:pStyle w:val="MeasureTableYearHeadings"/>
              <w:keepNext/>
            </w:pPr>
            <w:r w:rsidRPr="00222C32">
              <w:t>2026-27</w:t>
            </w:r>
          </w:p>
        </w:tc>
        <w:tc>
          <w:tcPr>
            <w:tcW w:w="1043" w:type="dxa"/>
            <w:tcBorders>
              <w:bottom w:val="single" w:sz="4" w:space="0" w:color="293F5B"/>
            </w:tcBorders>
          </w:tcPr>
          <w:p w14:paraId="4CE28895" w14:textId="77777777" w:rsidR="00BB2CB4" w:rsidRPr="00222C32" w:rsidRDefault="000674DA">
            <w:pPr>
              <w:pStyle w:val="MeasureTableYearHeadings"/>
              <w:keepNext/>
            </w:pPr>
            <w:r w:rsidRPr="00222C32">
              <w:t>2027-28</w:t>
            </w:r>
          </w:p>
        </w:tc>
        <w:tc>
          <w:tcPr>
            <w:tcW w:w="1043" w:type="dxa"/>
            <w:tcBorders>
              <w:bottom w:val="single" w:sz="4" w:space="0" w:color="293F5B"/>
            </w:tcBorders>
          </w:tcPr>
          <w:p w14:paraId="299EA60B" w14:textId="77777777" w:rsidR="00BB2CB4" w:rsidRPr="00222C32" w:rsidRDefault="000674DA">
            <w:pPr>
              <w:pStyle w:val="MeasureTableYearHeadings"/>
              <w:keepNext/>
            </w:pPr>
            <w:r w:rsidRPr="00222C32">
              <w:t>2028-29</w:t>
            </w:r>
          </w:p>
        </w:tc>
      </w:tr>
      <w:tr w:rsidR="00BB2CB4" w:rsidRPr="00222C32" w14:paraId="18D70A92" w14:textId="77777777" w:rsidTr="00C62EC6">
        <w:trPr>
          <w:cantSplit/>
        </w:trPr>
        <w:tc>
          <w:tcPr>
            <w:tcW w:w="2500" w:type="dxa"/>
            <w:tcBorders>
              <w:top w:val="single" w:sz="4" w:space="0" w:color="293F5B"/>
              <w:bottom w:val="single" w:sz="4" w:space="0" w:color="293F5B"/>
            </w:tcBorders>
          </w:tcPr>
          <w:p w14:paraId="3A16AE35" w14:textId="77777777" w:rsidR="00BB2CB4" w:rsidRPr="00222C32" w:rsidRDefault="000674DA">
            <w:pPr>
              <w:pStyle w:val="MeasureTableHeadingleftalignedwith2ptsspacing"/>
              <w:keepNext/>
            </w:pPr>
            <w:r w:rsidRPr="00222C32">
              <w:t>Department of Education</w:t>
            </w:r>
          </w:p>
        </w:tc>
        <w:tc>
          <w:tcPr>
            <w:tcW w:w="1043" w:type="dxa"/>
            <w:tcBorders>
              <w:top w:val="single" w:sz="4" w:space="0" w:color="293F5B"/>
              <w:bottom w:val="single" w:sz="4" w:space="0" w:color="293F5B"/>
            </w:tcBorders>
          </w:tcPr>
          <w:p w14:paraId="1325E7FF"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3041D2B7"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683D8F58"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1CB10D25"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4F5206AD" w14:textId="77777777" w:rsidR="00BB2CB4" w:rsidRPr="00222C32" w:rsidRDefault="000674DA">
            <w:pPr>
              <w:pStyle w:val="MeasureTableDataRightAlignedwith2ptsspacing"/>
              <w:keepNext/>
            </w:pPr>
            <w:r w:rsidRPr="00222C32">
              <w:t>-</w:t>
            </w:r>
          </w:p>
        </w:tc>
      </w:tr>
    </w:tbl>
    <w:p w14:paraId="57C0E3FE" w14:textId="77777777" w:rsidR="000551D2" w:rsidRDefault="000551D2" w:rsidP="000551D2">
      <w:pPr>
        <w:pStyle w:val="SingleParagraph"/>
      </w:pPr>
    </w:p>
    <w:p w14:paraId="50E16322" w14:textId="77777777" w:rsidR="00BB2CB4" w:rsidRDefault="000674DA" w:rsidP="000551D2">
      <w:pPr>
        <w:pStyle w:val="Normal2"/>
      </w:pPr>
      <w:r w:rsidRPr="69C11E82">
        <w:rPr>
          <w:lang w:val="en-US"/>
        </w:rPr>
        <w:t>The Government will provide $157.0 million over two years from 2025–‍26 to change eligibility to the Worker Retention Payment to allow participation in the program in cases where services limit fee growth for early childhood education and care services to no more than 8.6 per cent over a two‑year period from 8 August 2024 to 7 August 2026. Previously, services exceeding 4.4 per cent fee growth in the first year (between 8 August 2024 and 7 August 2025) were ineligible for the program in the second year.</w:t>
      </w:r>
    </w:p>
    <w:p w14:paraId="71A4FE3E" w14:textId="0E59CC16" w:rsidR="00BB2CB4" w:rsidRDefault="000674DA">
      <w:pPr>
        <w:pStyle w:val="Normal2"/>
      </w:pPr>
      <w:r w:rsidRPr="69C11E82">
        <w:rPr>
          <w:lang w:val="en-US"/>
        </w:rPr>
        <w:t>The Government has extended the backdating provision by three months from 30 June 2025 to 30 September 2025 to help more providers meet the program</w:t>
      </w:r>
      <w:r w:rsidR="00222C32" w:rsidRPr="69C11E82">
        <w:rPr>
          <w:lang w:val="en-US"/>
        </w:rPr>
        <w:t>’</w:t>
      </w:r>
      <w:r w:rsidRPr="69C11E82">
        <w:rPr>
          <w:lang w:val="en-US"/>
        </w:rPr>
        <w:t>s eligibility criteria and timeframe for processing applications. This extension is expected to capture an additional 2.1 per cent of eligible services and will provide backdated funding to December 2024 for eligible providers.</w:t>
      </w:r>
    </w:p>
    <w:p w14:paraId="61BA8A21" w14:textId="77777777" w:rsidR="00BB2CB4" w:rsidRDefault="000674DA">
      <w:pPr>
        <w:pStyle w:val="Normal2"/>
      </w:pPr>
      <w:r>
        <w:t>The Department of Education will meet the cost of this measure from within existing resources.</w:t>
      </w:r>
    </w:p>
    <w:p w14:paraId="4C520CB3" w14:textId="1566CAF0" w:rsidR="00BB2CB4" w:rsidRDefault="000674DA">
      <w:pPr>
        <w:pStyle w:val="Normal2"/>
      </w:pPr>
      <w:r>
        <w:t xml:space="preserve">This measure builds on the 2024–‍25 MYEFO measure titled </w:t>
      </w:r>
      <w:r w:rsidRPr="000674DA">
        <w:rPr>
          <w:i/>
        </w:rPr>
        <w:t>Building Australia</w:t>
      </w:r>
      <w:r w:rsidR="00222C32">
        <w:rPr>
          <w:i/>
        </w:rPr>
        <w:t>’</w:t>
      </w:r>
      <w:r w:rsidRPr="000674DA">
        <w:rPr>
          <w:i/>
        </w:rPr>
        <w:t>s Future – delivering pay rises for early educators</w:t>
      </w:r>
      <w:r>
        <w:t>.</w:t>
      </w:r>
    </w:p>
    <w:p w14:paraId="33346DF5" w14:textId="77777777" w:rsidR="00B353C1" w:rsidRDefault="00B353C1">
      <w:pPr>
        <w:pStyle w:val="Normal2"/>
      </w:pPr>
    </w:p>
    <w:p w14:paraId="413C3DA3" w14:textId="77777777" w:rsidR="00B353C1" w:rsidRDefault="00B353C1">
      <w:pPr>
        <w:pStyle w:val="Normal2"/>
        <w:sectPr w:rsidR="00B353C1" w:rsidSect="00301ACF">
          <w:headerReference w:type="even" r:id="rId79"/>
          <w:headerReference w:type="default" r:id="rId80"/>
          <w:footerReference w:type="even" r:id="rId81"/>
          <w:footerReference w:type="default" r:id="rId82"/>
          <w:headerReference w:type="first" r:id="rId83"/>
          <w:footerReference w:type="first" r:id="rId84"/>
          <w:pgSz w:w="11906" w:h="16838" w:code="9"/>
          <w:pgMar w:top="2835" w:right="2098" w:bottom="2466" w:left="2098" w:header="1814" w:footer="1814" w:gutter="0"/>
          <w:cols w:space="720"/>
          <w:docGrid w:linePitch="272"/>
        </w:sectPr>
      </w:pPr>
    </w:p>
    <w:p w14:paraId="02BDFA69" w14:textId="77777777" w:rsidR="00BB2CB4" w:rsidRDefault="000674DA" w:rsidP="00E846F7">
      <w:pPr>
        <w:pStyle w:val="MeasureTitle"/>
        <w:spacing w:before="120"/>
        <w:rPr>
          <w:lang w:val="en-US"/>
        </w:rPr>
      </w:pPr>
      <w:r w:rsidRPr="69C11E82">
        <w:rPr>
          <w:lang w:val="en-US"/>
        </w:rPr>
        <w:lastRenderedPageBreak/>
        <w:t>Education – reprioritisation</w:t>
      </w:r>
    </w:p>
    <w:p w14:paraId="4D3C374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AD0A556" w14:textId="77777777" w:rsidTr="00825163">
        <w:trPr>
          <w:cantSplit/>
        </w:trPr>
        <w:tc>
          <w:tcPr>
            <w:tcW w:w="2501" w:type="dxa"/>
            <w:tcBorders>
              <w:top w:val="single" w:sz="4" w:space="0" w:color="293F5B"/>
              <w:bottom w:val="single" w:sz="4" w:space="0" w:color="293F5B"/>
            </w:tcBorders>
          </w:tcPr>
          <w:p w14:paraId="1A21944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54277C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1FAF80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409BE06"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4CB965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15451BE" w14:textId="77777777" w:rsidR="00BB2CB4" w:rsidRPr="00222C32" w:rsidRDefault="000674DA">
            <w:pPr>
              <w:pStyle w:val="MeasureTableYearHeadings"/>
              <w:keepNext/>
            </w:pPr>
            <w:r w:rsidRPr="00222C32">
              <w:t>2028-29</w:t>
            </w:r>
          </w:p>
        </w:tc>
      </w:tr>
      <w:tr w:rsidR="00BB2CB4" w:rsidRPr="00222C32" w14:paraId="7E5E68A5" w14:textId="77777777" w:rsidTr="00825163">
        <w:trPr>
          <w:cantSplit/>
        </w:trPr>
        <w:tc>
          <w:tcPr>
            <w:tcW w:w="2501" w:type="dxa"/>
            <w:tcBorders>
              <w:top w:val="single" w:sz="4" w:space="0" w:color="293F5B"/>
              <w:bottom w:val="single" w:sz="4" w:space="0" w:color="293F5B"/>
            </w:tcBorders>
          </w:tcPr>
          <w:p w14:paraId="6163C0BD"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bottom w:val="single" w:sz="4" w:space="0" w:color="293F5B"/>
            </w:tcBorders>
          </w:tcPr>
          <w:p w14:paraId="4AE5ED1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1C5BB22" w14:textId="77777777" w:rsidR="00BB2CB4" w:rsidRPr="00222C32" w:rsidRDefault="000674DA">
            <w:pPr>
              <w:pStyle w:val="MeasureTableDataRightAlignedwith2ptsspacing"/>
              <w:keepNext/>
            </w:pPr>
            <w:r w:rsidRPr="00222C32">
              <w:t>-50.5</w:t>
            </w:r>
          </w:p>
        </w:tc>
        <w:tc>
          <w:tcPr>
            <w:tcW w:w="1044" w:type="dxa"/>
            <w:tcBorders>
              <w:top w:val="single" w:sz="4" w:space="0" w:color="293F5B"/>
              <w:bottom w:val="single" w:sz="4" w:space="0" w:color="293F5B"/>
            </w:tcBorders>
          </w:tcPr>
          <w:p w14:paraId="49A90C80" w14:textId="77777777" w:rsidR="00BB2CB4" w:rsidRPr="00222C32" w:rsidRDefault="000674DA">
            <w:pPr>
              <w:pStyle w:val="MeasureTableDataRightAlignedwith2ptsspacing"/>
              <w:keepNext/>
            </w:pPr>
            <w:r w:rsidRPr="00222C32">
              <w:t>-120.7</w:t>
            </w:r>
          </w:p>
        </w:tc>
        <w:tc>
          <w:tcPr>
            <w:tcW w:w="1044" w:type="dxa"/>
            <w:tcBorders>
              <w:top w:val="single" w:sz="4" w:space="0" w:color="293F5B"/>
              <w:bottom w:val="single" w:sz="4" w:space="0" w:color="293F5B"/>
            </w:tcBorders>
          </w:tcPr>
          <w:p w14:paraId="75515BCB" w14:textId="77777777" w:rsidR="00BB2CB4" w:rsidRPr="00222C32" w:rsidRDefault="000674DA">
            <w:pPr>
              <w:pStyle w:val="MeasureTableDataRightAlignedwith2ptsspacing"/>
              <w:keepNext/>
            </w:pPr>
            <w:r w:rsidRPr="00222C32">
              <w:t>-99.8</w:t>
            </w:r>
          </w:p>
        </w:tc>
        <w:tc>
          <w:tcPr>
            <w:tcW w:w="1044" w:type="dxa"/>
            <w:tcBorders>
              <w:top w:val="single" w:sz="4" w:space="0" w:color="293F5B"/>
              <w:bottom w:val="single" w:sz="4" w:space="0" w:color="293F5B"/>
            </w:tcBorders>
          </w:tcPr>
          <w:p w14:paraId="4D3B7E05" w14:textId="77777777" w:rsidR="00BB2CB4" w:rsidRPr="00222C32" w:rsidRDefault="000674DA">
            <w:pPr>
              <w:pStyle w:val="MeasureTableDataRightAlignedwith2ptsspacing"/>
              <w:keepNext/>
            </w:pPr>
            <w:r w:rsidRPr="00222C32">
              <w:t>-87.7</w:t>
            </w:r>
          </w:p>
        </w:tc>
      </w:tr>
    </w:tbl>
    <w:p w14:paraId="315B9464" w14:textId="77777777" w:rsidR="00B353C1" w:rsidRDefault="00B353C1" w:rsidP="00B353C1">
      <w:pPr>
        <w:pStyle w:val="SingleParagraph"/>
      </w:pPr>
    </w:p>
    <w:p w14:paraId="11E652D0" w14:textId="77777777" w:rsidR="00BB2CB4" w:rsidRDefault="000674DA">
      <w:pPr>
        <w:pStyle w:val="Normal2"/>
      </w:pPr>
      <w:r>
        <w:t>The Government will achieve savings of $358.7 million over four years from 2025–‍26 (and $87.9 million per year ongoing) within the Education portfolio. Savings include:</w:t>
      </w:r>
    </w:p>
    <w:p w14:paraId="4C03B1F4" w14:textId="77777777" w:rsidR="00BB2CB4" w:rsidRDefault="000674DA">
      <w:pPr>
        <w:pStyle w:val="Bullet"/>
      </w:pPr>
      <w:r>
        <w:t xml:space="preserve">$285.6 million over four years from 2025–‍26 (and $87.9 million per year ongoing) through additional integrity activities to strengthen the Child Care Subsidy program, including by implementing new regulatory powers under the </w:t>
      </w:r>
      <w:r w:rsidRPr="000674DA">
        <w:rPr>
          <w:i/>
        </w:rPr>
        <w:t>Early Childhood Education and Care (Strengthening Regulation of Early Education) Act 2025</w:t>
      </w:r>
    </w:p>
    <w:p w14:paraId="44CEC6EA" w14:textId="1F50801E" w:rsidR="00BB2CB4" w:rsidRDefault="000674DA">
      <w:pPr>
        <w:pStyle w:val="Bullet"/>
      </w:pPr>
      <w:r>
        <w:t>$73.1 million over three years from 2025–‍26 by redirecting unallocated funding from Australia</w:t>
      </w:r>
      <w:r w:rsidR="00222C32">
        <w:t>’</w:t>
      </w:r>
      <w:r>
        <w:t>s Economic Accelerator program.</w:t>
      </w:r>
    </w:p>
    <w:p w14:paraId="4BB1E0B7" w14:textId="77777777" w:rsidR="00BB2CB4" w:rsidRDefault="000674DA">
      <w:pPr>
        <w:pStyle w:val="Normal2"/>
      </w:pPr>
      <w:r>
        <w:t>The Government is also redirecting funding from the pilot Practicum Exchange Network program to the Workforce Measures Professional Development grant subsidy.</w:t>
      </w:r>
    </w:p>
    <w:p w14:paraId="0206A0EE" w14:textId="7280FD15" w:rsidR="00BB2CB4" w:rsidRDefault="000674DA">
      <w:pPr>
        <w:pStyle w:val="Normal2"/>
      </w:pPr>
      <w:r w:rsidRPr="69C11E82">
        <w:rPr>
          <w:lang w:val="en-US"/>
        </w:rPr>
        <w:t xml:space="preserve">Savings from this measure will partially fund the 2025–‍26 MYEFO measures titled </w:t>
      </w:r>
      <w:r w:rsidRPr="69C11E82">
        <w:rPr>
          <w:i/>
          <w:lang w:val="en-US"/>
        </w:rPr>
        <w:t xml:space="preserve">Strengthening Safety and Quality in the Early Childhood Education and Care Sector, Inclusion Support Program </w:t>
      </w:r>
      <w:r w:rsidRPr="69C11E82">
        <w:rPr>
          <w:lang w:val="en-US"/>
        </w:rPr>
        <w:t>–</w:t>
      </w:r>
      <w:r w:rsidRPr="69C11E82">
        <w:rPr>
          <w:i/>
          <w:lang w:val="en-US"/>
        </w:rPr>
        <w:t xml:space="preserve"> supplementary funding, Improving Outcomes in Australian Schools,</w:t>
      </w:r>
      <w:r w:rsidRPr="69C11E82">
        <w:rPr>
          <w:lang w:val="en-US"/>
        </w:rPr>
        <w:t xml:space="preserve"> </w:t>
      </w:r>
      <w:r w:rsidRPr="69C11E82">
        <w:rPr>
          <w:i/>
          <w:lang w:val="en-US"/>
        </w:rPr>
        <w:t xml:space="preserve">Working With Children Check Reform </w:t>
      </w:r>
      <w:r w:rsidR="009A3A44">
        <w:rPr>
          <w:iCs/>
          <w:lang w:val="en-US"/>
        </w:rPr>
        <w:t xml:space="preserve">and </w:t>
      </w:r>
      <w:r w:rsidR="009A3A44">
        <w:rPr>
          <w:i/>
          <w:lang w:val="en-US"/>
        </w:rPr>
        <w:t xml:space="preserve">Closing the Gap – further investments </w:t>
      </w:r>
      <w:r w:rsidRPr="69C11E82">
        <w:rPr>
          <w:lang w:val="en-US"/>
        </w:rPr>
        <w:t>in the Attorney‑General</w:t>
      </w:r>
      <w:r w:rsidR="00222C32" w:rsidRPr="69C11E82">
        <w:rPr>
          <w:lang w:val="en-US"/>
        </w:rPr>
        <w:t>’</w:t>
      </w:r>
      <w:r w:rsidRPr="69C11E82">
        <w:rPr>
          <w:lang w:val="en-US"/>
        </w:rPr>
        <w:t>s</w:t>
      </w:r>
      <w:r w:rsidR="00786668">
        <w:rPr>
          <w:lang w:val="en-US"/>
        </w:rPr>
        <w:t>,</w:t>
      </w:r>
      <w:r w:rsidRPr="69C11E82">
        <w:rPr>
          <w:lang w:val="en-US"/>
        </w:rPr>
        <w:t xml:space="preserve"> Education </w:t>
      </w:r>
      <w:r w:rsidR="00786668">
        <w:rPr>
          <w:lang w:val="en-US"/>
        </w:rPr>
        <w:t xml:space="preserve">and Cross </w:t>
      </w:r>
      <w:r w:rsidRPr="69C11E82">
        <w:rPr>
          <w:lang w:val="en-US"/>
        </w:rPr>
        <w:t>portfolios.</w:t>
      </w:r>
    </w:p>
    <w:p w14:paraId="535872C6" w14:textId="77777777" w:rsidR="00BB2CB4" w:rsidRDefault="000674DA">
      <w:pPr>
        <w:pStyle w:val="MeasureTitle"/>
      </w:pPr>
      <w:r>
        <w:t>Funding for Mid‑Year Reception in South Australian Non‑Government Schools</w:t>
      </w:r>
    </w:p>
    <w:p w14:paraId="0337E52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A176E43" w14:textId="77777777" w:rsidTr="00825163">
        <w:trPr>
          <w:cantSplit/>
        </w:trPr>
        <w:tc>
          <w:tcPr>
            <w:tcW w:w="2501" w:type="dxa"/>
            <w:tcBorders>
              <w:top w:val="single" w:sz="4" w:space="0" w:color="293F5B"/>
              <w:bottom w:val="single" w:sz="4" w:space="0" w:color="293F5B"/>
            </w:tcBorders>
          </w:tcPr>
          <w:p w14:paraId="125E139C"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E22FB6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F12691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05681A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1B9C06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E165713" w14:textId="77777777" w:rsidR="00BB2CB4" w:rsidRPr="00222C32" w:rsidRDefault="000674DA">
            <w:pPr>
              <w:pStyle w:val="MeasureTableYearHeadings"/>
              <w:keepNext/>
            </w:pPr>
            <w:r w:rsidRPr="00222C32">
              <w:t>2028-29</w:t>
            </w:r>
          </w:p>
        </w:tc>
      </w:tr>
      <w:tr w:rsidR="00BB2CB4" w:rsidRPr="00222C32" w14:paraId="577F18C6" w14:textId="77777777" w:rsidTr="00825163">
        <w:trPr>
          <w:cantSplit/>
        </w:trPr>
        <w:tc>
          <w:tcPr>
            <w:tcW w:w="2501" w:type="dxa"/>
            <w:tcBorders>
              <w:top w:val="single" w:sz="4" w:space="0" w:color="293F5B"/>
              <w:bottom w:val="single" w:sz="4" w:space="0" w:color="293F5B"/>
            </w:tcBorders>
          </w:tcPr>
          <w:p w14:paraId="2FEDCBA5"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50AA417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E9E9234" w14:textId="77777777" w:rsidR="00BB2CB4" w:rsidRPr="00222C32" w:rsidRDefault="000674DA">
            <w:pPr>
              <w:pStyle w:val="MeasureTableDataRightAlignedwith2ptsspacing"/>
              <w:keepNext/>
            </w:pPr>
            <w:r w:rsidRPr="00222C32">
              <w:t>13.3</w:t>
            </w:r>
          </w:p>
        </w:tc>
        <w:tc>
          <w:tcPr>
            <w:tcW w:w="1044" w:type="dxa"/>
            <w:tcBorders>
              <w:top w:val="single" w:sz="4" w:space="0" w:color="293F5B"/>
              <w:bottom w:val="single" w:sz="4" w:space="0" w:color="293F5B"/>
            </w:tcBorders>
          </w:tcPr>
          <w:p w14:paraId="145BA72A" w14:textId="77777777" w:rsidR="00BB2CB4" w:rsidRPr="00222C32" w:rsidRDefault="000674DA">
            <w:pPr>
              <w:pStyle w:val="MeasureTableDataRightAlignedwith2ptsspacing"/>
              <w:keepNext/>
            </w:pPr>
            <w:r w:rsidRPr="00222C32">
              <w:t>8.7</w:t>
            </w:r>
          </w:p>
        </w:tc>
        <w:tc>
          <w:tcPr>
            <w:tcW w:w="1044" w:type="dxa"/>
            <w:tcBorders>
              <w:top w:val="single" w:sz="4" w:space="0" w:color="293F5B"/>
              <w:bottom w:val="single" w:sz="4" w:space="0" w:color="293F5B"/>
            </w:tcBorders>
          </w:tcPr>
          <w:p w14:paraId="1B28BAA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48E05BF" w14:textId="77777777" w:rsidR="00BB2CB4" w:rsidRPr="00222C32" w:rsidRDefault="000674DA">
            <w:pPr>
              <w:pStyle w:val="MeasureTableDataRightAlignedwith2ptsspacing"/>
              <w:keepNext/>
            </w:pPr>
            <w:r w:rsidRPr="00222C32">
              <w:t>-</w:t>
            </w:r>
          </w:p>
        </w:tc>
      </w:tr>
      <w:tr w:rsidR="00BB2CB4" w:rsidRPr="00222C32" w14:paraId="31DF58EB" w14:textId="77777777" w:rsidTr="00825163">
        <w:trPr>
          <w:cantSplit/>
        </w:trPr>
        <w:tc>
          <w:tcPr>
            <w:tcW w:w="2501" w:type="dxa"/>
            <w:tcBorders>
              <w:top w:val="single" w:sz="4" w:space="0" w:color="293F5B"/>
              <w:bottom w:val="single" w:sz="4" w:space="0" w:color="293F5B"/>
            </w:tcBorders>
          </w:tcPr>
          <w:p w14:paraId="41E63A19"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bottom w:val="single" w:sz="4" w:space="0" w:color="293F5B"/>
            </w:tcBorders>
          </w:tcPr>
          <w:p w14:paraId="384FA69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2B638E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3B1FE8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E7DC67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A3301F8" w14:textId="77777777" w:rsidR="00BB2CB4" w:rsidRPr="00222C32" w:rsidRDefault="000674DA">
            <w:pPr>
              <w:pStyle w:val="MeasureTableDataRightAlignedwith2ptsspacing"/>
              <w:keepNext/>
            </w:pPr>
            <w:r w:rsidRPr="00222C32">
              <w:t>-</w:t>
            </w:r>
          </w:p>
        </w:tc>
      </w:tr>
      <w:tr w:rsidR="00BB2CB4" w:rsidRPr="00222C32" w14:paraId="3F227B1C" w14:textId="77777777" w:rsidTr="00825163">
        <w:trPr>
          <w:cantSplit/>
        </w:trPr>
        <w:tc>
          <w:tcPr>
            <w:tcW w:w="2501" w:type="dxa"/>
            <w:tcBorders>
              <w:top w:val="single" w:sz="4" w:space="0" w:color="293F5B"/>
              <w:bottom w:val="single" w:sz="4" w:space="0" w:color="293F5B"/>
            </w:tcBorders>
          </w:tcPr>
          <w:p w14:paraId="6062F055"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EAAD93A"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B5C5293" w14:textId="77777777" w:rsidR="00BB2CB4" w:rsidRPr="00222C32" w:rsidRDefault="000674DA">
            <w:pPr>
              <w:pStyle w:val="Totaldatarowrightaligned"/>
              <w:keepNext/>
            </w:pPr>
            <w:r w:rsidRPr="00222C32">
              <w:t>13.3</w:t>
            </w:r>
          </w:p>
        </w:tc>
        <w:tc>
          <w:tcPr>
            <w:tcW w:w="1044" w:type="dxa"/>
            <w:tcBorders>
              <w:top w:val="single" w:sz="4" w:space="0" w:color="293F5B"/>
              <w:bottom w:val="single" w:sz="4" w:space="0" w:color="293F5B"/>
            </w:tcBorders>
          </w:tcPr>
          <w:p w14:paraId="6FD89655" w14:textId="77777777" w:rsidR="00BB2CB4" w:rsidRPr="00222C32" w:rsidRDefault="000674DA">
            <w:pPr>
              <w:pStyle w:val="Totaldatarowrightaligned"/>
              <w:keepNext/>
            </w:pPr>
            <w:r w:rsidRPr="00222C32">
              <w:t>8.7</w:t>
            </w:r>
          </w:p>
        </w:tc>
        <w:tc>
          <w:tcPr>
            <w:tcW w:w="1044" w:type="dxa"/>
            <w:tcBorders>
              <w:top w:val="single" w:sz="4" w:space="0" w:color="293F5B"/>
              <w:bottom w:val="single" w:sz="4" w:space="0" w:color="293F5B"/>
            </w:tcBorders>
          </w:tcPr>
          <w:p w14:paraId="630C3F46"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7E45F22" w14:textId="77777777" w:rsidR="00BB2CB4" w:rsidRPr="00222C32" w:rsidRDefault="000674DA">
            <w:pPr>
              <w:pStyle w:val="Totaldatarowrightaligned"/>
              <w:keepNext/>
            </w:pPr>
            <w:r w:rsidRPr="00222C32">
              <w:t>-</w:t>
            </w:r>
          </w:p>
        </w:tc>
      </w:tr>
    </w:tbl>
    <w:p w14:paraId="14CC33CD" w14:textId="77777777" w:rsidR="00A1297F" w:rsidRDefault="00A1297F" w:rsidP="00A1297F">
      <w:pPr>
        <w:pStyle w:val="SingleParagraph"/>
      </w:pPr>
    </w:p>
    <w:p w14:paraId="44B16AB5" w14:textId="77777777" w:rsidR="00BB2CB4" w:rsidRDefault="000674DA">
      <w:pPr>
        <w:pStyle w:val="Normal2"/>
      </w:pPr>
      <w:r>
        <w:t>The Government will provide $22.0 million over two years from 2025–‍26 to support the delivery of mid‑year reception programs in South Australian non‑government schools in 2025 and 2026.</w:t>
      </w:r>
    </w:p>
    <w:p w14:paraId="65578D93" w14:textId="77777777" w:rsidR="00BB2CB4" w:rsidRDefault="000674DA">
      <w:pPr>
        <w:pStyle w:val="Normal2"/>
      </w:pPr>
      <w:r>
        <w:t>The Treasury manages Commonwealth payments to the states and territories.</w:t>
      </w:r>
    </w:p>
    <w:p w14:paraId="6ADF28DA" w14:textId="3B339A82"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0E2F14FB" w14:textId="77777777" w:rsidR="00BB2CB4" w:rsidRDefault="000674DA">
      <w:pPr>
        <w:pStyle w:val="MeasureTitle"/>
      </w:pPr>
      <w:r>
        <w:lastRenderedPageBreak/>
        <w:t>Funding for Sikh Grammar School – early education and care service</w:t>
      </w:r>
    </w:p>
    <w:p w14:paraId="3F44964F" w14:textId="77777777" w:rsidR="00BB2CB4" w:rsidRDefault="000674DA">
      <w:pPr>
        <w:pStyle w:val="MeasureTableHeading"/>
      </w:pPr>
      <w:r>
        <w:t>Payments ($m)</w:t>
      </w:r>
    </w:p>
    <w:tbl>
      <w:tblPr>
        <w:tblOverlap w:val="never"/>
        <w:tblW w:w="5000" w:type="pct"/>
        <w:tblBorders>
          <w:top w:val="single" w:sz="4" w:space="0" w:color="000000"/>
          <w:bottom w:val="single" w:sz="4" w:space="0" w:color="293F5B"/>
          <w:insideH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D4962A8" w14:textId="77777777" w:rsidTr="00825163">
        <w:trPr>
          <w:cantSplit/>
        </w:trPr>
        <w:tc>
          <w:tcPr>
            <w:tcW w:w="2501" w:type="dxa"/>
            <w:tcBorders>
              <w:top w:val="single" w:sz="4" w:space="0" w:color="293F5B"/>
              <w:bottom w:val="single" w:sz="4" w:space="0" w:color="293F5B"/>
            </w:tcBorders>
          </w:tcPr>
          <w:p w14:paraId="4547263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592242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2820F5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2942DC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9AD716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DE46027" w14:textId="77777777" w:rsidR="00BB2CB4" w:rsidRPr="00222C32" w:rsidRDefault="000674DA">
            <w:pPr>
              <w:pStyle w:val="MeasureTableYearHeadings"/>
              <w:keepNext/>
            </w:pPr>
            <w:r w:rsidRPr="00222C32">
              <w:t>2028-29</w:t>
            </w:r>
          </w:p>
        </w:tc>
      </w:tr>
      <w:tr w:rsidR="00BB2CB4" w:rsidRPr="00222C32" w14:paraId="2954DE2C" w14:textId="77777777" w:rsidTr="00825163">
        <w:trPr>
          <w:cantSplit/>
        </w:trPr>
        <w:tc>
          <w:tcPr>
            <w:tcW w:w="2501" w:type="dxa"/>
            <w:tcBorders>
              <w:top w:val="single" w:sz="4" w:space="0" w:color="293F5B"/>
              <w:bottom w:val="single" w:sz="4" w:space="0" w:color="293F5B"/>
            </w:tcBorders>
          </w:tcPr>
          <w:p w14:paraId="535A7A22"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510C3F8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DEEA57D" w14:textId="77777777" w:rsidR="00BB2CB4" w:rsidRPr="00222C32" w:rsidRDefault="000674DA">
            <w:pPr>
              <w:pStyle w:val="MeasureTableDataRightAlignedwith2ptsspacing"/>
              <w:keepNext/>
            </w:pPr>
            <w:r w:rsidRPr="00222C32">
              <w:t>3.9</w:t>
            </w:r>
          </w:p>
        </w:tc>
        <w:tc>
          <w:tcPr>
            <w:tcW w:w="1044" w:type="dxa"/>
            <w:tcBorders>
              <w:top w:val="single" w:sz="4" w:space="0" w:color="293F5B"/>
              <w:bottom w:val="single" w:sz="4" w:space="0" w:color="293F5B"/>
            </w:tcBorders>
          </w:tcPr>
          <w:p w14:paraId="274F9F21" w14:textId="77777777" w:rsidR="00BB2CB4" w:rsidRPr="00222C32" w:rsidRDefault="000674DA">
            <w:pPr>
              <w:pStyle w:val="MeasureTableDataRightAlignedwith2ptsspacing"/>
              <w:keepNext/>
            </w:pPr>
            <w:r w:rsidRPr="00222C32">
              <w:t>1.4</w:t>
            </w:r>
          </w:p>
        </w:tc>
        <w:tc>
          <w:tcPr>
            <w:tcW w:w="1044" w:type="dxa"/>
            <w:tcBorders>
              <w:top w:val="single" w:sz="4" w:space="0" w:color="293F5B"/>
              <w:bottom w:val="single" w:sz="4" w:space="0" w:color="293F5B"/>
            </w:tcBorders>
          </w:tcPr>
          <w:p w14:paraId="34986BF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67388D3" w14:textId="77777777" w:rsidR="00BB2CB4" w:rsidRPr="00222C32" w:rsidRDefault="000674DA">
            <w:pPr>
              <w:pStyle w:val="MeasureTableDataRightAlignedwith2ptsspacing"/>
              <w:keepNext/>
            </w:pPr>
            <w:r w:rsidRPr="00222C32">
              <w:t>-</w:t>
            </w:r>
          </w:p>
        </w:tc>
      </w:tr>
      <w:tr w:rsidR="00BB2CB4" w:rsidRPr="00222C32" w14:paraId="45478920" w14:textId="77777777" w:rsidTr="00825163">
        <w:trPr>
          <w:cantSplit/>
        </w:trPr>
        <w:tc>
          <w:tcPr>
            <w:tcW w:w="2501" w:type="dxa"/>
            <w:tcBorders>
              <w:top w:val="single" w:sz="4" w:space="0" w:color="293F5B"/>
              <w:bottom w:val="single" w:sz="4" w:space="0" w:color="293F5B"/>
            </w:tcBorders>
          </w:tcPr>
          <w:p w14:paraId="37DBF775"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bottom w:val="single" w:sz="4" w:space="0" w:color="293F5B"/>
            </w:tcBorders>
          </w:tcPr>
          <w:p w14:paraId="0CB1033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D457C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638332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50E378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D760FC3" w14:textId="77777777" w:rsidR="00BB2CB4" w:rsidRPr="00222C32" w:rsidRDefault="000674DA">
            <w:pPr>
              <w:pStyle w:val="MeasureTableDataRightAlignedwith2ptsspacing"/>
              <w:keepNext/>
            </w:pPr>
            <w:r w:rsidRPr="00222C32">
              <w:t>-</w:t>
            </w:r>
          </w:p>
        </w:tc>
      </w:tr>
      <w:tr w:rsidR="00BB2CB4" w:rsidRPr="00222C32" w14:paraId="41BEF370" w14:textId="77777777" w:rsidTr="00825163">
        <w:trPr>
          <w:cantSplit/>
        </w:trPr>
        <w:tc>
          <w:tcPr>
            <w:tcW w:w="2501" w:type="dxa"/>
            <w:tcBorders>
              <w:top w:val="single" w:sz="4" w:space="0" w:color="293F5B"/>
              <w:bottom w:val="single" w:sz="4" w:space="0" w:color="293F5B"/>
            </w:tcBorders>
          </w:tcPr>
          <w:p w14:paraId="64646FEF"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7C26FF75"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7F233153" w14:textId="77777777" w:rsidR="00BB2CB4" w:rsidRPr="00222C32" w:rsidRDefault="000674DA">
            <w:pPr>
              <w:pStyle w:val="Totaldatarowrightaligned"/>
              <w:keepNext/>
            </w:pPr>
            <w:r w:rsidRPr="00222C32">
              <w:t>3.9</w:t>
            </w:r>
          </w:p>
        </w:tc>
        <w:tc>
          <w:tcPr>
            <w:tcW w:w="1044" w:type="dxa"/>
            <w:tcBorders>
              <w:top w:val="single" w:sz="4" w:space="0" w:color="293F5B"/>
              <w:bottom w:val="single" w:sz="4" w:space="0" w:color="293F5B"/>
            </w:tcBorders>
          </w:tcPr>
          <w:p w14:paraId="042826E1" w14:textId="77777777" w:rsidR="00BB2CB4" w:rsidRPr="00222C32" w:rsidRDefault="000674DA">
            <w:pPr>
              <w:pStyle w:val="Totaldatarowrightaligned"/>
              <w:keepNext/>
            </w:pPr>
            <w:r w:rsidRPr="00222C32">
              <w:t>1.4</w:t>
            </w:r>
          </w:p>
        </w:tc>
        <w:tc>
          <w:tcPr>
            <w:tcW w:w="1044" w:type="dxa"/>
            <w:tcBorders>
              <w:top w:val="single" w:sz="4" w:space="0" w:color="293F5B"/>
              <w:bottom w:val="single" w:sz="4" w:space="0" w:color="293F5B"/>
            </w:tcBorders>
          </w:tcPr>
          <w:p w14:paraId="1368449B"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21CB0FF" w14:textId="77777777" w:rsidR="00BB2CB4" w:rsidRPr="00222C32" w:rsidRDefault="000674DA">
            <w:pPr>
              <w:pStyle w:val="Totaldatarowrightaligned"/>
              <w:keepNext/>
            </w:pPr>
            <w:r w:rsidRPr="00222C32">
              <w:t>-</w:t>
            </w:r>
          </w:p>
        </w:tc>
      </w:tr>
    </w:tbl>
    <w:p w14:paraId="0037C113" w14:textId="77777777" w:rsidR="00A1297F" w:rsidRDefault="00A1297F" w:rsidP="00A1297F">
      <w:pPr>
        <w:pStyle w:val="SingleParagraph"/>
      </w:pPr>
    </w:p>
    <w:p w14:paraId="415005B0" w14:textId="77777777" w:rsidR="00BB2CB4" w:rsidRDefault="000674DA">
      <w:pPr>
        <w:pStyle w:val="Normal2"/>
      </w:pPr>
      <w:r>
        <w:t>The Government will provide $5.3 million over two years from 2025–‍26 to support the construction of a new early childhood education and care service in Sydney, led by Sikh Grammar School Australia.</w:t>
      </w:r>
    </w:p>
    <w:p w14:paraId="35F70AB4" w14:textId="77777777" w:rsidR="00BB2CB4" w:rsidRDefault="000674DA">
      <w:pPr>
        <w:pStyle w:val="Normal2"/>
      </w:pPr>
      <w:r>
        <w:t>The Treasury manages Commonwealth payments to the states and territories.</w:t>
      </w:r>
    </w:p>
    <w:p w14:paraId="61626618" w14:textId="45BB3096"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16F3843B" w14:textId="77777777" w:rsidR="00BB2CB4" w:rsidRDefault="000674DA">
      <w:pPr>
        <w:pStyle w:val="MeasureTitle"/>
      </w:pPr>
      <w:r>
        <w:t>Guaranteeing Universal Access to Preschool</w:t>
      </w:r>
    </w:p>
    <w:p w14:paraId="1724994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4C9F9C5" w14:textId="77777777" w:rsidTr="00200872">
        <w:trPr>
          <w:cantSplit/>
        </w:trPr>
        <w:tc>
          <w:tcPr>
            <w:tcW w:w="2501" w:type="dxa"/>
            <w:tcBorders>
              <w:top w:val="single" w:sz="4" w:space="0" w:color="293F5B"/>
              <w:bottom w:val="single" w:sz="4" w:space="0" w:color="293F5B"/>
            </w:tcBorders>
          </w:tcPr>
          <w:p w14:paraId="721954C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0D6D05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C030599"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AFAABA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D98F7AB"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06243A5" w14:textId="77777777" w:rsidR="00BB2CB4" w:rsidRPr="00222C32" w:rsidRDefault="000674DA">
            <w:pPr>
              <w:pStyle w:val="MeasureTableYearHeadings"/>
              <w:keepNext/>
            </w:pPr>
            <w:r w:rsidRPr="00222C32">
              <w:t>2028-29</w:t>
            </w:r>
          </w:p>
        </w:tc>
      </w:tr>
      <w:tr w:rsidR="00BB2CB4" w:rsidRPr="00222C32" w14:paraId="194AE076" w14:textId="77777777" w:rsidTr="00825163">
        <w:trPr>
          <w:cantSplit/>
        </w:trPr>
        <w:tc>
          <w:tcPr>
            <w:tcW w:w="2501" w:type="dxa"/>
            <w:tcBorders>
              <w:top w:val="single" w:sz="4" w:space="0" w:color="293F5B"/>
              <w:bottom w:val="single" w:sz="4" w:space="0" w:color="293F5B"/>
            </w:tcBorders>
          </w:tcPr>
          <w:p w14:paraId="537FB289"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64F125E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4823F4" w14:textId="77777777" w:rsidR="00BB2CB4" w:rsidRPr="00222C32" w:rsidRDefault="000674DA">
            <w:pPr>
              <w:pStyle w:val="MeasureTableDataRightAlignedwith2ptsspacing"/>
              <w:keepNext/>
            </w:pPr>
            <w:r w:rsidRPr="00222C32">
              <w:t>6.3</w:t>
            </w:r>
          </w:p>
        </w:tc>
        <w:tc>
          <w:tcPr>
            <w:tcW w:w="1044" w:type="dxa"/>
            <w:tcBorders>
              <w:top w:val="single" w:sz="4" w:space="0" w:color="293F5B"/>
              <w:bottom w:val="single" w:sz="4" w:space="0" w:color="293F5B"/>
            </w:tcBorders>
          </w:tcPr>
          <w:p w14:paraId="749805FA" w14:textId="77777777" w:rsidR="00BB2CB4" w:rsidRPr="00222C32" w:rsidRDefault="000674DA">
            <w:pPr>
              <w:pStyle w:val="MeasureTableDataRightAlignedwith2ptsspacing"/>
              <w:keepNext/>
            </w:pPr>
            <w:r w:rsidRPr="00222C32">
              <w:t>5.6</w:t>
            </w:r>
          </w:p>
        </w:tc>
        <w:tc>
          <w:tcPr>
            <w:tcW w:w="1044" w:type="dxa"/>
            <w:tcBorders>
              <w:top w:val="single" w:sz="4" w:space="0" w:color="293F5B"/>
              <w:bottom w:val="single" w:sz="4" w:space="0" w:color="293F5B"/>
            </w:tcBorders>
          </w:tcPr>
          <w:p w14:paraId="072A4CD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CD1D7A5" w14:textId="77777777" w:rsidR="00BB2CB4" w:rsidRPr="00222C32" w:rsidRDefault="000674DA">
            <w:pPr>
              <w:pStyle w:val="MeasureTableDataRightAlignedwith2ptsspacing"/>
              <w:keepNext/>
            </w:pPr>
            <w:r w:rsidRPr="00222C32">
              <w:t>-</w:t>
            </w:r>
          </w:p>
        </w:tc>
      </w:tr>
      <w:tr w:rsidR="00BB2CB4" w:rsidRPr="00222C32" w14:paraId="4434D2F7" w14:textId="77777777" w:rsidTr="00825163">
        <w:trPr>
          <w:cantSplit/>
        </w:trPr>
        <w:tc>
          <w:tcPr>
            <w:tcW w:w="2501" w:type="dxa"/>
            <w:tcBorders>
              <w:top w:val="single" w:sz="4" w:space="0" w:color="293F5B"/>
              <w:bottom w:val="single" w:sz="4" w:space="0" w:color="293F5B"/>
            </w:tcBorders>
          </w:tcPr>
          <w:p w14:paraId="6891CABC"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bottom w:val="single" w:sz="4" w:space="0" w:color="293F5B"/>
            </w:tcBorders>
          </w:tcPr>
          <w:p w14:paraId="3C1B6D2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3376FBA" w14:textId="77777777" w:rsidR="00BB2CB4" w:rsidRPr="00222C32" w:rsidRDefault="000674DA">
            <w:pPr>
              <w:pStyle w:val="MeasureTableDataRightAlignedwith2ptsspacing"/>
              <w:keepNext/>
            </w:pPr>
            <w:r w:rsidRPr="00222C32">
              <w:t>0.7</w:t>
            </w:r>
          </w:p>
        </w:tc>
        <w:tc>
          <w:tcPr>
            <w:tcW w:w="1044" w:type="dxa"/>
            <w:tcBorders>
              <w:top w:val="single" w:sz="4" w:space="0" w:color="293F5B"/>
              <w:bottom w:val="single" w:sz="4" w:space="0" w:color="293F5B"/>
            </w:tcBorders>
          </w:tcPr>
          <w:p w14:paraId="00C5DE08" w14:textId="77777777" w:rsidR="00BB2CB4" w:rsidRPr="00222C32" w:rsidRDefault="000674DA">
            <w:pPr>
              <w:pStyle w:val="MeasureTableDataRightAlignedwith2ptsspacing"/>
              <w:keepNext/>
            </w:pPr>
            <w:r w:rsidRPr="00222C32">
              <w:t>2.5</w:t>
            </w:r>
          </w:p>
        </w:tc>
        <w:tc>
          <w:tcPr>
            <w:tcW w:w="1044" w:type="dxa"/>
            <w:tcBorders>
              <w:top w:val="single" w:sz="4" w:space="0" w:color="293F5B"/>
              <w:bottom w:val="single" w:sz="4" w:space="0" w:color="293F5B"/>
            </w:tcBorders>
          </w:tcPr>
          <w:p w14:paraId="41E399DF" w14:textId="77777777" w:rsidR="00BB2CB4" w:rsidRPr="00222C32" w:rsidRDefault="000674DA">
            <w:pPr>
              <w:pStyle w:val="MeasureTableDataRightAlignedwith2ptsspacing"/>
              <w:keepNext/>
            </w:pPr>
            <w:r w:rsidRPr="00222C32">
              <w:t>1.2</w:t>
            </w:r>
          </w:p>
        </w:tc>
        <w:tc>
          <w:tcPr>
            <w:tcW w:w="1044" w:type="dxa"/>
            <w:tcBorders>
              <w:top w:val="single" w:sz="4" w:space="0" w:color="293F5B"/>
              <w:bottom w:val="single" w:sz="4" w:space="0" w:color="293F5B"/>
            </w:tcBorders>
          </w:tcPr>
          <w:p w14:paraId="5392DCFE" w14:textId="77777777" w:rsidR="00BB2CB4" w:rsidRPr="00222C32" w:rsidRDefault="000674DA">
            <w:pPr>
              <w:pStyle w:val="MeasureTableDataRightAlignedwith2ptsspacing"/>
              <w:keepNext/>
            </w:pPr>
            <w:r w:rsidRPr="00222C32">
              <w:t>-</w:t>
            </w:r>
          </w:p>
        </w:tc>
      </w:tr>
      <w:tr w:rsidR="00BB2CB4" w:rsidRPr="00222C32" w14:paraId="23465204" w14:textId="77777777" w:rsidTr="00825163">
        <w:trPr>
          <w:cantSplit/>
        </w:trPr>
        <w:tc>
          <w:tcPr>
            <w:tcW w:w="2501" w:type="dxa"/>
            <w:tcBorders>
              <w:top w:val="single" w:sz="4" w:space="0" w:color="293F5B"/>
              <w:bottom w:val="single" w:sz="4" w:space="0" w:color="293F5B"/>
            </w:tcBorders>
          </w:tcPr>
          <w:p w14:paraId="398E2DA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1E79B33D"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DDDE9A7" w14:textId="77777777" w:rsidR="00BB2CB4" w:rsidRPr="00222C32" w:rsidRDefault="000674DA">
            <w:pPr>
              <w:pStyle w:val="Totaldatarowrightaligned"/>
              <w:keepNext/>
            </w:pPr>
            <w:r w:rsidRPr="00222C32">
              <w:t>7.0</w:t>
            </w:r>
          </w:p>
        </w:tc>
        <w:tc>
          <w:tcPr>
            <w:tcW w:w="1044" w:type="dxa"/>
            <w:tcBorders>
              <w:top w:val="single" w:sz="4" w:space="0" w:color="293F5B"/>
              <w:bottom w:val="single" w:sz="4" w:space="0" w:color="293F5B"/>
            </w:tcBorders>
          </w:tcPr>
          <w:p w14:paraId="055971E1" w14:textId="77777777" w:rsidR="00BB2CB4" w:rsidRPr="00222C32" w:rsidRDefault="000674DA">
            <w:pPr>
              <w:pStyle w:val="Totaldatarowrightaligned"/>
              <w:keepNext/>
            </w:pPr>
            <w:r w:rsidRPr="00222C32">
              <w:t>8.1</w:t>
            </w:r>
          </w:p>
        </w:tc>
        <w:tc>
          <w:tcPr>
            <w:tcW w:w="1044" w:type="dxa"/>
            <w:tcBorders>
              <w:top w:val="single" w:sz="4" w:space="0" w:color="293F5B"/>
              <w:bottom w:val="single" w:sz="4" w:space="0" w:color="293F5B"/>
            </w:tcBorders>
          </w:tcPr>
          <w:p w14:paraId="53727FC8" w14:textId="77777777" w:rsidR="00BB2CB4" w:rsidRPr="00222C32" w:rsidRDefault="000674DA">
            <w:pPr>
              <w:pStyle w:val="Totaldatarowrightaligned"/>
              <w:keepNext/>
            </w:pPr>
            <w:r w:rsidRPr="00222C32">
              <w:t>1.2</w:t>
            </w:r>
          </w:p>
        </w:tc>
        <w:tc>
          <w:tcPr>
            <w:tcW w:w="1044" w:type="dxa"/>
            <w:tcBorders>
              <w:top w:val="single" w:sz="4" w:space="0" w:color="293F5B"/>
              <w:bottom w:val="single" w:sz="4" w:space="0" w:color="293F5B"/>
            </w:tcBorders>
          </w:tcPr>
          <w:p w14:paraId="6A9CFA97" w14:textId="77777777" w:rsidR="00BB2CB4" w:rsidRPr="00222C32" w:rsidRDefault="000674DA">
            <w:pPr>
              <w:pStyle w:val="Totaldatarowrightaligned"/>
              <w:keepNext/>
            </w:pPr>
            <w:r w:rsidRPr="00222C32">
              <w:t>-</w:t>
            </w:r>
          </w:p>
        </w:tc>
      </w:tr>
    </w:tbl>
    <w:p w14:paraId="47D3A1D4" w14:textId="77777777" w:rsidR="00A1297F" w:rsidRDefault="00A1297F" w:rsidP="00A1297F">
      <w:pPr>
        <w:pStyle w:val="SingleParagraph"/>
      </w:pPr>
    </w:p>
    <w:p w14:paraId="36FB8CDF" w14:textId="77777777" w:rsidR="00BB2CB4" w:rsidRDefault="000674DA">
      <w:pPr>
        <w:pStyle w:val="Normal2"/>
      </w:pPr>
      <w:r w:rsidRPr="42F5CE43">
        <w:rPr>
          <w:lang w:val="en-US"/>
        </w:rPr>
        <w:t>The Government will extend the Preschool Reform Agreement by two calendar years to the end of 2027. The Preschool Reform Agreement will provide $1.1 billion over three years from 2025–‍26 to states and territories to continue to support children to have universal access to at least 15 hours of preschool each week (600 hours per year) for children in the year before they start school. Funding for the Preschool Reform Agreement in 2026 and 2027 has previously been allocated by the Government.</w:t>
      </w:r>
    </w:p>
    <w:p w14:paraId="6B580979" w14:textId="5BCD4E81" w:rsidR="00BB2CB4" w:rsidRDefault="000674DA">
      <w:pPr>
        <w:pStyle w:val="Normal2"/>
      </w:pPr>
      <w:r>
        <w:t>The Government will also provide $16.3 million over three years from 2025–‍26 to design and deliver stage one of the Preschool Outcomes Measure through a two‑year pilot. The pilot will enable teachers and educators to complete at least four assessments per school year, supporting the measurement of children</w:t>
      </w:r>
      <w:r w:rsidR="00222C32">
        <w:t>’</w:t>
      </w:r>
      <w:r>
        <w:t>s learning and development and informing evidence‑based decisions on pre‑school learning pathways.</w:t>
      </w:r>
    </w:p>
    <w:p w14:paraId="2B704538" w14:textId="77777777" w:rsidR="00BB2CB4" w:rsidRDefault="000674DA">
      <w:pPr>
        <w:pStyle w:val="MeasureTitle"/>
      </w:pPr>
      <w:r>
        <w:t>Improving Outcomes in Australian Schools</w:t>
      </w:r>
    </w:p>
    <w:p w14:paraId="0D1C3C4E"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30A5E87" w14:textId="77777777" w:rsidTr="00825163">
        <w:trPr>
          <w:cantSplit/>
        </w:trPr>
        <w:tc>
          <w:tcPr>
            <w:tcW w:w="2501" w:type="dxa"/>
          </w:tcPr>
          <w:p w14:paraId="0F423057" w14:textId="77777777" w:rsidR="00BB2CB4" w:rsidRPr="00222C32" w:rsidRDefault="00BB2CB4">
            <w:pPr>
              <w:pStyle w:val="MeasureTableYearHeadings"/>
              <w:keepNext/>
            </w:pPr>
          </w:p>
        </w:tc>
        <w:tc>
          <w:tcPr>
            <w:tcW w:w="1044" w:type="dxa"/>
          </w:tcPr>
          <w:p w14:paraId="79452F53" w14:textId="77777777" w:rsidR="00BB2CB4" w:rsidRPr="00222C32" w:rsidRDefault="000674DA">
            <w:pPr>
              <w:pStyle w:val="MeasureTableYearHeadings"/>
              <w:keepNext/>
            </w:pPr>
            <w:r w:rsidRPr="00222C32">
              <w:t>2024-25</w:t>
            </w:r>
          </w:p>
        </w:tc>
        <w:tc>
          <w:tcPr>
            <w:tcW w:w="1044" w:type="dxa"/>
          </w:tcPr>
          <w:p w14:paraId="6E358C6B" w14:textId="77777777" w:rsidR="00BB2CB4" w:rsidRPr="00222C32" w:rsidRDefault="000674DA">
            <w:pPr>
              <w:pStyle w:val="MeasureTableYearHeadings"/>
              <w:keepNext/>
            </w:pPr>
            <w:r w:rsidRPr="00222C32">
              <w:t>2025-26</w:t>
            </w:r>
          </w:p>
        </w:tc>
        <w:tc>
          <w:tcPr>
            <w:tcW w:w="1044" w:type="dxa"/>
          </w:tcPr>
          <w:p w14:paraId="1758DC16" w14:textId="77777777" w:rsidR="00BB2CB4" w:rsidRPr="00222C32" w:rsidRDefault="000674DA">
            <w:pPr>
              <w:pStyle w:val="MeasureTableYearHeadings"/>
              <w:keepNext/>
            </w:pPr>
            <w:r w:rsidRPr="00222C32">
              <w:t>2026-27</w:t>
            </w:r>
          </w:p>
        </w:tc>
        <w:tc>
          <w:tcPr>
            <w:tcW w:w="1044" w:type="dxa"/>
          </w:tcPr>
          <w:p w14:paraId="46FFEB2B" w14:textId="77777777" w:rsidR="00BB2CB4" w:rsidRPr="00222C32" w:rsidRDefault="000674DA">
            <w:pPr>
              <w:pStyle w:val="MeasureTableYearHeadings"/>
              <w:keepNext/>
            </w:pPr>
            <w:r w:rsidRPr="00222C32">
              <w:t>2027-28</w:t>
            </w:r>
          </w:p>
        </w:tc>
        <w:tc>
          <w:tcPr>
            <w:tcW w:w="1044" w:type="dxa"/>
          </w:tcPr>
          <w:p w14:paraId="62EDACC8" w14:textId="77777777" w:rsidR="00BB2CB4" w:rsidRPr="00222C32" w:rsidRDefault="000674DA">
            <w:pPr>
              <w:pStyle w:val="MeasureTableYearHeadings"/>
              <w:keepNext/>
            </w:pPr>
            <w:r w:rsidRPr="00222C32">
              <w:t>2028-29</w:t>
            </w:r>
          </w:p>
        </w:tc>
      </w:tr>
      <w:tr w:rsidR="00BB2CB4" w:rsidRPr="00222C32" w14:paraId="1BE2C643" w14:textId="77777777" w:rsidTr="00825163">
        <w:trPr>
          <w:cantSplit/>
        </w:trPr>
        <w:tc>
          <w:tcPr>
            <w:tcW w:w="2501" w:type="dxa"/>
          </w:tcPr>
          <w:p w14:paraId="4FD95422" w14:textId="77777777" w:rsidR="00BB2CB4" w:rsidRPr="00222C32" w:rsidRDefault="000674DA">
            <w:pPr>
              <w:pStyle w:val="MeasureTableHeadingleftalignedwith2ptsspacing"/>
              <w:keepNext/>
            </w:pPr>
            <w:r w:rsidRPr="00222C32">
              <w:t>Department of Education</w:t>
            </w:r>
          </w:p>
        </w:tc>
        <w:tc>
          <w:tcPr>
            <w:tcW w:w="1044" w:type="dxa"/>
          </w:tcPr>
          <w:p w14:paraId="5F7D7630" w14:textId="77777777" w:rsidR="00BB2CB4" w:rsidRPr="00222C32" w:rsidRDefault="000674DA">
            <w:pPr>
              <w:pStyle w:val="MeasureTableDataRightAlignedwith2ptsspacing"/>
              <w:keepNext/>
            </w:pPr>
            <w:r w:rsidRPr="00222C32">
              <w:t>-</w:t>
            </w:r>
          </w:p>
        </w:tc>
        <w:tc>
          <w:tcPr>
            <w:tcW w:w="1044" w:type="dxa"/>
          </w:tcPr>
          <w:p w14:paraId="6B2C0778" w14:textId="77777777" w:rsidR="00BB2CB4" w:rsidRPr="00222C32" w:rsidRDefault="000674DA">
            <w:pPr>
              <w:pStyle w:val="MeasureTableDataRightAlignedwith2ptsspacing"/>
              <w:keepNext/>
            </w:pPr>
            <w:r w:rsidRPr="00222C32">
              <w:t>4.5</w:t>
            </w:r>
          </w:p>
        </w:tc>
        <w:tc>
          <w:tcPr>
            <w:tcW w:w="1044" w:type="dxa"/>
          </w:tcPr>
          <w:p w14:paraId="13278659" w14:textId="77777777" w:rsidR="00BB2CB4" w:rsidRPr="00222C32" w:rsidRDefault="000674DA">
            <w:pPr>
              <w:pStyle w:val="MeasureTableDataRightAlignedwith2ptsspacing"/>
              <w:keepNext/>
            </w:pPr>
            <w:r w:rsidRPr="00222C32">
              <w:t>4.3</w:t>
            </w:r>
          </w:p>
        </w:tc>
        <w:tc>
          <w:tcPr>
            <w:tcW w:w="1044" w:type="dxa"/>
          </w:tcPr>
          <w:p w14:paraId="6E59D2A1" w14:textId="77777777" w:rsidR="00BB2CB4" w:rsidRPr="00222C32" w:rsidRDefault="000674DA">
            <w:pPr>
              <w:pStyle w:val="MeasureTableDataRightAlignedwith2ptsspacing"/>
              <w:keepNext/>
            </w:pPr>
            <w:r w:rsidRPr="00222C32">
              <w:t>1.4</w:t>
            </w:r>
          </w:p>
        </w:tc>
        <w:tc>
          <w:tcPr>
            <w:tcW w:w="1044" w:type="dxa"/>
          </w:tcPr>
          <w:p w14:paraId="06F26394" w14:textId="77777777" w:rsidR="00BB2CB4" w:rsidRPr="00222C32" w:rsidRDefault="000674DA">
            <w:pPr>
              <w:pStyle w:val="MeasureTableDataRightAlignedwith2ptsspacing"/>
              <w:keepNext/>
            </w:pPr>
            <w:r w:rsidRPr="00222C32">
              <w:t>1.4</w:t>
            </w:r>
          </w:p>
        </w:tc>
      </w:tr>
    </w:tbl>
    <w:p w14:paraId="05941BC8" w14:textId="77777777" w:rsidR="00D00795" w:rsidRDefault="00D00795" w:rsidP="00D00795">
      <w:pPr>
        <w:pStyle w:val="SingleParagraph"/>
      </w:pPr>
    </w:p>
    <w:p w14:paraId="5ED4D5CB" w14:textId="77777777" w:rsidR="00BB2CB4" w:rsidRDefault="000674DA">
      <w:pPr>
        <w:pStyle w:val="Normal2"/>
      </w:pPr>
      <w:r>
        <w:t>The Government will provide $11.5 million over four years from 2025–‍26 (and $1.4 million per year ongoing) to support measures which will contribute to improving educational outcomes in Australian schools. Funding includes:</w:t>
      </w:r>
    </w:p>
    <w:p w14:paraId="261AB426" w14:textId="77777777" w:rsidR="00BB2CB4" w:rsidRDefault="000674DA">
      <w:pPr>
        <w:pStyle w:val="Bullet"/>
      </w:pPr>
      <w:r>
        <w:lastRenderedPageBreak/>
        <w:t>$5.8 million over two years from 2025–‍26 to extend the Parliament and Civics Education Rebate Pilot program for the 2026 and 2027 calendar years, supporting student visits to national democratic, historical and cultural institutions in Canberra, with additional rebates for regional, remote, and very remote schools, and those in socio‑economically disadvantaged areas</w:t>
      </w:r>
    </w:p>
    <w:p w14:paraId="697DE2C1" w14:textId="77777777" w:rsidR="00BB2CB4" w:rsidRDefault="000674DA">
      <w:pPr>
        <w:pStyle w:val="Bullet"/>
      </w:pPr>
      <w:r>
        <w:t>$3.9 million over three years from 2026–‍27 (and $1.3 million per year ongoing) to extend the GENERATION Survey of Post‑School Destinations longitudinal study of students transitioning to life after school</w:t>
      </w:r>
    </w:p>
    <w:p w14:paraId="1D70F4DC" w14:textId="6679A55D" w:rsidR="00BB2CB4" w:rsidRDefault="000674DA">
      <w:pPr>
        <w:pStyle w:val="Bullet"/>
      </w:pPr>
      <w:r>
        <w:t>$1.6 million in 2025–‍26 to support delivery of Early Learning Science, Technology, Engineering and Mathematics (STEM) Australia</w:t>
      </w:r>
      <w:r w:rsidR="00222C32">
        <w:t>’</w:t>
      </w:r>
      <w:r>
        <w:t>s Foundation to Year 2 program in 2026 to ensure the program can continue to build children</w:t>
      </w:r>
      <w:r w:rsidR="00222C32">
        <w:t>’</w:t>
      </w:r>
      <w:r>
        <w:t>s engagement and skills in the early years of school learning</w:t>
      </w:r>
    </w:p>
    <w:p w14:paraId="116E613C" w14:textId="77777777" w:rsidR="00BB2CB4" w:rsidRDefault="000674DA">
      <w:pPr>
        <w:pStyle w:val="Bullet"/>
      </w:pPr>
      <w:r>
        <w:t>$0.2 million over three years from 2026–‍27 (and $0.1 million per year ongoing) to extend delivery of the Dorothea Mackellar Poetry Awards, supporting creative writing education and promoting literacy among young people.</w:t>
      </w:r>
    </w:p>
    <w:p w14:paraId="5294EEF2" w14:textId="77777777" w:rsidR="00BB2CB4" w:rsidRDefault="000674DA">
      <w:pPr>
        <w:pStyle w:val="Normal2"/>
      </w:pPr>
      <w:r w:rsidRPr="69C11E82">
        <w:rPr>
          <w:lang w:val="en-US"/>
        </w:rPr>
        <w:t xml:space="preserve">The cost of this measure will be met from savings identified from the 2025–‍26 MYEFO measure titled </w:t>
      </w:r>
      <w:r w:rsidRPr="69C11E82">
        <w:rPr>
          <w:i/>
          <w:lang w:val="en-US"/>
        </w:rPr>
        <w:t>Education – reprioritisation</w:t>
      </w:r>
      <w:r w:rsidRPr="69C11E82">
        <w:rPr>
          <w:lang w:val="en-US"/>
        </w:rPr>
        <w:t>.</w:t>
      </w:r>
    </w:p>
    <w:p w14:paraId="369FA3F0" w14:textId="77777777" w:rsidR="00BB2CB4" w:rsidRDefault="000674DA">
      <w:pPr>
        <w:pStyle w:val="MeasureTitle"/>
      </w:pPr>
      <w:r>
        <w:t>Inclusion Support Program – supplementary funding</w:t>
      </w:r>
    </w:p>
    <w:p w14:paraId="256108DA" w14:textId="77777777" w:rsidR="00BB2CB4" w:rsidRDefault="000674DA">
      <w:pPr>
        <w:pStyle w:val="MeasureTableHeading"/>
      </w:pPr>
      <w:r>
        <w:t>Payments ($m)</w:t>
      </w:r>
    </w:p>
    <w:tbl>
      <w:tblPr>
        <w:tblOverlap w:val="never"/>
        <w:tblW w:w="5000" w:type="pct"/>
        <w:tblBorders>
          <w:top w:val="single" w:sz="4" w:space="0" w:color="000000"/>
          <w:bottom w:val="single" w:sz="4" w:space="0" w:color="293F5B"/>
          <w:insideH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51940EB" w14:textId="77777777" w:rsidTr="00825163">
        <w:trPr>
          <w:cantSplit/>
        </w:trPr>
        <w:tc>
          <w:tcPr>
            <w:tcW w:w="2501" w:type="dxa"/>
            <w:tcBorders>
              <w:top w:val="single" w:sz="4" w:space="0" w:color="293F5B"/>
              <w:bottom w:val="single" w:sz="4" w:space="0" w:color="293F5B"/>
            </w:tcBorders>
          </w:tcPr>
          <w:p w14:paraId="169D64CC"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F30922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5644DF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40FEE7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23C679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25F825F" w14:textId="77777777" w:rsidR="00BB2CB4" w:rsidRPr="00222C32" w:rsidRDefault="000674DA">
            <w:pPr>
              <w:pStyle w:val="MeasureTableYearHeadings"/>
              <w:keepNext/>
            </w:pPr>
            <w:r w:rsidRPr="00222C32">
              <w:t>2028-29</w:t>
            </w:r>
          </w:p>
        </w:tc>
      </w:tr>
      <w:tr w:rsidR="00BB2CB4" w:rsidRPr="00222C32" w14:paraId="153264A2" w14:textId="77777777" w:rsidTr="00825163">
        <w:trPr>
          <w:cantSplit/>
        </w:trPr>
        <w:tc>
          <w:tcPr>
            <w:tcW w:w="2501" w:type="dxa"/>
            <w:tcBorders>
              <w:top w:val="single" w:sz="4" w:space="0" w:color="293F5B"/>
            </w:tcBorders>
          </w:tcPr>
          <w:p w14:paraId="04DC3903"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tcBorders>
          </w:tcPr>
          <w:p w14:paraId="0F83E011"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51379396"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5C25D029" w14:textId="77777777" w:rsidR="00BB2CB4" w:rsidRPr="00222C32" w:rsidRDefault="000674DA">
            <w:pPr>
              <w:pStyle w:val="MeasureTableDataRightAlignedwith2ptsspacing"/>
              <w:keepNext/>
            </w:pPr>
            <w:r w:rsidRPr="00222C32">
              <w:t>59.2</w:t>
            </w:r>
          </w:p>
        </w:tc>
        <w:tc>
          <w:tcPr>
            <w:tcW w:w="1044" w:type="dxa"/>
            <w:tcBorders>
              <w:top w:val="single" w:sz="4" w:space="0" w:color="293F5B"/>
            </w:tcBorders>
          </w:tcPr>
          <w:p w14:paraId="31AF9999"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38A46138" w14:textId="77777777" w:rsidR="00BB2CB4" w:rsidRPr="00222C32" w:rsidRDefault="000674DA">
            <w:pPr>
              <w:pStyle w:val="MeasureTableDataRightAlignedwith2ptsspacing"/>
              <w:keepNext/>
            </w:pPr>
            <w:r w:rsidRPr="00222C32">
              <w:t>-</w:t>
            </w:r>
          </w:p>
        </w:tc>
      </w:tr>
    </w:tbl>
    <w:p w14:paraId="6EB65E75" w14:textId="77777777" w:rsidR="00D00795" w:rsidRDefault="00D00795" w:rsidP="00D00795">
      <w:pPr>
        <w:pStyle w:val="SingleParagraph"/>
      </w:pPr>
    </w:p>
    <w:p w14:paraId="69AF76AF" w14:textId="77777777" w:rsidR="00BB2CB4" w:rsidRDefault="000674DA">
      <w:pPr>
        <w:pStyle w:val="Normal2"/>
      </w:pPr>
      <w:r w:rsidRPr="69C11E82">
        <w:rPr>
          <w:lang w:val="en-US"/>
        </w:rPr>
        <w:t>The Government will provide $59.2 million in 2026–‍27 to help early childhood education and care services increase their capacity to support the inclusion of children with additional needs, through tailored support and funding to services.</w:t>
      </w:r>
    </w:p>
    <w:p w14:paraId="0B690E7D" w14:textId="77777777" w:rsidR="00BB2CB4" w:rsidRDefault="000674DA">
      <w:pPr>
        <w:pStyle w:val="Normal2"/>
      </w:pPr>
      <w:r w:rsidRPr="69C11E82">
        <w:rPr>
          <w:lang w:val="en-US"/>
        </w:rPr>
        <w:t>The cost of this measure will be met from savings identified in the 2025–‍26 MYEFO measure titled </w:t>
      </w:r>
      <w:r w:rsidRPr="69C11E82">
        <w:rPr>
          <w:i/>
          <w:lang w:val="en-US"/>
        </w:rPr>
        <w:t>Education – reprioritisation</w:t>
      </w:r>
      <w:r w:rsidRPr="69C11E82">
        <w:rPr>
          <w:lang w:val="en-US"/>
        </w:rPr>
        <w:t>.</w:t>
      </w:r>
    </w:p>
    <w:p w14:paraId="585D8F00" w14:textId="77777777" w:rsidR="00BB2CB4" w:rsidRDefault="000674DA">
      <w:pPr>
        <w:pStyle w:val="Normal2"/>
      </w:pPr>
      <w:r>
        <w:t xml:space="preserve">This measure builds on the 2024–‍25 MYEFO measure titled </w:t>
      </w:r>
      <w:r w:rsidRPr="000674DA">
        <w:rPr>
          <w:i/>
        </w:rPr>
        <w:t>Supplementary Funding for the Inclusion Support Program</w:t>
      </w:r>
      <w:r>
        <w:t>.</w:t>
      </w:r>
    </w:p>
    <w:p w14:paraId="1843D8AE" w14:textId="0EB771AC" w:rsidR="00BB2CB4" w:rsidRDefault="000E4C35">
      <w:pPr>
        <w:pStyle w:val="MeasureTitle"/>
      </w:pPr>
      <w:r>
        <w:lastRenderedPageBreak/>
        <w:t>S</w:t>
      </w:r>
      <w:r w:rsidR="000674DA">
        <w:t>trengthening Safety and Quality in the Early Childhood Education and Care</w:t>
      </w:r>
      <w:r w:rsidR="00B44C93">
        <w:t> </w:t>
      </w:r>
      <w:r w:rsidR="000674DA">
        <w:t>Sector</w:t>
      </w:r>
    </w:p>
    <w:p w14:paraId="7DDC5157"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6545807E" w14:textId="77777777" w:rsidTr="00825163">
        <w:trPr>
          <w:cantSplit/>
        </w:trPr>
        <w:tc>
          <w:tcPr>
            <w:tcW w:w="2500" w:type="dxa"/>
            <w:tcBorders>
              <w:top w:val="single" w:sz="4" w:space="0" w:color="293F5B"/>
              <w:bottom w:val="single" w:sz="4" w:space="0" w:color="293F5B"/>
            </w:tcBorders>
          </w:tcPr>
          <w:p w14:paraId="08297769" w14:textId="77777777" w:rsidR="00BB2CB4" w:rsidRPr="00222C32" w:rsidRDefault="00BB2CB4">
            <w:pPr>
              <w:pStyle w:val="MeasureTableYearHeadings"/>
              <w:keepNext/>
            </w:pPr>
          </w:p>
        </w:tc>
        <w:tc>
          <w:tcPr>
            <w:tcW w:w="1043" w:type="dxa"/>
            <w:tcBorders>
              <w:top w:val="single" w:sz="4" w:space="0" w:color="293F5B"/>
              <w:bottom w:val="single" w:sz="4" w:space="0" w:color="293F5B"/>
            </w:tcBorders>
          </w:tcPr>
          <w:p w14:paraId="39D6B3E9" w14:textId="77777777" w:rsidR="00BB2CB4" w:rsidRPr="00222C32" w:rsidRDefault="000674DA">
            <w:pPr>
              <w:pStyle w:val="MeasureTableYearHeadings"/>
              <w:keepNext/>
            </w:pPr>
            <w:r w:rsidRPr="00222C32">
              <w:t>2024-25</w:t>
            </w:r>
          </w:p>
        </w:tc>
        <w:tc>
          <w:tcPr>
            <w:tcW w:w="1043" w:type="dxa"/>
            <w:tcBorders>
              <w:top w:val="single" w:sz="4" w:space="0" w:color="293F5B"/>
              <w:bottom w:val="single" w:sz="4" w:space="0" w:color="293F5B"/>
            </w:tcBorders>
          </w:tcPr>
          <w:p w14:paraId="7CC0D765" w14:textId="77777777" w:rsidR="00BB2CB4" w:rsidRPr="00222C32" w:rsidRDefault="000674DA">
            <w:pPr>
              <w:pStyle w:val="MeasureTableYearHeadings"/>
              <w:keepNext/>
            </w:pPr>
            <w:r w:rsidRPr="00222C32">
              <w:t>2025-26</w:t>
            </w:r>
          </w:p>
        </w:tc>
        <w:tc>
          <w:tcPr>
            <w:tcW w:w="1043" w:type="dxa"/>
            <w:tcBorders>
              <w:top w:val="single" w:sz="4" w:space="0" w:color="293F5B"/>
              <w:bottom w:val="single" w:sz="4" w:space="0" w:color="293F5B"/>
            </w:tcBorders>
          </w:tcPr>
          <w:p w14:paraId="0D143129" w14:textId="77777777" w:rsidR="00BB2CB4" w:rsidRPr="00222C32" w:rsidRDefault="000674DA">
            <w:pPr>
              <w:pStyle w:val="MeasureTableYearHeadings"/>
              <w:keepNext/>
            </w:pPr>
            <w:r w:rsidRPr="00222C32">
              <w:t>2026-27</w:t>
            </w:r>
          </w:p>
        </w:tc>
        <w:tc>
          <w:tcPr>
            <w:tcW w:w="1043" w:type="dxa"/>
            <w:tcBorders>
              <w:top w:val="single" w:sz="4" w:space="0" w:color="293F5B"/>
              <w:bottom w:val="single" w:sz="4" w:space="0" w:color="293F5B"/>
            </w:tcBorders>
          </w:tcPr>
          <w:p w14:paraId="5AAEA1EC" w14:textId="77777777" w:rsidR="00BB2CB4" w:rsidRPr="00222C32" w:rsidRDefault="000674DA">
            <w:pPr>
              <w:pStyle w:val="MeasureTableYearHeadings"/>
              <w:keepNext/>
            </w:pPr>
            <w:r w:rsidRPr="00222C32">
              <w:t>2027-28</w:t>
            </w:r>
          </w:p>
        </w:tc>
        <w:tc>
          <w:tcPr>
            <w:tcW w:w="1043" w:type="dxa"/>
            <w:tcBorders>
              <w:top w:val="single" w:sz="4" w:space="0" w:color="293F5B"/>
              <w:bottom w:val="single" w:sz="4" w:space="0" w:color="293F5B"/>
            </w:tcBorders>
          </w:tcPr>
          <w:p w14:paraId="7886C521" w14:textId="77777777" w:rsidR="00BB2CB4" w:rsidRPr="00222C32" w:rsidRDefault="000674DA">
            <w:pPr>
              <w:pStyle w:val="MeasureTableYearHeadings"/>
              <w:keepNext/>
            </w:pPr>
            <w:r w:rsidRPr="00222C32">
              <w:t>2028-29</w:t>
            </w:r>
          </w:p>
        </w:tc>
      </w:tr>
      <w:tr w:rsidR="00BB2CB4" w:rsidRPr="00222C32" w14:paraId="7DCCCE8C" w14:textId="77777777" w:rsidTr="00825163">
        <w:trPr>
          <w:cantSplit/>
        </w:trPr>
        <w:tc>
          <w:tcPr>
            <w:tcW w:w="2500" w:type="dxa"/>
            <w:tcBorders>
              <w:top w:val="single" w:sz="4" w:space="0" w:color="293F5B"/>
              <w:bottom w:val="single" w:sz="4" w:space="0" w:color="293F5B"/>
            </w:tcBorders>
          </w:tcPr>
          <w:p w14:paraId="365F4534" w14:textId="77777777" w:rsidR="00BB2CB4" w:rsidRPr="00222C32" w:rsidRDefault="000674DA">
            <w:pPr>
              <w:pStyle w:val="MeasureTableHeadingleftalignedwith2ptsspacing"/>
              <w:keepNext/>
            </w:pPr>
            <w:r w:rsidRPr="00222C32">
              <w:t>Department of Education</w:t>
            </w:r>
          </w:p>
        </w:tc>
        <w:tc>
          <w:tcPr>
            <w:tcW w:w="1043" w:type="dxa"/>
            <w:tcBorders>
              <w:top w:val="single" w:sz="4" w:space="0" w:color="293F5B"/>
              <w:bottom w:val="single" w:sz="4" w:space="0" w:color="293F5B"/>
            </w:tcBorders>
          </w:tcPr>
          <w:p w14:paraId="7FEEB726"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03F53627" w14:textId="77777777" w:rsidR="00BB2CB4" w:rsidRPr="00222C32" w:rsidRDefault="000674DA">
            <w:pPr>
              <w:pStyle w:val="MeasureTableDataRightAlignedwith2ptsspacing"/>
              <w:keepNext/>
            </w:pPr>
            <w:r w:rsidRPr="00222C32">
              <w:t>57.2</w:t>
            </w:r>
          </w:p>
        </w:tc>
        <w:tc>
          <w:tcPr>
            <w:tcW w:w="1043" w:type="dxa"/>
            <w:tcBorders>
              <w:top w:val="single" w:sz="4" w:space="0" w:color="293F5B"/>
              <w:bottom w:val="single" w:sz="4" w:space="0" w:color="293F5B"/>
            </w:tcBorders>
          </w:tcPr>
          <w:p w14:paraId="712B27B1" w14:textId="77777777" w:rsidR="00BB2CB4" w:rsidRPr="00222C32" w:rsidRDefault="000674DA">
            <w:pPr>
              <w:pStyle w:val="MeasureTableDataRightAlignedwith2ptsspacing"/>
              <w:keepNext/>
            </w:pPr>
            <w:r w:rsidRPr="00222C32">
              <w:t>47.1</w:t>
            </w:r>
          </w:p>
        </w:tc>
        <w:tc>
          <w:tcPr>
            <w:tcW w:w="1043" w:type="dxa"/>
            <w:tcBorders>
              <w:top w:val="single" w:sz="4" w:space="0" w:color="293F5B"/>
              <w:bottom w:val="single" w:sz="4" w:space="0" w:color="293F5B"/>
            </w:tcBorders>
          </w:tcPr>
          <w:p w14:paraId="1F9EB3FA" w14:textId="77777777" w:rsidR="00BB2CB4" w:rsidRPr="00222C32" w:rsidRDefault="000674DA">
            <w:pPr>
              <w:pStyle w:val="MeasureTableDataRightAlignedwith2ptsspacing"/>
              <w:keepNext/>
            </w:pPr>
            <w:r w:rsidRPr="00222C32">
              <w:t>42.6</w:t>
            </w:r>
          </w:p>
        </w:tc>
        <w:tc>
          <w:tcPr>
            <w:tcW w:w="1043" w:type="dxa"/>
            <w:tcBorders>
              <w:top w:val="single" w:sz="4" w:space="0" w:color="293F5B"/>
              <w:bottom w:val="single" w:sz="4" w:space="0" w:color="293F5B"/>
            </w:tcBorders>
          </w:tcPr>
          <w:p w14:paraId="266B4F45" w14:textId="77777777" w:rsidR="00BB2CB4" w:rsidRPr="00222C32" w:rsidRDefault="000674DA">
            <w:pPr>
              <w:pStyle w:val="MeasureTableDataRightAlignedwith2ptsspacing"/>
              <w:keepNext/>
            </w:pPr>
            <w:r w:rsidRPr="00222C32">
              <w:t>38.5</w:t>
            </w:r>
          </w:p>
        </w:tc>
      </w:tr>
      <w:tr w:rsidR="00BB2CB4" w:rsidRPr="00222C32" w14:paraId="3A064E41" w14:textId="77777777" w:rsidTr="00825163">
        <w:trPr>
          <w:cantSplit/>
        </w:trPr>
        <w:tc>
          <w:tcPr>
            <w:tcW w:w="2500" w:type="dxa"/>
            <w:tcBorders>
              <w:top w:val="single" w:sz="4" w:space="0" w:color="293F5B"/>
              <w:bottom w:val="single" w:sz="4" w:space="0" w:color="293F5B"/>
            </w:tcBorders>
          </w:tcPr>
          <w:p w14:paraId="351CD1D0" w14:textId="77777777" w:rsidR="00BB2CB4" w:rsidRPr="00222C32" w:rsidRDefault="000674DA">
            <w:pPr>
              <w:pStyle w:val="MeasureTableHeadingleftalignedwith2ptsspacing"/>
              <w:keepNext/>
            </w:pPr>
            <w:r w:rsidRPr="00222C32">
              <w:t>Services Australia</w:t>
            </w:r>
          </w:p>
        </w:tc>
        <w:tc>
          <w:tcPr>
            <w:tcW w:w="1043" w:type="dxa"/>
            <w:tcBorders>
              <w:top w:val="single" w:sz="4" w:space="0" w:color="293F5B"/>
              <w:bottom w:val="single" w:sz="4" w:space="0" w:color="293F5B"/>
            </w:tcBorders>
          </w:tcPr>
          <w:p w14:paraId="2DA9E344" w14:textId="77777777" w:rsidR="00BB2CB4" w:rsidRPr="00222C32" w:rsidRDefault="000674DA">
            <w:pPr>
              <w:pStyle w:val="MeasureTableDataRightAlignedwith2ptsspacing"/>
              <w:keepNext/>
            </w:pPr>
            <w:r w:rsidRPr="00222C32">
              <w:t>-</w:t>
            </w:r>
          </w:p>
        </w:tc>
        <w:tc>
          <w:tcPr>
            <w:tcW w:w="1043" w:type="dxa"/>
            <w:tcBorders>
              <w:top w:val="single" w:sz="4" w:space="0" w:color="293F5B"/>
              <w:bottom w:val="single" w:sz="4" w:space="0" w:color="293F5B"/>
            </w:tcBorders>
          </w:tcPr>
          <w:p w14:paraId="69808536" w14:textId="77777777" w:rsidR="00BB2CB4" w:rsidRPr="00222C32" w:rsidRDefault="000674DA">
            <w:pPr>
              <w:pStyle w:val="MeasureTableDataRightAlignedwith2ptsspacing"/>
              <w:keepNext/>
            </w:pPr>
            <w:r w:rsidRPr="00222C32">
              <w:t>2.6</w:t>
            </w:r>
          </w:p>
        </w:tc>
        <w:tc>
          <w:tcPr>
            <w:tcW w:w="1043" w:type="dxa"/>
            <w:tcBorders>
              <w:top w:val="single" w:sz="4" w:space="0" w:color="293F5B"/>
              <w:bottom w:val="single" w:sz="4" w:space="0" w:color="293F5B"/>
            </w:tcBorders>
          </w:tcPr>
          <w:p w14:paraId="02835CD6" w14:textId="77777777" w:rsidR="00BB2CB4" w:rsidRPr="00222C32" w:rsidRDefault="000674DA">
            <w:pPr>
              <w:pStyle w:val="MeasureTableDataRightAlignedwith2ptsspacing"/>
              <w:keepNext/>
            </w:pPr>
            <w:r w:rsidRPr="00222C32">
              <w:t>0.2</w:t>
            </w:r>
          </w:p>
        </w:tc>
        <w:tc>
          <w:tcPr>
            <w:tcW w:w="1043" w:type="dxa"/>
            <w:tcBorders>
              <w:top w:val="single" w:sz="4" w:space="0" w:color="293F5B"/>
              <w:bottom w:val="single" w:sz="4" w:space="0" w:color="293F5B"/>
            </w:tcBorders>
          </w:tcPr>
          <w:p w14:paraId="048D26A8" w14:textId="77777777" w:rsidR="00BB2CB4" w:rsidRPr="00222C32" w:rsidRDefault="000674DA">
            <w:pPr>
              <w:pStyle w:val="MeasureTableDataRightAlignedwith2ptsspacing"/>
              <w:keepNext/>
            </w:pPr>
            <w:r w:rsidRPr="00222C32">
              <w:t>0.2</w:t>
            </w:r>
          </w:p>
        </w:tc>
        <w:tc>
          <w:tcPr>
            <w:tcW w:w="1043" w:type="dxa"/>
            <w:tcBorders>
              <w:top w:val="single" w:sz="4" w:space="0" w:color="293F5B"/>
              <w:bottom w:val="single" w:sz="4" w:space="0" w:color="293F5B"/>
            </w:tcBorders>
          </w:tcPr>
          <w:p w14:paraId="3610B541" w14:textId="77777777" w:rsidR="00BB2CB4" w:rsidRPr="00222C32" w:rsidRDefault="000674DA">
            <w:pPr>
              <w:pStyle w:val="MeasureTableDataRightAlignedwith2ptsspacing"/>
              <w:keepNext/>
            </w:pPr>
            <w:r w:rsidRPr="00222C32">
              <w:t>0.2</w:t>
            </w:r>
          </w:p>
        </w:tc>
      </w:tr>
      <w:tr w:rsidR="00BB2CB4" w:rsidRPr="00222C32" w14:paraId="17E39FB5" w14:textId="77777777" w:rsidTr="00825163">
        <w:trPr>
          <w:cantSplit/>
        </w:trPr>
        <w:tc>
          <w:tcPr>
            <w:tcW w:w="2500" w:type="dxa"/>
            <w:tcBorders>
              <w:top w:val="single" w:sz="4" w:space="0" w:color="293F5B"/>
            </w:tcBorders>
          </w:tcPr>
          <w:p w14:paraId="1EF4E164" w14:textId="77777777" w:rsidR="00BB2CB4" w:rsidRPr="00222C32" w:rsidRDefault="000674DA">
            <w:pPr>
              <w:pStyle w:val="Totalrowleftaligned"/>
              <w:keepNext/>
            </w:pPr>
            <w:r w:rsidRPr="00222C32">
              <w:t>Total – Payments</w:t>
            </w:r>
          </w:p>
        </w:tc>
        <w:tc>
          <w:tcPr>
            <w:tcW w:w="1043" w:type="dxa"/>
            <w:tcBorders>
              <w:top w:val="single" w:sz="4" w:space="0" w:color="293F5B"/>
            </w:tcBorders>
          </w:tcPr>
          <w:p w14:paraId="337781A3" w14:textId="77777777" w:rsidR="00BB2CB4" w:rsidRPr="00222C32" w:rsidRDefault="000674DA">
            <w:pPr>
              <w:pStyle w:val="Totaldatarowrightaligned"/>
              <w:keepNext/>
            </w:pPr>
            <w:r w:rsidRPr="00222C32">
              <w:t>-</w:t>
            </w:r>
          </w:p>
        </w:tc>
        <w:tc>
          <w:tcPr>
            <w:tcW w:w="1043" w:type="dxa"/>
            <w:tcBorders>
              <w:top w:val="single" w:sz="4" w:space="0" w:color="293F5B"/>
            </w:tcBorders>
          </w:tcPr>
          <w:p w14:paraId="0AB5088F" w14:textId="77777777" w:rsidR="00BB2CB4" w:rsidRPr="00222C32" w:rsidRDefault="000674DA">
            <w:pPr>
              <w:pStyle w:val="Totaldatarowrightaligned"/>
              <w:keepNext/>
            </w:pPr>
            <w:r w:rsidRPr="00222C32">
              <w:t>59.7</w:t>
            </w:r>
          </w:p>
        </w:tc>
        <w:tc>
          <w:tcPr>
            <w:tcW w:w="1043" w:type="dxa"/>
            <w:tcBorders>
              <w:top w:val="single" w:sz="4" w:space="0" w:color="293F5B"/>
            </w:tcBorders>
          </w:tcPr>
          <w:p w14:paraId="5E160E38" w14:textId="77777777" w:rsidR="00BB2CB4" w:rsidRPr="00222C32" w:rsidRDefault="000674DA">
            <w:pPr>
              <w:pStyle w:val="Totaldatarowrightaligned"/>
              <w:keepNext/>
            </w:pPr>
            <w:r w:rsidRPr="00222C32">
              <w:t>47.3</w:t>
            </w:r>
          </w:p>
        </w:tc>
        <w:tc>
          <w:tcPr>
            <w:tcW w:w="1043" w:type="dxa"/>
            <w:tcBorders>
              <w:top w:val="single" w:sz="4" w:space="0" w:color="293F5B"/>
            </w:tcBorders>
          </w:tcPr>
          <w:p w14:paraId="0F2C63FF" w14:textId="77777777" w:rsidR="00BB2CB4" w:rsidRPr="00222C32" w:rsidRDefault="000674DA">
            <w:pPr>
              <w:pStyle w:val="Totaldatarowrightaligned"/>
              <w:keepNext/>
            </w:pPr>
            <w:r w:rsidRPr="00222C32">
              <w:t>42.7</w:t>
            </w:r>
          </w:p>
        </w:tc>
        <w:tc>
          <w:tcPr>
            <w:tcW w:w="1043" w:type="dxa"/>
            <w:tcBorders>
              <w:top w:val="single" w:sz="4" w:space="0" w:color="293F5B"/>
            </w:tcBorders>
          </w:tcPr>
          <w:p w14:paraId="3504E576" w14:textId="77777777" w:rsidR="00BB2CB4" w:rsidRPr="00222C32" w:rsidRDefault="000674DA">
            <w:pPr>
              <w:pStyle w:val="Totaldatarowrightaligned"/>
              <w:keepNext/>
            </w:pPr>
            <w:r w:rsidRPr="00222C32">
              <w:t>38.7</w:t>
            </w:r>
          </w:p>
        </w:tc>
      </w:tr>
    </w:tbl>
    <w:p w14:paraId="1272B34E" w14:textId="77777777" w:rsidR="00BB2CB4" w:rsidRDefault="00BB2CB4" w:rsidP="001F3FEE">
      <w:pPr>
        <w:pStyle w:val="SingleParagraph"/>
        <w:keepNext/>
      </w:pPr>
    </w:p>
    <w:p w14:paraId="555574ED" w14:textId="77777777" w:rsidR="00BB2CB4" w:rsidRDefault="000674DA">
      <w:pPr>
        <w:pStyle w:val="Normal2"/>
      </w:pPr>
      <w:r>
        <w:t>The Government will provide $188.5 million over four years from 2025–‍26 (and $26.8 million per year ongoing) to strengthen safety and quality in early childhood education and care (ECEC) settings. Funding includes:</w:t>
      </w:r>
    </w:p>
    <w:p w14:paraId="4A738DC6" w14:textId="77777777" w:rsidR="00BB2CB4" w:rsidRDefault="000674DA">
      <w:pPr>
        <w:pStyle w:val="Bullet"/>
      </w:pPr>
      <w:r>
        <w:t>$73.5 million over four years from 2025–‍26 (and $17.5 million per year ongoing) to the Department of Education for authorised officers to conduct unannounced spot checks and take targeted regulatory action against providers with a poor track record of safety and quality</w:t>
      </w:r>
    </w:p>
    <w:p w14:paraId="4E12D16D" w14:textId="77777777" w:rsidR="00BB2CB4" w:rsidRDefault="000674DA">
      <w:pPr>
        <w:pStyle w:val="Bullet"/>
      </w:pPr>
      <w:r>
        <w:t>Funding over four years from 2025–‍26 to deliver joint national actions to strengthen safety and quality in the ECEC sector, including:</w:t>
      </w:r>
    </w:p>
    <w:p w14:paraId="42F91D09" w14:textId="4F3144F7" w:rsidR="00BB2CB4" w:rsidRDefault="000674DA">
      <w:pPr>
        <w:pStyle w:val="Dash"/>
      </w:pPr>
      <w:r>
        <w:t>$44.6 million over four years from 2025–‍26 (and $8.8 million per year ongoing) for the Australian Children</w:t>
      </w:r>
      <w:r w:rsidR="00222C32">
        <w:t>’</w:t>
      </w:r>
      <w:r>
        <w:t>s Education and Care Quality Authority to develop and implement a National Educator Register to record and share information about early childhood education and care workers to support improved child safety. Partial funding for this measure will be held in the Contingency Reserve until later phases of the National Educator Register are designed and have been agreed by the Commonwealth and state and territory governments</w:t>
      </w:r>
    </w:p>
    <w:p w14:paraId="69DBC553" w14:textId="2FD632CE" w:rsidR="00BB2CB4" w:rsidRDefault="000674DA">
      <w:pPr>
        <w:pStyle w:val="Dash"/>
      </w:pPr>
      <w:r>
        <w:t xml:space="preserve">$22.0 million over four years from 2025–‍26 (and $0.5 million per year ongoing) to increase joint regulatory action through an expansion of the Joint Compliance and Monitoring </w:t>
      </w:r>
      <w:r w:rsidR="008C370F">
        <w:t>p</w:t>
      </w:r>
      <w:r>
        <w:t>rogram, and to improve data exchange between the Commonwealth and states and territories</w:t>
      </w:r>
    </w:p>
    <w:p w14:paraId="2F2DDFF0" w14:textId="77777777" w:rsidR="00BB2CB4" w:rsidRDefault="000674DA">
      <w:pPr>
        <w:pStyle w:val="Dash"/>
      </w:pPr>
      <w:r>
        <w:t>$21.0 million over four years from 2025–‍26 in additional funding for the Professional Development Subsidy which, from 2026–‍27 will help eligible ECEC providers cover the wage costs for ECEC workers undertaking mandatory national child safety training. This includes an extension of the Professional Development Subsidy to support the backfilling of staff, or paying allowances to educators if training is undertaken outside of regular work hours. ECEC centres will also be able to close from 5:00pm a few times a year while remaining eligible to claim the Child Care Subsidy</w:t>
      </w:r>
    </w:p>
    <w:p w14:paraId="0DF4CB6A" w14:textId="77777777" w:rsidR="00BB2CB4" w:rsidRDefault="000674DA">
      <w:pPr>
        <w:pStyle w:val="Dash"/>
      </w:pPr>
      <w:r>
        <w:t>$20.5 million over two years from 2025–‍26 to the Department of Education to undertake a nationwide assessment of closed‑circuit television in ECEC services</w:t>
      </w:r>
    </w:p>
    <w:p w14:paraId="032C5117" w14:textId="2E0707A8" w:rsidR="00BB2CB4" w:rsidRDefault="000674DA">
      <w:pPr>
        <w:pStyle w:val="Dash"/>
      </w:pPr>
      <w:r>
        <w:t>$6.9 million over three years from 2025–‍26 to upgrade the Starting Blocks website to improve transparency for parents about ECEC services</w:t>
      </w:r>
      <w:r w:rsidR="00222C32">
        <w:t>’</w:t>
      </w:r>
      <w:r>
        <w:t xml:space="preserve"> compliance with quality and safety standards.</w:t>
      </w:r>
    </w:p>
    <w:p w14:paraId="562F9FF1" w14:textId="77777777" w:rsidR="00BB2CB4" w:rsidRDefault="000674DA">
      <w:pPr>
        <w:pStyle w:val="Normal2"/>
      </w:pPr>
      <w:r w:rsidRPr="69C11E82">
        <w:rPr>
          <w:lang w:val="en-US"/>
        </w:rPr>
        <w:lastRenderedPageBreak/>
        <w:t xml:space="preserve">The cost of this measure will be met from savings identified in the 2025–‍26 MYEFO measure titled </w:t>
      </w:r>
      <w:r w:rsidRPr="69C11E82">
        <w:rPr>
          <w:i/>
          <w:lang w:val="en-US"/>
        </w:rPr>
        <w:t>Education – reprioritisation</w:t>
      </w:r>
      <w:r w:rsidRPr="69C11E82">
        <w:rPr>
          <w:lang w:val="en-US"/>
        </w:rPr>
        <w:t>.</w:t>
      </w:r>
    </w:p>
    <w:p w14:paraId="7C17D06B" w14:textId="77777777" w:rsidR="00BB2CB4" w:rsidRDefault="000674DA">
      <w:pPr>
        <w:pStyle w:val="Normal2"/>
      </w:pPr>
      <w:r>
        <w:t xml:space="preserve">This measure extends the 2023–‍24 Budget measure </w:t>
      </w:r>
      <w:r w:rsidRPr="000674DA">
        <w:rPr>
          <w:i/>
        </w:rPr>
        <w:t>Early Childhood Education and Care Workforce</w:t>
      </w:r>
      <w:r>
        <w:t xml:space="preserve"> and the 2024–‍25 Budget measure </w:t>
      </w:r>
      <w:r w:rsidRPr="000674DA">
        <w:rPr>
          <w:i/>
        </w:rPr>
        <w:t>Child Care Subsidy Reform – further measures for strong and sustainable foundations</w:t>
      </w:r>
      <w:r>
        <w:t>.</w:t>
      </w:r>
    </w:p>
    <w:p w14:paraId="38A390FB" w14:textId="77777777" w:rsidR="00BB2CB4" w:rsidRDefault="000674DA">
      <w:pPr>
        <w:pStyle w:val="MeasureTitle"/>
      </w:pPr>
      <w:r>
        <w:t>Supporting the Construction of the First Hindu School in Australia</w:t>
      </w:r>
    </w:p>
    <w:p w14:paraId="75FDCD9D" w14:textId="77777777" w:rsidR="00BB2CB4" w:rsidRDefault="000674DA">
      <w:pPr>
        <w:pStyle w:val="MeasureTableHeading"/>
      </w:pPr>
      <w:r>
        <w:t>Payments ($m)</w:t>
      </w:r>
    </w:p>
    <w:tbl>
      <w:tblPr>
        <w:tblOverlap w:val="never"/>
        <w:tblW w:w="5000" w:type="pct"/>
        <w:tblBorders>
          <w:top w:val="single" w:sz="4" w:space="0" w:color="000000"/>
          <w:bottom w:val="single" w:sz="4" w:space="0" w:color="293F5B"/>
          <w:insideH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F5C51F2" w14:textId="77777777" w:rsidTr="00825163">
        <w:trPr>
          <w:cantSplit/>
        </w:trPr>
        <w:tc>
          <w:tcPr>
            <w:tcW w:w="2501" w:type="dxa"/>
            <w:tcBorders>
              <w:top w:val="single" w:sz="4" w:space="0" w:color="293F5B"/>
              <w:bottom w:val="single" w:sz="4" w:space="0" w:color="293F5B"/>
            </w:tcBorders>
          </w:tcPr>
          <w:p w14:paraId="24C5F77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9B3A51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BD2204D"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72E10D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D493DB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DD21429" w14:textId="77777777" w:rsidR="00BB2CB4" w:rsidRPr="00222C32" w:rsidRDefault="000674DA">
            <w:pPr>
              <w:pStyle w:val="MeasureTableYearHeadings"/>
              <w:keepNext/>
            </w:pPr>
            <w:r w:rsidRPr="00222C32">
              <w:t>2028-29</w:t>
            </w:r>
          </w:p>
        </w:tc>
      </w:tr>
      <w:tr w:rsidR="00BB2CB4" w:rsidRPr="00222C32" w14:paraId="2AB14A87" w14:textId="77777777" w:rsidTr="00825163">
        <w:trPr>
          <w:cantSplit/>
        </w:trPr>
        <w:tc>
          <w:tcPr>
            <w:tcW w:w="2501" w:type="dxa"/>
            <w:tcBorders>
              <w:top w:val="single" w:sz="4" w:space="0" w:color="293F5B"/>
            </w:tcBorders>
          </w:tcPr>
          <w:p w14:paraId="03C07DDF"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tcBorders>
          </w:tcPr>
          <w:p w14:paraId="0AA97608"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2221D638" w14:textId="77777777" w:rsidR="00BB2CB4" w:rsidRPr="00222C32" w:rsidRDefault="000674DA">
            <w:pPr>
              <w:pStyle w:val="MeasureTableDataRightAlignedwith2ptsspacing"/>
              <w:keepNext/>
            </w:pPr>
            <w:r w:rsidRPr="00222C32">
              <w:t>3.4</w:t>
            </w:r>
          </w:p>
        </w:tc>
        <w:tc>
          <w:tcPr>
            <w:tcW w:w="1044" w:type="dxa"/>
            <w:tcBorders>
              <w:top w:val="single" w:sz="4" w:space="0" w:color="293F5B"/>
            </w:tcBorders>
          </w:tcPr>
          <w:p w14:paraId="0723D67F" w14:textId="77777777" w:rsidR="00BB2CB4" w:rsidRPr="00222C32" w:rsidRDefault="000674DA">
            <w:pPr>
              <w:pStyle w:val="MeasureTableDataRightAlignedwith2ptsspacing"/>
              <w:keepNext/>
            </w:pPr>
            <w:r w:rsidRPr="00222C32">
              <w:t>4.0</w:t>
            </w:r>
          </w:p>
        </w:tc>
        <w:tc>
          <w:tcPr>
            <w:tcW w:w="1044" w:type="dxa"/>
            <w:tcBorders>
              <w:top w:val="single" w:sz="4" w:space="0" w:color="293F5B"/>
            </w:tcBorders>
          </w:tcPr>
          <w:p w14:paraId="04E889CD" w14:textId="77777777" w:rsidR="00BB2CB4" w:rsidRPr="00222C32" w:rsidRDefault="000674DA">
            <w:pPr>
              <w:pStyle w:val="MeasureTableDataRightAlignedwith2ptsspacing"/>
              <w:keepNext/>
            </w:pPr>
            <w:r w:rsidRPr="00222C32">
              <w:t>1.5</w:t>
            </w:r>
          </w:p>
        </w:tc>
        <w:tc>
          <w:tcPr>
            <w:tcW w:w="1044" w:type="dxa"/>
            <w:tcBorders>
              <w:top w:val="single" w:sz="4" w:space="0" w:color="293F5B"/>
            </w:tcBorders>
          </w:tcPr>
          <w:p w14:paraId="67FB31C5" w14:textId="77777777" w:rsidR="00BB2CB4" w:rsidRPr="00222C32" w:rsidRDefault="000674DA">
            <w:pPr>
              <w:pStyle w:val="MeasureTableDataRightAlignedwith2ptsspacing"/>
              <w:keepNext/>
            </w:pPr>
            <w:r w:rsidRPr="00222C32">
              <w:t>-</w:t>
            </w:r>
          </w:p>
        </w:tc>
      </w:tr>
    </w:tbl>
    <w:p w14:paraId="72183A25" w14:textId="77777777" w:rsidR="001F3FEE" w:rsidRDefault="001F3FEE" w:rsidP="001F3FEE">
      <w:pPr>
        <w:pStyle w:val="SingleParagraph"/>
      </w:pPr>
    </w:p>
    <w:p w14:paraId="7CE37A93" w14:textId="77777777" w:rsidR="00BB2CB4" w:rsidRDefault="000674DA">
      <w:pPr>
        <w:pStyle w:val="Normal2"/>
      </w:pPr>
      <w:r w:rsidRPr="69C11E82">
        <w:rPr>
          <w:lang w:val="en-US"/>
        </w:rPr>
        <w:t>The Government will provide $8.9 million over three years from 2025–‍26 to support the establishment and construction of the Sanatana Hindu Independent primary school in Oakville, Western Sydney. Funding will enable the development of school facilities for students from Kindergarten to Year 2, with teaching anticipated to commence in 2027.</w:t>
      </w:r>
    </w:p>
    <w:p w14:paraId="3DE24B38" w14:textId="3943CFA5"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2D6C79E3" w14:textId="77777777" w:rsidR="00BB2CB4" w:rsidRDefault="000674DA">
      <w:pPr>
        <w:pStyle w:val="MeasureTitle"/>
      </w:pPr>
      <w:r w:rsidRPr="69C11E82">
        <w:rPr>
          <w:lang w:val="en-US"/>
        </w:rPr>
        <w:t>Tackling Bullying and Harmful Behaviours in Schools</w:t>
      </w:r>
    </w:p>
    <w:p w14:paraId="358CCB70"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F44A7E2" w14:textId="77777777" w:rsidTr="00825163">
        <w:trPr>
          <w:cantSplit/>
        </w:trPr>
        <w:tc>
          <w:tcPr>
            <w:tcW w:w="2501" w:type="dxa"/>
          </w:tcPr>
          <w:p w14:paraId="75655696" w14:textId="77777777" w:rsidR="00BB2CB4" w:rsidRPr="00222C32" w:rsidRDefault="00BB2CB4">
            <w:pPr>
              <w:pStyle w:val="MeasureTableYearHeadings"/>
              <w:keepNext/>
            </w:pPr>
          </w:p>
        </w:tc>
        <w:tc>
          <w:tcPr>
            <w:tcW w:w="1044" w:type="dxa"/>
          </w:tcPr>
          <w:p w14:paraId="4BB79C99" w14:textId="77777777" w:rsidR="00BB2CB4" w:rsidRPr="00222C32" w:rsidRDefault="000674DA">
            <w:pPr>
              <w:pStyle w:val="MeasureTableYearHeadings"/>
              <w:keepNext/>
            </w:pPr>
            <w:r w:rsidRPr="00222C32">
              <w:t>2024-25</w:t>
            </w:r>
          </w:p>
        </w:tc>
        <w:tc>
          <w:tcPr>
            <w:tcW w:w="1044" w:type="dxa"/>
          </w:tcPr>
          <w:p w14:paraId="5DFF66D5" w14:textId="77777777" w:rsidR="00BB2CB4" w:rsidRPr="00222C32" w:rsidRDefault="000674DA">
            <w:pPr>
              <w:pStyle w:val="MeasureTableYearHeadings"/>
              <w:keepNext/>
            </w:pPr>
            <w:r w:rsidRPr="00222C32">
              <w:t>2025-26</w:t>
            </w:r>
          </w:p>
        </w:tc>
        <w:tc>
          <w:tcPr>
            <w:tcW w:w="1044" w:type="dxa"/>
          </w:tcPr>
          <w:p w14:paraId="2A18DDA2" w14:textId="77777777" w:rsidR="00BB2CB4" w:rsidRPr="00222C32" w:rsidRDefault="000674DA">
            <w:pPr>
              <w:pStyle w:val="MeasureTableYearHeadings"/>
              <w:keepNext/>
            </w:pPr>
            <w:r w:rsidRPr="00222C32">
              <w:t>2026-27</w:t>
            </w:r>
          </w:p>
        </w:tc>
        <w:tc>
          <w:tcPr>
            <w:tcW w:w="1044" w:type="dxa"/>
          </w:tcPr>
          <w:p w14:paraId="16FB6B0B" w14:textId="77777777" w:rsidR="00BB2CB4" w:rsidRPr="00222C32" w:rsidRDefault="000674DA">
            <w:pPr>
              <w:pStyle w:val="MeasureTableYearHeadings"/>
              <w:keepNext/>
            </w:pPr>
            <w:r w:rsidRPr="00222C32">
              <w:t>2027-28</w:t>
            </w:r>
          </w:p>
        </w:tc>
        <w:tc>
          <w:tcPr>
            <w:tcW w:w="1044" w:type="dxa"/>
          </w:tcPr>
          <w:p w14:paraId="46463AA5" w14:textId="77777777" w:rsidR="00BB2CB4" w:rsidRPr="00222C32" w:rsidRDefault="000674DA">
            <w:pPr>
              <w:pStyle w:val="MeasureTableYearHeadings"/>
              <w:keepNext/>
            </w:pPr>
            <w:r w:rsidRPr="00222C32">
              <w:t>2028-29</w:t>
            </w:r>
          </w:p>
        </w:tc>
      </w:tr>
      <w:tr w:rsidR="00BB2CB4" w:rsidRPr="00222C32" w14:paraId="6B7168A8" w14:textId="77777777" w:rsidTr="00825163">
        <w:trPr>
          <w:cantSplit/>
        </w:trPr>
        <w:tc>
          <w:tcPr>
            <w:tcW w:w="2501" w:type="dxa"/>
          </w:tcPr>
          <w:p w14:paraId="57E937B5" w14:textId="77777777" w:rsidR="00BB2CB4" w:rsidRPr="00222C32" w:rsidRDefault="000674DA">
            <w:pPr>
              <w:pStyle w:val="MeasureTableHeadingleftalignedwith2ptsspacing"/>
              <w:keepNext/>
            </w:pPr>
            <w:r w:rsidRPr="00222C32">
              <w:t>Department of Education</w:t>
            </w:r>
          </w:p>
        </w:tc>
        <w:tc>
          <w:tcPr>
            <w:tcW w:w="1044" w:type="dxa"/>
          </w:tcPr>
          <w:p w14:paraId="290AF3D8" w14:textId="77777777" w:rsidR="00BB2CB4" w:rsidRPr="00222C32" w:rsidRDefault="000674DA">
            <w:pPr>
              <w:pStyle w:val="MeasureTableDataRightAlignedwith2ptsspacing"/>
              <w:keepNext/>
            </w:pPr>
            <w:r w:rsidRPr="00222C32">
              <w:t>-</w:t>
            </w:r>
          </w:p>
        </w:tc>
        <w:tc>
          <w:tcPr>
            <w:tcW w:w="1044" w:type="dxa"/>
          </w:tcPr>
          <w:p w14:paraId="24397E30" w14:textId="77777777" w:rsidR="00BB2CB4" w:rsidRPr="00222C32" w:rsidRDefault="000674DA">
            <w:pPr>
              <w:pStyle w:val="MeasureTableDataRightAlignedwith2ptsspacing"/>
              <w:keepNext/>
            </w:pPr>
            <w:r w:rsidRPr="00222C32">
              <w:t>4.6</w:t>
            </w:r>
          </w:p>
        </w:tc>
        <w:tc>
          <w:tcPr>
            <w:tcW w:w="1044" w:type="dxa"/>
          </w:tcPr>
          <w:p w14:paraId="4CAAAD4F" w14:textId="77777777" w:rsidR="00BB2CB4" w:rsidRPr="00222C32" w:rsidRDefault="000674DA">
            <w:pPr>
              <w:pStyle w:val="MeasureTableDataRightAlignedwith2ptsspacing"/>
              <w:keepNext/>
            </w:pPr>
            <w:r w:rsidRPr="00222C32">
              <w:t>5.4</w:t>
            </w:r>
          </w:p>
        </w:tc>
        <w:tc>
          <w:tcPr>
            <w:tcW w:w="1044" w:type="dxa"/>
          </w:tcPr>
          <w:p w14:paraId="4AC7A08A" w14:textId="77777777" w:rsidR="00BB2CB4" w:rsidRPr="00222C32" w:rsidRDefault="000674DA">
            <w:pPr>
              <w:pStyle w:val="MeasureTableDataRightAlignedwith2ptsspacing"/>
              <w:keepNext/>
            </w:pPr>
            <w:r w:rsidRPr="00222C32">
              <w:t>-5.0</w:t>
            </w:r>
          </w:p>
        </w:tc>
        <w:tc>
          <w:tcPr>
            <w:tcW w:w="1044" w:type="dxa"/>
          </w:tcPr>
          <w:p w14:paraId="6766BD19" w14:textId="77777777" w:rsidR="00BB2CB4" w:rsidRPr="00222C32" w:rsidRDefault="000674DA">
            <w:pPr>
              <w:pStyle w:val="MeasureTableDataRightAlignedwith2ptsspacing"/>
              <w:keepNext/>
            </w:pPr>
            <w:r w:rsidRPr="00222C32">
              <w:t>-5.0</w:t>
            </w:r>
          </w:p>
        </w:tc>
      </w:tr>
    </w:tbl>
    <w:p w14:paraId="5C46AD59" w14:textId="77777777" w:rsidR="001F3FEE" w:rsidRDefault="001F3FEE" w:rsidP="001F3FEE">
      <w:pPr>
        <w:pStyle w:val="SingleParagraph"/>
      </w:pPr>
    </w:p>
    <w:p w14:paraId="4EB464B8" w14:textId="77777777" w:rsidR="00BB2CB4" w:rsidRDefault="000674DA">
      <w:pPr>
        <w:pStyle w:val="Normal2"/>
      </w:pPr>
      <w:r>
        <w:t>The Government will provide $10.0 million over two years from 2025–‍26 to support a new national plan to address bullying in Australian schools, as recommended by the Anti‑Bullying Rapid Review. Funding includes:</w:t>
      </w:r>
    </w:p>
    <w:p w14:paraId="7988BDFB" w14:textId="77777777" w:rsidR="00BB2CB4" w:rsidRDefault="000674DA">
      <w:pPr>
        <w:pStyle w:val="Bullet"/>
      </w:pPr>
      <w:r>
        <w:t>$5.0 million over two years from 2025–‍26 for a national awareness campaign</w:t>
      </w:r>
    </w:p>
    <w:p w14:paraId="0DED4FE8" w14:textId="77777777" w:rsidR="00BB2CB4" w:rsidRDefault="000674DA">
      <w:pPr>
        <w:pStyle w:val="Bullet"/>
      </w:pPr>
      <w:r>
        <w:t>$5.0 million over two years from 2025–‍26 to develop new resources for teachers, students and parents.</w:t>
      </w:r>
    </w:p>
    <w:p w14:paraId="641F255C" w14:textId="7981CF05" w:rsidR="00BB2CB4" w:rsidRDefault="000674DA">
      <w:pPr>
        <w:pStyle w:val="Normal2"/>
      </w:pPr>
      <w:r w:rsidRPr="69C11E82">
        <w:rPr>
          <w:lang w:val="en-US"/>
        </w:rPr>
        <w:t xml:space="preserve">The cost of this measure will be met from a reprioritisation of </w:t>
      </w:r>
      <w:r w:rsidR="00C77585">
        <w:rPr>
          <w:lang w:val="en-US"/>
        </w:rPr>
        <w:t xml:space="preserve">funding in the </w:t>
      </w:r>
      <w:r w:rsidRPr="69C11E82">
        <w:rPr>
          <w:lang w:val="en-US"/>
        </w:rPr>
        <w:t>Education portfolio.</w:t>
      </w:r>
    </w:p>
    <w:p w14:paraId="19E92F76" w14:textId="05D58DC5" w:rsidR="00BB2CB4" w:rsidRDefault="000674DA" w:rsidP="00464AFA">
      <w:pPr>
        <w:pStyle w:val="MeasureTitle"/>
        <w:keepLines/>
      </w:pPr>
      <w:r>
        <w:lastRenderedPageBreak/>
        <w:t>Windsor Community Children</w:t>
      </w:r>
      <w:r w:rsidR="00222C32">
        <w:t>’</w:t>
      </w:r>
      <w:r>
        <w:t>s Centre</w:t>
      </w:r>
    </w:p>
    <w:p w14:paraId="21CE9112" w14:textId="77777777" w:rsidR="00BB2CB4" w:rsidRDefault="000674DA" w:rsidP="00464AFA">
      <w:pPr>
        <w:pStyle w:val="MeasureTableHeading"/>
        <w:keepLines/>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D5C4352" w14:textId="77777777" w:rsidTr="00825163">
        <w:trPr>
          <w:cantSplit/>
        </w:trPr>
        <w:tc>
          <w:tcPr>
            <w:tcW w:w="2501" w:type="dxa"/>
          </w:tcPr>
          <w:p w14:paraId="0CA012CB" w14:textId="77777777" w:rsidR="00BB2CB4" w:rsidRPr="00222C32" w:rsidRDefault="00BB2CB4" w:rsidP="00464AFA">
            <w:pPr>
              <w:pStyle w:val="MeasureTableYearHeadings"/>
              <w:keepNext/>
            </w:pPr>
          </w:p>
        </w:tc>
        <w:tc>
          <w:tcPr>
            <w:tcW w:w="1044" w:type="dxa"/>
          </w:tcPr>
          <w:p w14:paraId="73FDB283" w14:textId="77777777" w:rsidR="00BB2CB4" w:rsidRPr="00222C32" w:rsidRDefault="000674DA" w:rsidP="00464AFA">
            <w:pPr>
              <w:pStyle w:val="MeasureTableYearHeadings"/>
              <w:keepNext/>
            </w:pPr>
            <w:r w:rsidRPr="00222C32">
              <w:t>2024-25</w:t>
            </w:r>
          </w:p>
        </w:tc>
        <w:tc>
          <w:tcPr>
            <w:tcW w:w="1044" w:type="dxa"/>
          </w:tcPr>
          <w:p w14:paraId="66B63157" w14:textId="77777777" w:rsidR="00BB2CB4" w:rsidRPr="00222C32" w:rsidRDefault="000674DA" w:rsidP="00464AFA">
            <w:pPr>
              <w:pStyle w:val="MeasureTableYearHeadings"/>
              <w:keepNext/>
            </w:pPr>
            <w:r w:rsidRPr="00222C32">
              <w:t>2025-26</w:t>
            </w:r>
          </w:p>
        </w:tc>
        <w:tc>
          <w:tcPr>
            <w:tcW w:w="1044" w:type="dxa"/>
          </w:tcPr>
          <w:p w14:paraId="768FCA38" w14:textId="77777777" w:rsidR="00BB2CB4" w:rsidRPr="00222C32" w:rsidRDefault="000674DA" w:rsidP="00464AFA">
            <w:pPr>
              <w:pStyle w:val="MeasureTableYearHeadings"/>
              <w:keepNext/>
            </w:pPr>
            <w:r w:rsidRPr="00222C32">
              <w:t>2026-27</w:t>
            </w:r>
          </w:p>
        </w:tc>
        <w:tc>
          <w:tcPr>
            <w:tcW w:w="1044" w:type="dxa"/>
          </w:tcPr>
          <w:p w14:paraId="054DAA9A" w14:textId="77777777" w:rsidR="00BB2CB4" w:rsidRPr="00222C32" w:rsidRDefault="000674DA" w:rsidP="00464AFA">
            <w:pPr>
              <w:pStyle w:val="MeasureTableYearHeadings"/>
              <w:keepNext/>
            </w:pPr>
            <w:r w:rsidRPr="00222C32">
              <w:t>2027-28</w:t>
            </w:r>
          </w:p>
        </w:tc>
        <w:tc>
          <w:tcPr>
            <w:tcW w:w="1044" w:type="dxa"/>
          </w:tcPr>
          <w:p w14:paraId="0F968AEC" w14:textId="77777777" w:rsidR="00BB2CB4" w:rsidRPr="00222C32" w:rsidRDefault="000674DA" w:rsidP="00464AFA">
            <w:pPr>
              <w:pStyle w:val="MeasureTableYearHeadings"/>
              <w:keepNext/>
            </w:pPr>
            <w:r w:rsidRPr="00222C32">
              <w:t>2028-29</w:t>
            </w:r>
          </w:p>
        </w:tc>
      </w:tr>
      <w:tr w:rsidR="00BB2CB4" w:rsidRPr="00222C32" w14:paraId="5E051915" w14:textId="77777777" w:rsidTr="00825163">
        <w:trPr>
          <w:cantSplit/>
        </w:trPr>
        <w:tc>
          <w:tcPr>
            <w:tcW w:w="2501" w:type="dxa"/>
          </w:tcPr>
          <w:p w14:paraId="778F747B" w14:textId="77777777" w:rsidR="00BB2CB4" w:rsidRPr="00222C32" w:rsidRDefault="000674DA" w:rsidP="00464AFA">
            <w:pPr>
              <w:pStyle w:val="MeasureTableHeadingleftalignedwith2ptsspacing"/>
              <w:keepNext/>
            </w:pPr>
            <w:r w:rsidRPr="00222C32">
              <w:t>Department of Education</w:t>
            </w:r>
          </w:p>
        </w:tc>
        <w:tc>
          <w:tcPr>
            <w:tcW w:w="1044" w:type="dxa"/>
          </w:tcPr>
          <w:p w14:paraId="55748EC4" w14:textId="77777777" w:rsidR="00BB2CB4" w:rsidRPr="00222C32" w:rsidRDefault="000674DA" w:rsidP="00464AFA">
            <w:pPr>
              <w:pStyle w:val="MeasureTableDataRightAlignedwith2ptsspacing"/>
              <w:keepNext/>
            </w:pPr>
            <w:r w:rsidRPr="00222C32">
              <w:t>-</w:t>
            </w:r>
          </w:p>
        </w:tc>
        <w:tc>
          <w:tcPr>
            <w:tcW w:w="1044" w:type="dxa"/>
          </w:tcPr>
          <w:p w14:paraId="7395C73F" w14:textId="77777777" w:rsidR="00BB2CB4" w:rsidRPr="00222C32" w:rsidRDefault="000674DA" w:rsidP="00464AFA">
            <w:pPr>
              <w:pStyle w:val="MeasureTableDataRightAlignedwith2ptsspacing"/>
              <w:keepNext/>
            </w:pPr>
            <w:r w:rsidRPr="00222C32">
              <w:t>4.3</w:t>
            </w:r>
          </w:p>
        </w:tc>
        <w:tc>
          <w:tcPr>
            <w:tcW w:w="1044" w:type="dxa"/>
          </w:tcPr>
          <w:p w14:paraId="5409B81E" w14:textId="77777777" w:rsidR="00BB2CB4" w:rsidRPr="00222C32" w:rsidRDefault="000674DA" w:rsidP="00464AFA">
            <w:pPr>
              <w:pStyle w:val="MeasureTableDataRightAlignedwith2ptsspacing"/>
              <w:keepNext/>
            </w:pPr>
            <w:r w:rsidRPr="00222C32">
              <w:t>-</w:t>
            </w:r>
          </w:p>
        </w:tc>
        <w:tc>
          <w:tcPr>
            <w:tcW w:w="1044" w:type="dxa"/>
          </w:tcPr>
          <w:p w14:paraId="13E93709" w14:textId="77777777" w:rsidR="00BB2CB4" w:rsidRPr="00222C32" w:rsidRDefault="000674DA" w:rsidP="00464AFA">
            <w:pPr>
              <w:pStyle w:val="MeasureTableDataRightAlignedwith2ptsspacing"/>
              <w:keepNext/>
            </w:pPr>
            <w:r w:rsidRPr="00222C32">
              <w:t>-</w:t>
            </w:r>
          </w:p>
        </w:tc>
        <w:tc>
          <w:tcPr>
            <w:tcW w:w="1044" w:type="dxa"/>
          </w:tcPr>
          <w:p w14:paraId="74F10977" w14:textId="77777777" w:rsidR="00BB2CB4" w:rsidRPr="00222C32" w:rsidRDefault="000674DA" w:rsidP="00464AFA">
            <w:pPr>
              <w:pStyle w:val="MeasureTableDataRightAlignedwith2ptsspacing"/>
              <w:keepNext/>
            </w:pPr>
            <w:r w:rsidRPr="00222C32">
              <w:t>-</w:t>
            </w:r>
          </w:p>
        </w:tc>
      </w:tr>
    </w:tbl>
    <w:p w14:paraId="28A35A39" w14:textId="77777777" w:rsidR="001F3FEE" w:rsidRDefault="001F3FEE" w:rsidP="00464AFA">
      <w:pPr>
        <w:pStyle w:val="SingleParagraph"/>
        <w:keepNext/>
        <w:keepLines/>
      </w:pPr>
    </w:p>
    <w:p w14:paraId="0F3AAEDE" w14:textId="3026D015" w:rsidR="00BB2CB4" w:rsidRDefault="000674DA" w:rsidP="00464AFA">
      <w:pPr>
        <w:pStyle w:val="Normal2"/>
        <w:keepNext/>
        <w:keepLines/>
      </w:pPr>
      <w:r>
        <w:t>The Government will provide $4.3 million in 2025–‍26 to support the viability of the Windsor Community Children</w:t>
      </w:r>
      <w:r w:rsidR="00222C32">
        <w:t>’</w:t>
      </w:r>
      <w:r>
        <w:t>s Centre.</w:t>
      </w:r>
    </w:p>
    <w:p w14:paraId="59533E02" w14:textId="77777777" w:rsidR="00BB2CB4" w:rsidRDefault="000674DA" w:rsidP="00464AFA">
      <w:pPr>
        <w:pStyle w:val="Normal2"/>
        <w:keepNext/>
        <w:keepLines/>
      </w:pPr>
      <w:r w:rsidRPr="69C11E82">
        <w:rPr>
          <w:lang w:val="en-US"/>
        </w:rPr>
        <w:t>Funding for this measure will be held in the Contingency Reserve until required.</w:t>
      </w:r>
    </w:p>
    <w:p w14:paraId="697EB7E1" w14:textId="03EFEA1B"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1659F56C" w14:textId="77777777" w:rsidR="00041DCE" w:rsidRDefault="00041DCE">
      <w:pPr>
        <w:pStyle w:val="Normal2"/>
      </w:pPr>
    </w:p>
    <w:p w14:paraId="3D6114D2" w14:textId="77777777" w:rsidR="00BB2CB4" w:rsidRDefault="00BB2CB4">
      <w:pPr>
        <w:sectPr w:rsidR="00BB2CB4" w:rsidSect="00301ACF">
          <w:pgSz w:w="11906" w:h="16838" w:code="9"/>
          <w:pgMar w:top="2835" w:right="2098" w:bottom="2466" w:left="2098" w:header="1814" w:footer="1814" w:gutter="0"/>
          <w:cols w:space="720"/>
          <w:docGrid w:linePitch="272"/>
        </w:sectPr>
      </w:pPr>
    </w:p>
    <w:p w14:paraId="50688D36" w14:textId="77777777" w:rsidR="00BB2CB4" w:rsidRDefault="000674DA" w:rsidP="00AD5404">
      <w:pPr>
        <w:pStyle w:val="PortfolioName"/>
        <w:spacing w:before="0"/>
      </w:pPr>
      <w:r>
        <w:lastRenderedPageBreak/>
        <w:t>Employment and Workplace Relations</w:t>
      </w:r>
    </w:p>
    <w:p w14:paraId="55FE310D" w14:textId="77777777" w:rsidR="00BB2CB4" w:rsidRDefault="000674DA">
      <w:pPr>
        <w:pStyle w:val="MeasureTitle"/>
      </w:pPr>
      <w:r>
        <w:t>Advancing Gender Equality in Gender Segregated Industries</w:t>
      </w:r>
    </w:p>
    <w:p w14:paraId="13AC90CC"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4522E37" w14:textId="77777777" w:rsidTr="00825163">
        <w:trPr>
          <w:cantSplit/>
        </w:trPr>
        <w:tc>
          <w:tcPr>
            <w:tcW w:w="2501" w:type="dxa"/>
            <w:tcBorders>
              <w:top w:val="single" w:sz="4" w:space="0" w:color="293F5B"/>
              <w:bottom w:val="single" w:sz="4" w:space="0" w:color="293F5B"/>
            </w:tcBorders>
          </w:tcPr>
          <w:p w14:paraId="5E3BAA1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1FA09B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05413B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4842F1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E0F4B4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BC7353D" w14:textId="77777777" w:rsidR="00BB2CB4" w:rsidRPr="00222C32" w:rsidRDefault="000674DA">
            <w:pPr>
              <w:pStyle w:val="MeasureTableYearHeadings"/>
              <w:keepNext/>
            </w:pPr>
            <w:r w:rsidRPr="00222C32">
              <w:t>2028-29</w:t>
            </w:r>
          </w:p>
        </w:tc>
      </w:tr>
      <w:tr w:rsidR="00BB2CB4" w:rsidRPr="00222C32" w14:paraId="16AF73AD" w14:textId="77777777" w:rsidTr="00825163">
        <w:trPr>
          <w:cantSplit/>
        </w:trPr>
        <w:tc>
          <w:tcPr>
            <w:tcW w:w="2501" w:type="dxa"/>
            <w:tcBorders>
              <w:top w:val="single" w:sz="4" w:space="0" w:color="293F5B"/>
            </w:tcBorders>
          </w:tcPr>
          <w:p w14:paraId="1FC3D1A5" w14:textId="77777777" w:rsidR="00BB2CB4" w:rsidRPr="00222C32" w:rsidRDefault="000674DA">
            <w:pPr>
              <w:pStyle w:val="MeasureTableHeadingleftalignedwith2ptsspacing"/>
              <w:keepNext/>
            </w:pPr>
            <w:r w:rsidRPr="00222C32">
              <w:t>Department of Employment and Workplace Relations</w:t>
            </w:r>
          </w:p>
        </w:tc>
        <w:tc>
          <w:tcPr>
            <w:tcW w:w="1044" w:type="dxa"/>
            <w:tcBorders>
              <w:top w:val="single" w:sz="4" w:space="0" w:color="293F5B"/>
            </w:tcBorders>
          </w:tcPr>
          <w:p w14:paraId="364E5C5E"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773A492D" w14:textId="77777777" w:rsidR="00BB2CB4" w:rsidRPr="00222C32" w:rsidRDefault="000674DA">
            <w:pPr>
              <w:pStyle w:val="MeasureTableDataRightAlignedwith2ptsspacing"/>
              <w:keepNext/>
            </w:pPr>
            <w:r w:rsidRPr="00222C32">
              <w:t>14.2</w:t>
            </w:r>
          </w:p>
        </w:tc>
        <w:tc>
          <w:tcPr>
            <w:tcW w:w="1044" w:type="dxa"/>
            <w:tcBorders>
              <w:top w:val="single" w:sz="4" w:space="0" w:color="293F5B"/>
            </w:tcBorders>
          </w:tcPr>
          <w:p w14:paraId="12164B0C" w14:textId="77777777" w:rsidR="00BB2CB4" w:rsidRPr="00222C32" w:rsidRDefault="000674DA">
            <w:pPr>
              <w:pStyle w:val="MeasureTableDataRightAlignedwith2ptsspacing"/>
              <w:keepNext/>
            </w:pPr>
            <w:r w:rsidRPr="00222C32">
              <w:t>14.0</w:t>
            </w:r>
          </w:p>
        </w:tc>
        <w:tc>
          <w:tcPr>
            <w:tcW w:w="1044" w:type="dxa"/>
            <w:tcBorders>
              <w:top w:val="single" w:sz="4" w:space="0" w:color="293F5B"/>
            </w:tcBorders>
          </w:tcPr>
          <w:p w14:paraId="7C49BD09" w14:textId="77777777" w:rsidR="00BB2CB4" w:rsidRPr="00222C32" w:rsidRDefault="000674DA">
            <w:pPr>
              <w:pStyle w:val="MeasureTableDataRightAlignedwith2ptsspacing"/>
              <w:keepNext/>
            </w:pPr>
            <w:r w:rsidRPr="00222C32">
              <w:t>0.3</w:t>
            </w:r>
          </w:p>
        </w:tc>
        <w:tc>
          <w:tcPr>
            <w:tcW w:w="1044" w:type="dxa"/>
            <w:tcBorders>
              <w:top w:val="single" w:sz="4" w:space="0" w:color="293F5B"/>
            </w:tcBorders>
          </w:tcPr>
          <w:p w14:paraId="33E5EC85" w14:textId="77777777" w:rsidR="00BB2CB4" w:rsidRPr="00222C32" w:rsidRDefault="000674DA">
            <w:pPr>
              <w:pStyle w:val="MeasureTableDataRightAlignedwith2ptsspacing"/>
              <w:keepNext/>
            </w:pPr>
            <w:r w:rsidRPr="00222C32">
              <w:t>-</w:t>
            </w:r>
          </w:p>
        </w:tc>
      </w:tr>
    </w:tbl>
    <w:p w14:paraId="0FD75CBF" w14:textId="77777777" w:rsidR="005E727A" w:rsidRDefault="005E727A" w:rsidP="005E727A">
      <w:pPr>
        <w:pStyle w:val="SingleParagraph"/>
      </w:pPr>
    </w:p>
    <w:p w14:paraId="5789D855" w14:textId="77777777" w:rsidR="00BB2CB4" w:rsidRDefault="000674DA">
      <w:pPr>
        <w:pStyle w:val="Normal2"/>
      </w:pPr>
      <w:r w:rsidRPr="69C11E82">
        <w:rPr>
          <w:lang w:val="en-US"/>
        </w:rPr>
        <w:t>The Government will provide $28.5 million over three years from 2025–‍26 to extend the Advancing Gender Equality in Gender Segregated Industries grant opportunity for an additional two years to 2028. This will support state and territory Trades and Labour Councils and peak employer organisations to continue to deliver initiatives to improve gender equality in gender segregated industries.</w:t>
      </w:r>
    </w:p>
    <w:p w14:paraId="5E3D23C5" w14:textId="77777777" w:rsidR="00BB2CB4" w:rsidRDefault="000674DA">
      <w:pPr>
        <w:pStyle w:val="Normal2"/>
      </w:pPr>
      <w:r w:rsidRPr="69C11E82">
        <w:rPr>
          <w:lang w:val="en-US"/>
        </w:rPr>
        <w:t>The cost of this measure will be met from savings identified in the Department of Employment and Workplace Relations.</w:t>
      </w:r>
    </w:p>
    <w:p w14:paraId="6A92362C" w14:textId="77777777" w:rsidR="00BB2CB4" w:rsidRDefault="000674DA">
      <w:pPr>
        <w:pStyle w:val="Normal2"/>
      </w:pPr>
      <w:r w:rsidRPr="69C11E82">
        <w:rPr>
          <w:lang w:val="en-US"/>
        </w:rPr>
        <w:t xml:space="preserve">This measure builds on the 2024–‍25 MYEFO measure titled </w:t>
      </w:r>
      <w:r w:rsidRPr="69C11E82">
        <w:rPr>
          <w:i/>
          <w:lang w:val="en-US"/>
        </w:rPr>
        <w:t>Workplace Relations – additional supports.</w:t>
      </w:r>
    </w:p>
    <w:p w14:paraId="06352E9F" w14:textId="77777777" w:rsidR="00BB2CB4" w:rsidRDefault="000674DA">
      <w:pPr>
        <w:pStyle w:val="MeasureTitle"/>
      </w:pPr>
      <w:r>
        <w:t>Assuring the Integrity of the Employment Services System</w:t>
      </w:r>
    </w:p>
    <w:p w14:paraId="414A4E2C"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43AF08" w14:textId="77777777" w:rsidTr="00461890">
        <w:trPr>
          <w:cantSplit/>
        </w:trPr>
        <w:tc>
          <w:tcPr>
            <w:tcW w:w="2501" w:type="dxa"/>
          </w:tcPr>
          <w:p w14:paraId="5AA5C19A" w14:textId="77777777" w:rsidR="00BB2CB4" w:rsidRPr="00222C32" w:rsidRDefault="00BB2CB4">
            <w:pPr>
              <w:pStyle w:val="MeasureTableYearHeadings"/>
              <w:keepNext/>
            </w:pPr>
          </w:p>
        </w:tc>
        <w:tc>
          <w:tcPr>
            <w:tcW w:w="1044" w:type="dxa"/>
          </w:tcPr>
          <w:p w14:paraId="2401260F" w14:textId="77777777" w:rsidR="00BB2CB4" w:rsidRPr="00222C32" w:rsidRDefault="000674DA">
            <w:pPr>
              <w:pStyle w:val="MeasureTableYearHeadings"/>
              <w:keepNext/>
            </w:pPr>
            <w:r w:rsidRPr="00222C32">
              <w:t>2024-25</w:t>
            </w:r>
          </w:p>
        </w:tc>
        <w:tc>
          <w:tcPr>
            <w:tcW w:w="1044" w:type="dxa"/>
          </w:tcPr>
          <w:p w14:paraId="5B1DE39E" w14:textId="77777777" w:rsidR="00BB2CB4" w:rsidRPr="00222C32" w:rsidRDefault="000674DA">
            <w:pPr>
              <w:pStyle w:val="MeasureTableYearHeadings"/>
              <w:keepNext/>
            </w:pPr>
            <w:r w:rsidRPr="00222C32">
              <w:t>2025-26</w:t>
            </w:r>
          </w:p>
        </w:tc>
        <w:tc>
          <w:tcPr>
            <w:tcW w:w="1044" w:type="dxa"/>
          </w:tcPr>
          <w:p w14:paraId="24B1F9E5" w14:textId="77777777" w:rsidR="00BB2CB4" w:rsidRPr="00222C32" w:rsidRDefault="000674DA">
            <w:pPr>
              <w:pStyle w:val="MeasureTableYearHeadings"/>
              <w:keepNext/>
            </w:pPr>
            <w:r w:rsidRPr="00222C32">
              <w:t>2026-27</w:t>
            </w:r>
          </w:p>
        </w:tc>
        <w:tc>
          <w:tcPr>
            <w:tcW w:w="1044" w:type="dxa"/>
          </w:tcPr>
          <w:p w14:paraId="5ACC8355" w14:textId="77777777" w:rsidR="00BB2CB4" w:rsidRPr="00222C32" w:rsidRDefault="000674DA">
            <w:pPr>
              <w:pStyle w:val="MeasureTableYearHeadings"/>
              <w:keepNext/>
            </w:pPr>
            <w:r w:rsidRPr="00222C32">
              <w:t>2027-28</w:t>
            </w:r>
          </w:p>
        </w:tc>
        <w:tc>
          <w:tcPr>
            <w:tcW w:w="1044" w:type="dxa"/>
          </w:tcPr>
          <w:p w14:paraId="72D7361B" w14:textId="77777777" w:rsidR="00BB2CB4" w:rsidRPr="00222C32" w:rsidRDefault="000674DA">
            <w:pPr>
              <w:pStyle w:val="MeasureTableYearHeadings"/>
              <w:keepNext/>
            </w:pPr>
            <w:r w:rsidRPr="00222C32">
              <w:t>2028-29</w:t>
            </w:r>
          </w:p>
        </w:tc>
      </w:tr>
      <w:tr w:rsidR="00BB2CB4" w:rsidRPr="00222C32" w14:paraId="05041F17" w14:textId="77777777" w:rsidTr="00461890">
        <w:trPr>
          <w:cantSplit/>
        </w:trPr>
        <w:tc>
          <w:tcPr>
            <w:tcW w:w="2501" w:type="dxa"/>
          </w:tcPr>
          <w:p w14:paraId="509E9E3F" w14:textId="77777777" w:rsidR="00BB2CB4" w:rsidRPr="00222C32" w:rsidRDefault="000674DA">
            <w:pPr>
              <w:pStyle w:val="MeasureTableHeadingleftalignedwith2ptsspacing"/>
              <w:keepNext/>
            </w:pPr>
            <w:r w:rsidRPr="00222C32">
              <w:t>Department of Employment and Workplace Relations</w:t>
            </w:r>
          </w:p>
        </w:tc>
        <w:tc>
          <w:tcPr>
            <w:tcW w:w="1044" w:type="dxa"/>
          </w:tcPr>
          <w:p w14:paraId="7029B6A4" w14:textId="77777777" w:rsidR="00BB2CB4" w:rsidRPr="00222C32" w:rsidRDefault="000674DA">
            <w:pPr>
              <w:pStyle w:val="MeasureTableDataRightAlignedwith2ptsspacing"/>
              <w:keepNext/>
            </w:pPr>
            <w:r w:rsidRPr="00222C32">
              <w:t>-</w:t>
            </w:r>
          </w:p>
        </w:tc>
        <w:tc>
          <w:tcPr>
            <w:tcW w:w="1044" w:type="dxa"/>
          </w:tcPr>
          <w:p w14:paraId="0B50B707" w14:textId="77777777" w:rsidR="00BB2CB4" w:rsidRPr="00222C32" w:rsidRDefault="000674DA">
            <w:pPr>
              <w:pStyle w:val="MeasureTableDataRightAlignedwith2ptsspacing"/>
              <w:keepNext/>
            </w:pPr>
            <w:r w:rsidRPr="00222C32">
              <w:t>4.3</w:t>
            </w:r>
          </w:p>
        </w:tc>
        <w:tc>
          <w:tcPr>
            <w:tcW w:w="1044" w:type="dxa"/>
          </w:tcPr>
          <w:p w14:paraId="328A4E5A" w14:textId="77777777" w:rsidR="00BB2CB4" w:rsidRPr="00222C32" w:rsidRDefault="000674DA">
            <w:pPr>
              <w:pStyle w:val="MeasureTableDataRightAlignedwith2ptsspacing"/>
              <w:keepNext/>
            </w:pPr>
            <w:r w:rsidRPr="00222C32">
              <w:t>19.0</w:t>
            </w:r>
          </w:p>
        </w:tc>
        <w:tc>
          <w:tcPr>
            <w:tcW w:w="1044" w:type="dxa"/>
          </w:tcPr>
          <w:p w14:paraId="7EEC9F1E" w14:textId="77777777" w:rsidR="00BB2CB4" w:rsidRPr="00222C32" w:rsidRDefault="000674DA">
            <w:pPr>
              <w:pStyle w:val="MeasureTableDataRightAlignedwith2ptsspacing"/>
              <w:keepNext/>
            </w:pPr>
            <w:r w:rsidRPr="00222C32">
              <w:t>-</w:t>
            </w:r>
          </w:p>
        </w:tc>
        <w:tc>
          <w:tcPr>
            <w:tcW w:w="1044" w:type="dxa"/>
          </w:tcPr>
          <w:p w14:paraId="56A14C97" w14:textId="77777777" w:rsidR="00BB2CB4" w:rsidRPr="00222C32" w:rsidRDefault="000674DA">
            <w:pPr>
              <w:pStyle w:val="MeasureTableDataRightAlignedwith2ptsspacing"/>
              <w:keepNext/>
            </w:pPr>
            <w:r w:rsidRPr="00222C32">
              <w:t>-</w:t>
            </w:r>
          </w:p>
        </w:tc>
      </w:tr>
      <w:tr w:rsidR="00BB2CB4" w:rsidRPr="00222C32" w14:paraId="38229F65" w14:textId="77777777" w:rsidTr="00825163">
        <w:trPr>
          <w:cantSplit/>
        </w:trPr>
        <w:tc>
          <w:tcPr>
            <w:tcW w:w="2501" w:type="dxa"/>
          </w:tcPr>
          <w:p w14:paraId="0A296DDB" w14:textId="77777777" w:rsidR="00BB2CB4" w:rsidRPr="00222C32" w:rsidRDefault="000674DA">
            <w:pPr>
              <w:pStyle w:val="MeasureTableHeadingleftalignedwith2ptsspacing"/>
              <w:keepNext/>
            </w:pPr>
            <w:r w:rsidRPr="00222C32">
              <w:t>Services Australia</w:t>
            </w:r>
          </w:p>
        </w:tc>
        <w:tc>
          <w:tcPr>
            <w:tcW w:w="1044" w:type="dxa"/>
          </w:tcPr>
          <w:p w14:paraId="72681C62" w14:textId="77777777" w:rsidR="00BB2CB4" w:rsidRPr="00222C32" w:rsidRDefault="000674DA">
            <w:pPr>
              <w:pStyle w:val="MeasureTableDataRightAlignedwith2ptsspacing"/>
              <w:keepNext/>
            </w:pPr>
            <w:r w:rsidRPr="00222C32">
              <w:t>-</w:t>
            </w:r>
          </w:p>
        </w:tc>
        <w:tc>
          <w:tcPr>
            <w:tcW w:w="1044" w:type="dxa"/>
          </w:tcPr>
          <w:p w14:paraId="1F15D3CA" w14:textId="77777777" w:rsidR="00BB2CB4" w:rsidRPr="00222C32" w:rsidRDefault="000674DA">
            <w:pPr>
              <w:pStyle w:val="MeasureTableDataRightAlignedwith2ptsspacing"/>
              <w:keepNext/>
            </w:pPr>
            <w:r w:rsidRPr="00222C32">
              <w:t>3.1</w:t>
            </w:r>
          </w:p>
        </w:tc>
        <w:tc>
          <w:tcPr>
            <w:tcW w:w="1044" w:type="dxa"/>
          </w:tcPr>
          <w:p w14:paraId="236AAD59" w14:textId="77777777" w:rsidR="00BB2CB4" w:rsidRPr="00222C32" w:rsidRDefault="000674DA">
            <w:pPr>
              <w:pStyle w:val="MeasureTableDataRightAlignedwith2ptsspacing"/>
              <w:keepNext/>
            </w:pPr>
            <w:r w:rsidRPr="00222C32">
              <w:t>15.5</w:t>
            </w:r>
          </w:p>
        </w:tc>
        <w:tc>
          <w:tcPr>
            <w:tcW w:w="1044" w:type="dxa"/>
          </w:tcPr>
          <w:p w14:paraId="4E88F551" w14:textId="77777777" w:rsidR="00BB2CB4" w:rsidRPr="00222C32" w:rsidRDefault="000674DA">
            <w:pPr>
              <w:pStyle w:val="MeasureTableDataRightAlignedwith2ptsspacing"/>
              <w:keepNext/>
            </w:pPr>
            <w:r w:rsidRPr="00222C32">
              <w:t>1.0</w:t>
            </w:r>
          </w:p>
        </w:tc>
        <w:tc>
          <w:tcPr>
            <w:tcW w:w="1044" w:type="dxa"/>
          </w:tcPr>
          <w:p w14:paraId="7737F0ED" w14:textId="77777777" w:rsidR="00BB2CB4" w:rsidRPr="00222C32" w:rsidRDefault="000674DA">
            <w:pPr>
              <w:pStyle w:val="MeasureTableDataRightAlignedwith2ptsspacing"/>
              <w:keepNext/>
            </w:pPr>
            <w:r w:rsidRPr="00222C32">
              <w:t>1.0</w:t>
            </w:r>
          </w:p>
        </w:tc>
      </w:tr>
      <w:tr w:rsidR="00BB2CB4" w:rsidRPr="00222C32" w14:paraId="57D7452D" w14:textId="77777777" w:rsidTr="00461890">
        <w:trPr>
          <w:cantSplit/>
        </w:trPr>
        <w:tc>
          <w:tcPr>
            <w:tcW w:w="2501" w:type="dxa"/>
          </w:tcPr>
          <w:p w14:paraId="2349C3BA" w14:textId="77777777" w:rsidR="00BB2CB4" w:rsidRPr="00222C32" w:rsidRDefault="000674DA">
            <w:pPr>
              <w:pStyle w:val="Totalrowleftaligned"/>
              <w:keepNext/>
            </w:pPr>
            <w:r w:rsidRPr="00222C32">
              <w:t>Total – Payments</w:t>
            </w:r>
          </w:p>
        </w:tc>
        <w:tc>
          <w:tcPr>
            <w:tcW w:w="1044" w:type="dxa"/>
          </w:tcPr>
          <w:p w14:paraId="5FE68ED6" w14:textId="77777777" w:rsidR="00BB2CB4" w:rsidRPr="00222C32" w:rsidRDefault="000674DA">
            <w:pPr>
              <w:pStyle w:val="Totaldatarowrightaligned"/>
              <w:keepNext/>
            </w:pPr>
            <w:r w:rsidRPr="00222C32">
              <w:t>-</w:t>
            </w:r>
          </w:p>
        </w:tc>
        <w:tc>
          <w:tcPr>
            <w:tcW w:w="1044" w:type="dxa"/>
          </w:tcPr>
          <w:p w14:paraId="2B028089" w14:textId="77777777" w:rsidR="00BB2CB4" w:rsidRPr="00222C32" w:rsidRDefault="000674DA">
            <w:pPr>
              <w:pStyle w:val="Totaldatarowrightaligned"/>
              <w:keepNext/>
            </w:pPr>
            <w:r w:rsidRPr="00222C32">
              <w:t>7.5</w:t>
            </w:r>
          </w:p>
        </w:tc>
        <w:tc>
          <w:tcPr>
            <w:tcW w:w="1044" w:type="dxa"/>
          </w:tcPr>
          <w:p w14:paraId="1A09C49D" w14:textId="77777777" w:rsidR="00BB2CB4" w:rsidRPr="00222C32" w:rsidRDefault="000674DA">
            <w:pPr>
              <w:pStyle w:val="Totaldatarowrightaligned"/>
              <w:keepNext/>
            </w:pPr>
            <w:r w:rsidRPr="00222C32">
              <w:t>34.5</w:t>
            </w:r>
          </w:p>
        </w:tc>
        <w:tc>
          <w:tcPr>
            <w:tcW w:w="1044" w:type="dxa"/>
          </w:tcPr>
          <w:p w14:paraId="03C88166" w14:textId="77777777" w:rsidR="00BB2CB4" w:rsidRPr="00222C32" w:rsidRDefault="000674DA">
            <w:pPr>
              <w:pStyle w:val="Totaldatarowrightaligned"/>
              <w:keepNext/>
            </w:pPr>
            <w:r w:rsidRPr="00222C32">
              <w:t>1.0</w:t>
            </w:r>
          </w:p>
        </w:tc>
        <w:tc>
          <w:tcPr>
            <w:tcW w:w="1044" w:type="dxa"/>
          </w:tcPr>
          <w:p w14:paraId="3E18C8AC" w14:textId="77777777" w:rsidR="00BB2CB4" w:rsidRPr="00222C32" w:rsidRDefault="000674DA">
            <w:pPr>
              <w:pStyle w:val="Totaldatarowrightaligned"/>
              <w:keepNext/>
            </w:pPr>
            <w:r w:rsidRPr="00222C32">
              <w:t>1.0</w:t>
            </w:r>
          </w:p>
        </w:tc>
      </w:tr>
    </w:tbl>
    <w:p w14:paraId="242EC87B" w14:textId="77777777" w:rsidR="005E727A" w:rsidRDefault="005E727A" w:rsidP="005E727A">
      <w:pPr>
        <w:pStyle w:val="SingleParagraph"/>
      </w:pPr>
    </w:p>
    <w:p w14:paraId="3BA13DA2" w14:textId="77777777" w:rsidR="00BB2CB4" w:rsidRDefault="000674DA">
      <w:pPr>
        <w:pStyle w:val="Normal2"/>
      </w:pPr>
      <w:r>
        <w:t>The Government will provide $43.9 million over four years from 2025–‍26 (and $1.0 million per year ongoing) to further assure the integrity of processes supporting mutual obligation requirements, support returning the Targeted Compliance Framework to lawful administration and provide targeted compensation through the Scheme for Compensation for Detriment caused by Defective Administration to people impacted by payment cancellation decisions which were not aligned with social security law.</w:t>
      </w:r>
    </w:p>
    <w:p w14:paraId="33C654C8" w14:textId="77777777" w:rsidR="00BB2CB4" w:rsidRDefault="000674DA">
      <w:pPr>
        <w:pStyle w:val="Normal2"/>
      </w:pPr>
      <w:r w:rsidRPr="69C11E82">
        <w:rPr>
          <w:lang w:val="en-US"/>
        </w:rPr>
        <w:t xml:space="preserve">This measure builds on the 2024–‍25 MYEFO measure titled </w:t>
      </w:r>
      <w:r w:rsidRPr="69C11E82">
        <w:rPr>
          <w:i/>
          <w:lang w:val="en-US"/>
        </w:rPr>
        <w:t>Employment Services Reform – additional supports</w:t>
      </w:r>
      <w:r w:rsidRPr="69C11E82">
        <w:rPr>
          <w:lang w:val="en-US"/>
        </w:rPr>
        <w:t>.</w:t>
      </w:r>
    </w:p>
    <w:p w14:paraId="5AAF49D5" w14:textId="6D8A45C8" w:rsidR="00BB2CB4" w:rsidRDefault="000674DA">
      <w:pPr>
        <w:pStyle w:val="MeasureTitle"/>
      </w:pPr>
      <w:r>
        <w:lastRenderedPageBreak/>
        <w:t>Building Australia</w:t>
      </w:r>
      <w:r w:rsidR="00222C32">
        <w:t>’</w:t>
      </w:r>
      <w:r>
        <w:t>s Future – delivering priority housing and energy sector</w:t>
      </w:r>
      <w:r w:rsidR="00EE14F6">
        <w:t> </w:t>
      </w:r>
      <w:r>
        <w:t>training</w:t>
      </w:r>
    </w:p>
    <w:p w14:paraId="11B04DA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1E9E76" w14:textId="77777777" w:rsidTr="00825163">
        <w:tc>
          <w:tcPr>
            <w:tcW w:w="2501" w:type="dxa"/>
            <w:tcBorders>
              <w:top w:val="single" w:sz="4" w:space="0" w:color="293F5B"/>
              <w:bottom w:val="single" w:sz="4" w:space="0" w:color="293F5B"/>
            </w:tcBorders>
          </w:tcPr>
          <w:p w14:paraId="33A0521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87931D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C78D80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304216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081D08B"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F2A4ED1" w14:textId="77777777" w:rsidR="00BB2CB4" w:rsidRPr="00222C32" w:rsidRDefault="000674DA">
            <w:pPr>
              <w:pStyle w:val="MeasureTableYearHeadings"/>
              <w:keepNext/>
            </w:pPr>
            <w:r w:rsidRPr="00222C32">
              <w:t>2028-29</w:t>
            </w:r>
          </w:p>
        </w:tc>
      </w:tr>
      <w:tr w:rsidR="00BB2CB4" w:rsidRPr="00222C32" w14:paraId="78198457" w14:textId="77777777" w:rsidTr="00825163">
        <w:tc>
          <w:tcPr>
            <w:tcW w:w="2501" w:type="dxa"/>
            <w:tcBorders>
              <w:top w:val="single" w:sz="4" w:space="0" w:color="293F5B"/>
              <w:bottom w:val="single" w:sz="4" w:space="0" w:color="293F5B"/>
            </w:tcBorders>
          </w:tcPr>
          <w:p w14:paraId="42B1FC7E"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41304FA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56BB5DE" w14:textId="77777777" w:rsidR="00BB2CB4" w:rsidRPr="00222C32" w:rsidRDefault="000674DA">
            <w:pPr>
              <w:pStyle w:val="MeasureTableDataRightAlignedwith2ptsspacing"/>
              <w:keepNext/>
            </w:pPr>
            <w:r w:rsidRPr="00222C32">
              <w:t>22.0</w:t>
            </w:r>
          </w:p>
        </w:tc>
        <w:tc>
          <w:tcPr>
            <w:tcW w:w="1044" w:type="dxa"/>
            <w:tcBorders>
              <w:top w:val="single" w:sz="4" w:space="0" w:color="293F5B"/>
              <w:bottom w:val="single" w:sz="4" w:space="0" w:color="293F5B"/>
            </w:tcBorders>
          </w:tcPr>
          <w:p w14:paraId="402CF272" w14:textId="77777777" w:rsidR="00BB2CB4" w:rsidRPr="00222C32" w:rsidRDefault="000674DA">
            <w:pPr>
              <w:pStyle w:val="MeasureTableDataRightAlignedwith2ptsspacing"/>
              <w:keepNext/>
            </w:pPr>
            <w:r w:rsidRPr="00222C32">
              <w:t>36.5</w:t>
            </w:r>
          </w:p>
        </w:tc>
        <w:tc>
          <w:tcPr>
            <w:tcW w:w="1044" w:type="dxa"/>
            <w:tcBorders>
              <w:top w:val="single" w:sz="4" w:space="0" w:color="293F5B"/>
              <w:bottom w:val="single" w:sz="4" w:space="0" w:color="293F5B"/>
            </w:tcBorders>
          </w:tcPr>
          <w:p w14:paraId="175DCF5E" w14:textId="77777777" w:rsidR="00BB2CB4" w:rsidRPr="00222C32" w:rsidRDefault="000674DA">
            <w:pPr>
              <w:pStyle w:val="MeasureTableDataRightAlignedwith2ptsspacing"/>
              <w:keepNext/>
            </w:pPr>
            <w:r w:rsidRPr="00222C32">
              <w:t>24.5</w:t>
            </w:r>
          </w:p>
        </w:tc>
        <w:tc>
          <w:tcPr>
            <w:tcW w:w="1044" w:type="dxa"/>
            <w:tcBorders>
              <w:top w:val="single" w:sz="4" w:space="0" w:color="293F5B"/>
              <w:bottom w:val="single" w:sz="4" w:space="0" w:color="293F5B"/>
            </w:tcBorders>
          </w:tcPr>
          <w:p w14:paraId="04E8F55C" w14:textId="77777777" w:rsidR="00BB2CB4" w:rsidRPr="00222C32" w:rsidRDefault="000674DA">
            <w:pPr>
              <w:pStyle w:val="MeasureTableDataRightAlignedwith2ptsspacing"/>
              <w:keepNext/>
            </w:pPr>
            <w:r w:rsidRPr="00222C32">
              <w:t>-</w:t>
            </w:r>
          </w:p>
        </w:tc>
      </w:tr>
      <w:tr w:rsidR="00BB2CB4" w:rsidRPr="00222C32" w14:paraId="18BE3311" w14:textId="77777777" w:rsidTr="00825163">
        <w:tc>
          <w:tcPr>
            <w:tcW w:w="2501" w:type="dxa"/>
            <w:tcBorders>
              <w:top w:val="single" w:sz="4" w:space="0" w:color="293F5B"/>
              <w:bottom w:val="single" w:sz="4" w:space="0" w:color="293F5B"/>
            </w:tcBorders>
          </w:tcPr>
          <w:p w14:paraId="05F6E71C" w14:textId="77777777" w:rsidR="00BB2CB4" w:rsidRPr="00222C32" w:rsidRDefault="000674DA">
            <w:pPr>
              <w:pStyle w:val="MeasureTableHeadingleftalignedwith2ptsspacing"/>
              <w:keepNext/>
            </w:pPr>
            <w:r w:rsidRPr="00222C32">
              <w:t>Department of Employment and Workplace Relations</w:t>
            </w:r>
          </w:p>
        </w:tc>
        <w:tc>
          <w:tcPr>
            <w:tcW w:w="1044" w:type="dxa"/>
            <w:tcBorders>
              <w:top w:val="single" w:sz="4" w:space="0" w:color="293F5B"/>
              <w:bottom w:val="single" w:sz="4" w:space="0" w:color="293F5B"/>
            </w:tcBorders>
          </w:tcPr>
          <w:p w14:paraId="6C0CC70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13D5288" w14:textId="77777777" w:rsidR="00BB2CB4" w:rsidRPr="00222C32" w:rsidRDefault="000674DA">
            <w:pPr>
              <w:pStyle w:val="MeasureTableDataRightAlignedwith2ptsspacing"/>
              <w:keepNext/>
            </w:pPr>
            <w:r w:rsidRPr="00222C32">
              <w:t>1.3</w:t>
            </w:r>
          </w:p>
        </w:tc>
        <w:tc>
          <w:tcPr>
            <w:tcW w:w="1044" w:type="dxa"/>
            <w:tcBorders>
              <w:top w:val="single" w:sz="4" w:space="0" w:color="293F5B"/>
              <w:bottom w:val="single" w:sz="4" w:space="0" w:color="293F5B"/>
            </w:tcBorders>
          </w:tcPr>
          <w:p w14:paraId="6893FB5A" w14:textId="77777777" w:rsidR="00BB2CB4" w:rsidRPr="00222C32" w:rsidRDefault="000674DA">
            <w:pPr>
              <w:pStyle w:val="MeasureTableDataRightAlignedwith2ptsspacing"/>
              <w:keepNext/>
            </w:pPr>
            <w:r w:rsidRPr="00222C32">
              <w:t>22.5</w:t>
            </w:r>
          </w:p>
        </w:tc>
        <w:tc>
          <w:tcPr>
            <w:tcW w:w="1044" w:type="dxa"/>
            <w:tcBorders>
              <w:top w:val="single" w:sz="4" w:space="0" w:color="293F5B"/>
              <w:bottom w:val="single" w:sz="4" w:space="0" w:color="293F5B"/>
            </w:tcBorders>
          </w:tcPr>
          <w:p w14:paraId="101EA4A2" w14:textId="77777777" w:rsidR="00BB2CB4" w:rsidRPr="00222C32" w:rsidRDefault="000674DA">
            <w:pPr>
              <w:pStyle w:val="MeasureTableDataRightAlignedwith2ptsspacing"/>
              <w:keepNext/>
            </w:pPr>
            <w:r w:rsidRPr="00222C32">
              <w:t>-22.9</w:t>
            </w:r>
          </w:p>
        </w:tc>
        <w:tc>
          <w:tcPr>
            <w:tcW w:w="1044" w:type="dxa"/>
            <w:tcBorders>
              <w:top w:val="single" w:sz="4" w:space="0" w:color="293F5B"/>
              <w:bottom w:val="single" w:sz="4" w:space="0" w:color="293F5B"/>
            </w:tcBorders>
          </w:tcPr>
          <w:p w14:paraId="029E94C6" w14:textId="77777777" w:rsidR="00BB2CB4" w:rsidRPr="00222C32" w:rsidRDefault="000674DA">
            <w:pPr>
              <w:pStyle w:val="MeasureTableDataRightAlignedwith2ptsspacing"/>
              <w:keepNext/>
            </w:pPr>
            <w:r w:rsidRPr="00222C32">
              <w:t>-1.7</w:t>
            </w:r>
          </w:p>
        </w:tc>
      </w:tr>
      <w:tr w:rsidR="00BB2CB4" w:rsidRPr="00222C32" w14:paraId="04E49639" w14:textId="77777777" w:rsidTr="00825163">
        <w:tc>
          <w:tcPr>
            <w:tcW w:w="2501" w:type="dxa"/>
            <w:tcBorders>
              <w:top w:val="single" w:sz="4" w:space="0" w:color="293F5B"/>
              <w:bottom w:val="single" w:sz="4" w:space="0" w:color="293F5B"/>
            </w:tcBorders>
          </w:tcPr>
          <w:p w14:paraId="53B9E36D"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1D56ABA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1051F4F" w14:textId="77777777" w:rsidR="00BB2CB4" w:rsidRPr="00222C32" w:rsidRDefault="000674DA">
            <w:pPr>
              <w:pStyle w:val="Totaldatarowrightaligned"/>
              <w:keepNext/>
            </w:pPr>
            <w:r w:rsidRPr="00222C32">
              <w:t>23.3</w:t>
            </w:r>
          </w:p>
        </w:tc>
        <w:tc>
          <w:tcPr>
            <w:tcW w:w="1044" w:type="dxa"/>
            <w:tcBorders>
              <w:top w:val="single" w:sz="4" w:space="0" w:color="293F5B"/>
              <w:bottom w:val="single" w:sz="4" w:space="0" w:color="293F5B"/>
            </w:tcBorders>
          </w:tcPr>
          <w:p w14:paraId="5C8EDF28" w14:textId="77777777" w:rsidR="00BB2CB4" w:rsidRPr="00222C32" w:rsidRDefault="000674DA">
            <w:pPr>
              <w:pStyle w:val="Totaldatarowrightaligned"/>
              <w:keepNext/>
            </w:pPr>
            <w:r w:rsidRPr="00222C32">
              <w:t>59.0</w:t>
            </w:r>
          </w:p>
        </w:tc>
        <w:tc>
          <w:tcPr>
            <w:tcW w:w="1044" w:type="dxa"/>
            <w:tcBorders>
              <w:top w:val="single" w:sz="4" w:space="0" w:color="293F5B"/>
              <w:bottom w:val="single" w:sz="4" w:space="0" w:color="293F5B"/>
            </w:tcBorders>
          </w:tcPr>
          <w:p w14:paraId="7013E9FB" w14:textId="77777777" w:rsidR="00BB2CB4" w:rsidRPr="00222C32" w:rsidRDefault="000674DA">
            <w:pPr>
              <w:pStyle w:val="Totaldatarowrightaligned"/>
              <w:keepNext/>
            </w:pPr>
            <w:r w:rsidRPr="00222C32">
              <w:t>1.6</w:t>
            </w:r>
          </w:p>
        </w:tc>
        <w:tc>
          <w:tcPr>
            <w:tcW w:w="1044" w:type="dxa"/>
            <w:tcBorders>
              <w:top w:val="single" w:sz="4" w:space="0" w:color="293F5B"/>
              <w:bottom w:val="single" w:sz="4" w:space="0" w:color="293F5B"/>
            </w:tcBorders>
          </w:tcPr>
          <w:p w14:paraId="470423F7" w14:textId="77777777" w:rsidR="00BB2CB4" w:rsidRPr="00222C32" w:rsidRDefault="000674DA">
            <w:pPr>
              <w:pStyle w:val="Totaldatarowrightaligned"/>
              <w:keepNext/>
            </w:pPr>
            <w:r w:rsidRPr="00222C32">
              <w:t>-1.7</w:t>
            </w:r>
          </w:p>
        </w:tc>
      </w:tr>
      <w:tr w:rsidR="00BB2CB4" w:rsidRPr="00222C32" w14:paraId="68E247B0" w14:textId="77777777" w:rsidTr="00825163">
        <w:tc>
          <w:tcPr>
            <w:tcW w:w="2501" w:type="dxa"/>
            <w:tcBorders>
              <w:top w:val="single" w:sz="4" w:space="0" w:color="293F5B"/>
            </w:tcBorders>
          </w:tcPr>
          <w:p w14:paraId="5063B3DD" w14:textId="77777777" w:rsidR="00BB2CB4" w:rsidRPr="00222C32" w:rsidRDefault="000674DA">
            <w:pPr>
              <w:pStyle w:val="AgencyName"/>
              <w:keepNext/>
            </w:pPr>
            <w:r w:rsidRPr="00222C32">
              <w:t>Related receipts ($m)</w:t>
            </w:r>
          </w:p>
        </w:tc>
        <w:tc>
          <w:tcPr>
            <w:tcW w:w="1044" w:type="dxa"/>
            <w:tcBorders>
              <w:top w:val="single" w:sz="4" w:space="0" w:color="293F5B"/>
            </w:tcBorders>
          </w:tcPr>
          <w:p w14:paraId="1BF8171B" w14:textId="77777777" w:rsidR="00BB2CB4" w:rsidRPr="00222C32" w:rsidRDefault="00BB2CB4">
            <w:pPr>
              <w:pStyle w:val="AgencyName"/>
              <w:keepNext/>
            </w:pPr>
          </w:p>
        </w:tc>
        <w:tc>
          <w:tcPr>
            <w:tcW w:w="1044" w:type="dxa"/>
            <w:tcBorders>
              <w:top w:val="single" w:sz="4" w:space="0" w:color="293F5B"/>
            </w:tcBorders>
          </w:tcPr>
          <w:p w14:paraId="179B16EA" w14:textId="77777777" w:rsidR="00BB2CB4" w:rsidRPr="00222C32" w:rsidRDefault="00BB2CB4">
            <w:pPr>
              <w:pStyle w:val="AgencyName"/>
              <w:keepNext/>
            </w:pPr>
          </w:p>
        </w:tc>
        <w:tc>
          <w:tcPr>
            <w:tcW w:w="1044" w:type="dxa"/>
            <w:tcBorders>
              <w:top w:val="single" w:sz="4" w:space="0" w:color="293F5B"/>
            </w:tcBorders>
          </w:tcPr>
          <w:p w14:paraId="33CADA03" w14:textId="77777777" w:rsidR="00BB2CB4" w:rsidRPr="00222C32" w:rsidRDefault="00BB2CB4">
            <w:pPr>
              <w:pStyle w:val="AgencyName"/>
              <w:keepNext/>
            </w:pPr>
          </w:p>
        </w:tc>
        <w:tc>
          <w:tcPr>
            <w:tcW w:w="1044" w:type="dxa"/>
            <w:tcBorders>
              <w:top w:val="single" w:sz="4" w:space="0" w:color="293F5B"/>
            </w:tcBorders>
          </w:tcPr>
          <w:p w14:paraId="081A781D" w14:textId="77777777" w:rsidR="00BB2CB4" w:rsidRPr="00222C32" w:rsidRDefault="00BB2CB4">
            <w:pPr>
              <w:pStyle w:val="AgencyName"/>
              <w:keepNext/>
            </w:pPr>
          </w:p>
        </w:tc>
        <w:tc>
          <w:tcPr>
            <w:tcW w:w="1044" w:type="dxa"/>
            <w:tcBorders>
              <w:top w:val="single" w:sz="4" w:space="0" w:color="293F5B"/>
            </w:tcBorders>
          </w:tcPr>
          <w:p w14:paraId="7A7EADE6" w14:textId="77777777" w:rsidR="00BB2CB4" w:rsidRPr="00222C32" w:rsidRDefault="00BB2CB4">
            <w:pPr>
              <w:pStyle w:val="AgencyName"/>
              <w:keepNext/>
            </w:pPr>
          </w:p>
        </w:tc>
      </w:tr>
      <w:tr w:rsidR="00BB2CB4" w:rsidRPr="00222C32" w14:paraId="3A2D6FEF" w14:textId="77777777" w:rsidTr="00825163">
        <w:tc>
          <w:tcPr>
            <w:tcW w:w="2501" w:type="dxa"/>
            <w:tcBorders>
              <w:bottom w:val="single" w:sz="4" w:space="0" w:color="293F5B"/>
            </w:tcBorders>
          </w:tcPr>
          <w:p w14:paraId="4BE523F2" w14:textId="77777777" w:rsidR="00BB2CB4" w:rsidRPr="00222C32" w:rsidRDefault="000674DA">
            <w:pPr>
              <w:pStyle w:val="AgencyNamewith2ptsspacing"/>
              <w:keepNext/>
            </w:pPr>
            <w:r w:rsidRPr="00222C32">
              <w:t>Department of Employment and Workplace Relations</w:t>
            </w:r>
          </w:p>
        </w:tc>
        <w:tc>
          <w:tcPr>
            <w:tcW w:w="1044" w:type="dxa"/>
            <w:tcBorders>
              <w:bottom w:val="single" w:sz="4" w:space="0" w:color="293F5B"/>
            </w:tcBorders>
          </w:tcPr>
          <w:p w14:paraId="30A0E22B"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27114AA3"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5D691FD6"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24F73FAB"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3C523E51" w14:textId="77777777" w:rsidR="00BB2CB4" w:rsidRPr="00222C32" w:rsidRDefault="000674DA">
            <w:pPr>
              <w:pStyle w:val="Measuretabledatarightaligneditalics"/>
              <w:keepNext/>
            </w:pPr>
            <w:r w:rsidRPr="00222C32">
              <w:t>..</w:t>
            </w:r>
          </w:p>
        </w:tc>
      </w:tr>
    </w:tbl>
    <w:p w14:paraId="49776E65" w14:textId="77777777" w:rsidR="005E727A" w:rsidRDefault="005E727A" w:rsidP="005E727A">
      <w:pPr>
        <w:pStyle w:val="SingleParagraph"/>
      </w:pPr>
    </w:p>
    <w:p w14:paraId="3E3F1979" w14:textId="77777777" w:rsidR="00BB2CB4" w:rsidRDefault="000674DA">
      <w:pPr>
        <w:pStyle w:val="Normal2"/>
      </w:pPr>
      <w:r>
        <w:t>The Government will provide $98.0 million over three years from 2025–‍26 to provide further support for training of skilled workers in the priority housing and new energy sectors in partnership with state and territory governments. Funding includes:</w:t>
      </w:r>
    </w:p>
    <w:p w14:paraId="15C117B1" w14:textId="77777777" w:rsidR="00BB2CB4" w:rsidRDefault="000674DA">
      <w:pPr>
        <w:pStyle w:val="Bullet"/>
      </w:pPr>
      <w:r>
        <w:t>$78.0 million over three years from 2025–‍26 to establish a national Advanced Entry Trades Training program to fast track qualifications of experienced trades people to help build more homes across Australia</w:t>
      </w:r>
    </w:p>
    <w:p w14:paraId="2BB6A7E3" w14:textId="77777777" w:rsidR="00BB2CB4" w:rsidRDefault="000674DA">
      <w:pPr>
        <w:pStyle w:val="Bullet"/>
      </w:pPr>
      <w:r>
        <w:t>$20.0 million over three years from 2025–‍26 to establish a National Training Centre in New Energy Skills to deliver specialised training to trades people and apprentices in priority new energy occupations, which will be partially offset by redirecting $15.0 million of uncommitted funding from the Clean Energy Capital Investment Fund.</w:t>
      </w:r>
    </w:p>
    <w:p w14:paraId="195366FD" w14:textId="5DB3630A" w:rsidR="00BB2CB4" w:rsidRDefault="000674DA">
      <w:pPr>
        <w:pStyle w:val="Normal2"/>
      </w:pPr>
      <w:r>
        <w:t xml:space="preserve">The Government will also adjust the Australian Apprenticeships Incentive System to target support to apprenticeships in Key Apprenticeship </w:t>
      </w:r>
      <w:r w:rsidR="008C370F">
        <w:t>p</w:t>
      </w:r>
      <w:r>
        <w:t>rogram occupations including new energy and housing construction. This will achieve savings of $0.8 million over four years from 2025–‍26, which will be redirected to partially offset other Government priorities in the Employment and Workplace Relations portfolio.</w:t>
      </w:r>
    </w:p>
    <w:p w14:paraId="2FA2C23E" w14:textId="77777777" w:rsidR="00BB2CB4" w:rsidRDefault="000674DA">
      <w:pPr>
        <w:pStyle w:val="Normal2"/>
      </w:pPr>
      <w:r>
        <w:t>The Treasury manages Commonwealth payments to the states and territories.</w:t>
      </w:r>
    </w:p>
    <w:p w14:paraId="12027F32" w14:textId="25F4C7E1" w:rsidR="00BB2CB4" w:rsidRDefault="000674DA">
      <w:pPr>
        <w:pStyle w:val="Normal2"/>
      </w:pPr>
      <w:r w:rsidRPr="69C11E82">
        <w:rPr>
          <w:lang w:val="en-US"/>
        </w:rPr>
        <w:t>Parts of this measure deliver on the Government</w:t>
      </w:r>
      <w:r w:rsidR="00222C32" w:rsidRPr="69C11E82">
        <w:rPr>
          <w:lang w:val="en-US"/>
        </w:rPr>
        <w:t>’</w:t>
      </w:r>
      <w:r w:rsidRPr="69C11E82">
        <w:rPr>
          <w:lang w:val="en-US"/>
        </w:rPr>
        <w:t>s election commitments made during the 2025</w:t>
      </w:r>
      <w:r w:rsidR="00C66B6B">
        <w:rPr>
          <w:lang w:val="en-US"/>
        </w:rPr>
        <w:t> federal</w:t>
      </w:r>
      <w:r w:rsidRPr="69C11E82">
        <w:rPr>
          <w:lang w:val="en-US"/>
        </w:rPr>
        <w:t xml:space="preserve"> election, and build on the 2025–‍26 Budget measure titled </w:t>
      </w:r>
      <w:r w:rsidRPr="69C11E82">
        <w:rPr>
          <w:i/>
          <w:lang w:val="en-US"/>
        </w:rPr>
        <w:t>Building Australia</w:t>
      </w:r>
      <w:r w:rsidR="00222C32" w:rsidRPr="69C11E82">
        <w:rPr>
          <w:i/>
          <w:lang w:val="en-US"/>
        </w:rPr>
        <w:t>’</w:t>
      </w:r>
      <w:r w:rsidRPr="69C11E82">
        <w:rPr>
          <w:i/>
          <w:lang w:val="en-US"/>
        </w:rPr>
        <w:t>s Future – Increased Support for Apprentices</w:t>
      </w:r>
      <w:r w:rsidRPr="69C11E82">
        <w:rPr>
          <w:lang w:val="en-US"/>
        </w:rPr>
        <w:t>.</w:t>
      </w:r>
    </w:p>
    <w:p w14:paraId="04D65D43" w14:textId="5005B6D3" w:rsidR="00BB2CB4" w:rsidRDefault="000674DA">
      <w:pPr>
        <w:pStyle w:val="MeasureTitle"/>
      </w:pPr>
      <w:r>
        <w:t>Delivering Place‑based Employment Services</w:t>
      </w:r>
    </w:p>
    <w:p w14:paraId="2EC47A61" w14:textId="77777777" w:rsidR="00BB2CB4" w:rsidRDefault="000674DA">
      <w:pPr>
        <w:pStyle w:val="MeasureTableHeading"/>
      </w:pPr>
      <w:r>
        <w:t>Payments ($m)</w:t>
      </w:r>
    </w:p>
    <w:tbl>
      <w:tblPr>
        <w:tblOverlap w:val="never"/>
        <w:tblW w:w="5000" w:type="pct"/>
        <w:tblBorders>
          <w:top w:val="single" w:sz="4" w:space="0" w:color="000000"/>
          <w:bottom w:val="single" w:sz="4" w:space="0" w:color="293F5B"/>
          <w:insideH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AFF9A52" w14:textId="77777777" w:rsidTr="00825163">
        <w:trPr>
          <w:cantSplit/>
        </w:trPr>
        <w:tc>
          <w:tcPr>
            <w:tcW w:w="2501" w:type="dxa"/>
            <w:tcBorders>
              <w:top w:val="single" w:sz="4" w:space="0" w:color="293F5B"/>
              <w:bottom w:val="single" w:sz="4" w:space="0" w:color="293F5B"/>
            </w:tcBorders>
          </w:tcPr>
          <w:p w14:paraId="4297A71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EF10A1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01E240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F58CF12"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D0CDE0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1AE6904" w14:textId="77777777" w:rsidR="00BB2CB4" w:rsidRPr="00222C32" w:rsidRDefault="000674DA">
            <w:pPr>
              <w:pStyle w:val="MeasureTableYearHeadings"/>
              <w:keepNext/>
            </w:pPr>
            <w:r w:rsidRPr="00222C32">
              <w:t>2028-29</w:t>
            </w:r>
          </w:p>
        </w:tc>
      </w:tr>
      <w:tr w:rsidR="00BB2CB4" w:rsidRPr="00222C32" w14:paraId="340E0D7C" w14:textId="77777777" w:rsidTr="00825163">
        <w:trPr>
          <w:cantSplit/>
        </w:trPr>
        <w:tc>
          <w:tcPr>
            <w:tcW w:w="2501" w:type="dxa"/>
            <w:tcBorders>
              <w:top w:val="single" w:sz="4" w:space="0" w:color="293F5B"/>
            </w:tcBorders>
          </w:tcPr>
          <w:p w14:paraId="0ACFE36E"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tcBorders>
          </w:tcPr>
          <w:p w14:paraId="6454A9CE"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1F03428B" w14:textId="77777777" w:rsidR="00BB2CB4" w:rsidRPr="00222C32" w:rsidRDefault="000674DA">
            <w:pPr>
              <w:pStyle w:val="MeasureTableDataRightAlignedwith2ptsspacing"/>
              <w:keepNext/>
            </w:pPr>
            <w:r w:rsidRPr="00222C32">
              <w:t>1.4</w:t>
            </w:r>
          </w:p>
        </w:tc>
        <w:tc>
          <w:tcPr>
            <w:tcW w:w="1044" w:type="dxa"/>
            <w:tcBorders>
              <w:top w:val="single" w:sz="4" w:space="0" w:color="293F5B"/>
            </w:tcBorders>
          </w:tcPr>
          <w:p w14:paraId="5B1C87E4" w14:textId="77777777" w:rsidR="00BB2CB4" w:rsidRPr="00222C32" w:rsidRDefault="000674DA">
            <w:pPr>
              <w:pStyle w:val="MeasureTableDataRightAlignedwith2ptsspacing"/>
              <w:keepNext/>
            </w:pPr>
            <w:r w:rsidRPr="00222C32">
              <w:t>1.0</w:t>
            </w:r>
          </w:p>
        </w:tc>
        <w:tc>
          <w:tcPr>
            <w:tcW w:w="1044" w:type="dxa"/>
            <w:tcBorders>
              <w:top w:val="single" w:sz="4" w:space="0" w:color="293F5B"/>
            </w:tcBorders>
          </w:tcPr>
          <w:p w14:paraId="709614E9" w14:textId="77777777" w:rsidR="00BB2CB4" w:rsidRPr="00222C32" w:rsidRDefault="000674DA">
            <w:pPr>
              <w:pStyle w:val="MeasureTableDataRightAlignedwith2ptsspacing"/>
              <w:keepNext/>
            </w:pPr>
            <w:r w:rsidRPr="00222C32">
              <w:t>0.2</w:t>
            </w:r>
          </w:p>
        </w:tc>
        <w:tc>
          <w:tcPr>
            <w:tcW w:w="1044" w:type="dxa"/>
            <w:tcBorders>
              <w:top w:val="single" w:sz="4" w:space="0" w:color="293F5B"/>
            </w:tcBorders>
          </w:tcPr>
          <w:p w14:paraId="48AD1BBD" w14:textId="77777777" w:rsidR="00BB2CB4" w:rsidRPr="00222C32" w:rsidRDefault="000674DA">
            <w:pPr>
              <w:pStyle w:val="MeasureTableDataRightAlignedwith2ptsspacing"/>
              <w:keepNext/>
            </w:pPr>
            <w:r w:rsidRPr="00222C32">
              <w:t>-</w:t>
            </w:r>
          </w:p>
        </w:tc>
      </w:tr>
    </w:tbl>
    <w:p w14:paraId="273BF5DE" w14:textId="77777777" w:rsidR="00F30B3E" w:rsidRDefault="00F30B3E" w:rsidP="00F30B3E">
      <w:pPr>
        <w:pStyle w:val="SingleParagraph"/>
      </w:pPr>
    </w:p>
    <w:p w14:paraId="0DFFCA23" w14:textId="77777777" w:rsidR="00BB2CB4" w:rsidRDefault="000674DA">
      <w:pPr>
        <w:pStyle w:val="Normal2"/>
      </w:pPr>
      <w:r w:rsidRPr="69C11E82">
        <w:rPr>
          <w:lang w:val="en-US"/>
        </w:rPr>
        <w:t>The Government will provide $2.5 million over three years from 2025–‍26 for the delivery of employment hubs in Victoria to connect local employers, job seekers and communities. Funding includes:</w:t>
      </w:r>
    </w:p>
    <w:p w14:paraId="28FA55C4" w14:textId="77777777" w:rsidR="00BB2CB4" w:rsidRDefault="000674DA">
      <w:pPr>
        <w:pStyle w:val="Bullet"/>
      </w:pPr>
      <w:r>
        <w:t>$1.5 million over three years from 2025–‍26 to establish an employment hub in Dandenong</w:t>
      </w:r>
    </w:p>
    <w:p w14:paraId="26B90AC2" w14:textId="77777777" w:rsidR="00BB2CB4" w:rsidRDefault="000674DA">
      <w:pPr>
        <w:pStyle w:val="Bullet"/>
      </w:pPr>
      <w:r>
        <w:lastRenderedPageBreak/>
        <w:t>$1.0 million over two years from 2025–‍26 to extend the Thrive Employment Hubs in Broadmeadows and Frankston, to be delivered as a joint initiative with the Victorian Government.</w:t>
      </w:r>
    </w:p>
    <w:p w14:paraId="23DE840D" w14:textId="77777777" w:rsidR="00BB2CB4" w:rsidRDefault="000674DA">
      <w:pPr>
        <w:pStyle w:val="Normal2"/>
      </w:pPr>
      <w:r>
        <w:t>The Treasury manages Commonwealth payments to the states and territories.</w:t>
      </w:r>
    </w:p>
    <w:p w14:paraId="2A7CBCD1" w14:textId="3AA4D3D0" w:rsidR="00BB2CB4" w:rsidRDefault="000674DA">
      <w:pPr>
        <w:pStyle w:val="Normal2"/>
      </w:pPr>
      <w:r w:rsidRPr="69C11E82">
        <w:rPr>
          <w:lang w:val="en-US"/>
        </w:rPr>
        <w:t>This measure delivers on the Government</w:t>
      </w:r>
      <w:r w:rsidR="00222C32" w:rsidRPr="69C11E82">
        <w:rPr>
          <w:lang w:val="en-US"/>
        </w:rPr>
        <w:t>’</w:t>
      </w:r>
      <w:r w:rsidRPr="69C11E82">
        <w:rPr>
          <w:lang w:val="en-US"/>
        </w:rPr>
        <w:t>s election commitment made during the 2025</w:t>
      </w:r>
      <w:r w:rsidR="00C66B6B">
        <w:rPr>
          <w:lang w:val="en-US"/>
        </w:rPr>
        <w:t> federal</w:t>
      </w:r>
      <w:r w:rsidRPr="69C11E82">
        <w:rPr>
          <w:lang w:val="en-US"/>
        </w:rPr>
        <w:t xml:space="preserve"> election and builds on the 2024–‍25 MYEFO measure </w:t>
      </w:r>
      <w:r w:rsidR="00655FA0">
        <w:rPr>
          <w:lang w:val="en-US"/>
        </w:rPr>
        <w:t>titled</w:t>
      </w:r>
      <w:r w:rsidRPr="69C11E82">
        <w:rPr>
          <w:lang w:val="en-US"/>
        </w:rPr>
        <w:t xml:space="preserve"> </w:t>
      </w:r>
      <w:r w:rsidRPr="69C11E82">
        <w:rPr>
          <w:i/>
          <w:lang w:val="en-US"/>
        </w:rPr>
        <w:t>Employment Services Reform – additional supports</w:t>
      </w:r>
      <w:r w:rsidRPr="69C11E82">
        <w:rPr>
          <w:lang w:val="en-US"/>
        </w:rPr>
        <w:t>.</w:t>
      </w:r>
    </w:p>
    <w:p w14:paraId="0E646C74" w14:textId="77777777" w:rsidR="00BB2CB4" w:rsidRDefault="000674DA">
      <w:pPr>
        <w:pStyle w:val="MeasureTitle"/>
        <w:rPr>
          <w:lang w:val="en-US"/>
        </w:rPr>
      </w:pPr>
      <w:r w:rsidRPr="69C11E82">
        <w:rPr>
          <w:lang w:val="en-US"/>
        </w:rPr>
        <w:t>Employment and Workplace Relations – reprioritisation</w:t>
      </w:r>
    </w:p>
    <w:p w14:paraId="3DA15F67"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743A288" w14:textId="77777777" w:rsidTr="00825163">
        <w:trPr>
          <w:cantSplit/>
        </w:trPr>
        <w:tc>
          <w:tcPr>
            <w:tcW w:w="2501" w:type="dxa"/>
          </w:tcPr>
          <w:p w14:paraId="72D5D446" w14:textId="77777777" w:rsidR="00BB2CB4" w:rsidRPr="00222C32" w:rsidRDefault="00BB2CB4">
            <w:pPr>
              <w:pStyle w:val="MeasureTableYearHeadings"/>
              <w:keepNext/>
            </w:pPr>
          </w:p>
        </w:tc>
        <w:tc>
          <w:tcPr>
            <w:tcW w:w="1044" w:type="dxa"/>
          </w:tcPr>
          <w:p w14:paraId="103D63D0" w14:textId="77777777" w:rsidR="00BB2CB4" w:rsidRPr="00222C32" w:rsidRDefault="000674DA">
            <w:pPr>
              <w:pStyle w:val="MeasureTableYearHeadings"/>
              <w:keepNext/>
            </w:pPr>
            <w:r w:rsidRPr="00222C32">
              <w:t>2024-25</w:t>
            </w:r>
          </w:p>
        </w:tc>
        <w:tc>
          <w:tcPr>
            <w:tcW w:w="1044" w:type="dxa"/>
          </w:tcPr>
          <w:p w14:paraId="1E2AE913" w14:textId="77777777" w:rsidR="00BB2CB4" w:rsidRPr="00222C32" w:rsidRDefault="000674DA">
            <w:pPr>
              <w:pStyle w:val="MeasureTableYearHeadings"/>
              <w:keepNext/>
            </w:pPr>
            <w:r w:rsidRPr="00222C32">
              <w:t>2025-26</w:t>
            </w:r>
          </w:p>
        </w:tc>
        <w:tc>
          <w:tcPr>
            <w:tcW w:w="1044" w:type="dxa"/>
          </w:tcPr>
          <w:p w14:paraId="6F3C2E74" w14:textId="77777777" w:rsidR="00BB2CB4" w:rsidRPr="00222C32" w:rsidRDefault="000674DA">
            <w:pPr>
              <w:pStyle w:val="MeasureTableYearHeadings"/>
              <w:keepNext/>
            </w:pPr>
            <w:r w:rsidRPr="00222C32">
              <w:t>2026-27</w:t>
            </w:r>
          </w:p>
        </w:tc>
        <w:tc>
          <w:tcPr>
            <w:tcW w:w="1044" w:type="dxa"/>
          </w:tcPr>
          <w:p w14:paraId="72CF0CF3" w14:textId="77777777" w:rsidR="00BB2CB4" w:rsidRPr="00222C32" w:rsidRDefault="000674DA">
            <w:pPr>
              <w:pStyle w:val="MeasureTableYearHeadings"/>
              <w:keepNext/>
            </w:pPr>
            <w:r w:rsidRPr="00222C32">
              <w:t>2027-28</w:t>
            </w:r>
          </w:p>
        </w:tc>
        <w:tc>
          <w:tcPr>
            <w:tcW w:w="1044" w:type="dxa"/>
          </w:tcPr>
          <w:p w14:paraId="0C30CD60" w14:textId="77777777" w:rsidR="00BB2CB4" w:rsidRPr="00222C32" w:rsidRDefault="000674DA">
            <w:pPr>
              <w:pStyle w:val="MeasureTableYearHeadings"/>
              <w:keepNext/>
            </w:pPr>
            <w:r w:rsidRPr="00222C32">
              <w:t>2028-29</w:t>
            </w:r>
          </w:p>
        </w:tc>
      </w:tr>
      <w:tr w:rsidR="00BB2CB4" w:rsidRPr="00222C32" w14:paraId="3264A21B" w14:textId="77777777" w:rsidTr="00825163">
        <w:trPr>
          <w:cantSplit/>
        </w:trPr>
        <w:tc>
          <w:tcPr>
            <w:tcW w:w="2501" w:type="dxa"/>
          </w:tcPr>
          <w:p w14:paraId="08BF2043" w14:textId="77777777" w:rsidR="00BB2CB4" w:rsidRPr="00222C32" w:rsidRDefault="000674DA">
            <w:pPr>
              <w:pStyle w:val="MeasureTableHeadingleftalignedwith2ptsspacing"/>
              <w:keepNext/>
            </w:pPr>
            <w:r w:rsidRPr="00222C32">
              <w:t>Department of the Treasury</w:t>
            </w:r>
          </w:p>
        </w:tc>
        <w:tc>
          <w:tcPr>
            <w:tcW w:w="1044" w:type="dxa"/>
          </w:tcPr>
          <w:p w14:paraId="2745708D" w14:textId="77777777" w:rsidR="00BB2CB4" w:rsidRPr="00222C32" w:rsidRDefault="000674DA">
            <w:pPr>
              <w:pStyle w:val="MeasureTableDataRightAlignedwith2ptsspacing"/>
              <w:keepNext/>
            </w:pPr>
            <w:r w:rsidRPr="00222C32">
              <w:t>-</w:t>
            </w:r>
          </w:p>
        </w:tc>
        <w:tc>
          <w:tcPr>
            <w:tcW w:w="1044" w:type="dxa"/>
          </w:tcPr>
          <w:p w14:paraId="2DFB8C45" w14:textId="77777777" w:rsidR="00BB2CB4" w:rsidRPr="00222C32" w:rsidRDefault="000674DA">
            <w:pPr>
              <w:pStyle w:val="MeasureTableDataRightAlignedwith2ptsspacing"/>
              <w:keepNext/>
            </w:pPr>
            <w:r w:rsidRPr="00222C32">
              <w:t>-3.0</w:t>
            </w:r>
          </w:p>
        </w:tc>
        <w:tc>
          <w:tcPr>
            <w:tcW w:w="1044" w:type="dxa"/>
          </w:tcPr>
          <w:p w14:paraId="2640EBA4" w14:textId="77777777" w:rsidR="00BB2CB4" w:rsidRPr="00222C32" w:rsidRDefault="000674DA">
            <w:pPr>
              <w:pStyle w:val="MeasureTableDataRightAlignedwith2ptsspacing"/>
              <w:keepNext/>
            </w:pPr>
            <w:r w:rsidRPr="00222C32">
              <w:t>-</w:t>
            </w:r>
          </w:p>
        </w:tc>
        <w:tc>
          <w:tcPr>
            <w:tcW w:w="1044" w:type="dxa"/>
          </w:tcPr>
          <w:p w14:paraId="239CAB60" w14:textId="77777777" w:rsidR="00BB2CB4" w:rsidRPr="00222C32" w:rsidRDefault="000674DA">
            <w:pPr>
              <w:pStyle w:val="MeasureTableDataRightAlignedwith2ptsspacing"/>
              <w:keepNext/>
            </w:pPr>
            <w:r w:rsidRPr="00222C32">
              <w:t>-</w:t>
            </w:r>
          </w:p>
        </w:tc>
        <w:tc>
          <w:tcPr>
            <w:tcW w:w="1044" w:type="dxa"/>
          </w:tcPr>
          <w:p w14:paraId="4C674F93" w14:textId="77777777" w:rsidR="00BB2CB4" w:rsidRPr="00222C32" w:rsidRDefault="000674DA">
            <w:pPr>
              <w:pStyle w:val="MeasureTableDataRightAlignedwith2ptsspacing"/>
              <w:keepNext/>
            </w:pPr>
            <w:r w:rsidRPr="00222C32">
              <w:t>-</w:t>
            </w:r>
          </w:p>
        </w:tc>
      </w:tr>
      <w:tr w:rsidR="00BB2CB4" w:rsidRPr="00222C32" w14:paraId="51464F23" w14:textId="77777777" w:rsidTr="00825163">
        <w:trPr>
          <w:cantSplit/>
        </w:trPr>
        <w:tc>
          <w:tcPr>
            <w:tcW w:w="2501" w:type="dxa"/>
          </w:tcPr>
          <w:p w14:paraId="59ABA845" w14:textId="77777777" w:rsidR="00BB2CB4" w:rsidRPr="00222C32" w:rsidRDefault="000674DA">
            <w:pPr>
              <w:pStyle w:val="MeasureTableHeadingleftalignedwith2ptsspacing"/>
              <w:keepNext/>
            </w:pPr>
            <w:r w:rsidRPr="00222C32">
              <w:t>Department of Employment and Workplace Relations</w:t>
            </w:r>
          </w:p>
        </w:tc>
        <w:tc>
          <w:tcPr>
            <w:tcW w:w="1044" w:type="dxa"/>
          </w:tcPr>
          <w:p w14:paraId="29633D54" w14:textId="77777777" w:rsidR="00BB2CB4" w:rsidRPr="00222C32" w:rsidRDefault="000674DA">
            <w:pPr>
              <w:pStyle w:val="MeasureTableDataRightAlignedwith2ptsspacing"/>
              <w:keepNext/>
            </w:pPr>
            <w:r w:rsidRPr="00222C32">
              <w:t>-</w:t>
            </w:r>
          </w:p>
        </w:tc>
        <w:tc>
          <w:tcPr>
            <w:tcW w:w="1044" w:type="dxa"/>
          </w:tcPr>
          <w:p w14:paraId="5F348652" w14:textId="77777777" w:rsidR="00BB2CB4" w:rsidRPr="00222C32" w:rsidRDefault="000674DA">
            <w:pPr>
              <w:pStyle w:val="MeasureTableDataRightAlignedwith2ptsspacing"/>
              <w:keepNext/>
            </w:pPr>
            <w:r w:rsidRPr="00222C32">
              <w:t>-16.4</w:t>
            </w:r>
          </w:p>
        </w:tc>
        <w:tc>
          <w:tcPr>
            <w:tcW w:w="1044" w:type="dxa"/>
          </w:tcPr>
          <w:p w14:paraId="7D11EA93" w14:textId="77777777" w:rsidR="00BB2CB4" w:rsidRPr="00222C32" w:rsidRDefault="000674DA">
            <w:pPr>
              <w:pStyle w:val="MeasureTableDataRightAlignedwith2ptsspacing"/>
              <w:keepNext/>
            </w:pPr>
            <w:r w:rsidRPr="00222C32">
              <w:t>-11.2</w:t>
            </w:r>
          </w:p>
        </w:tc>
        <w:tc>
          <w:tcPr>
            <w:tcW w:w="1044" w:type="dxa"/>
          </w:tcPr>
          <w:p w14:paraId="33611419" w14:textId="77777777" w:rsidR="00BB2CB4" w:rsidRPr="00222C32" w:rsidRDefault="000674DA">
            <w:pPr>
              <w:pStyle w:val="MeasureTableDataRightAlignedwith2ptsspacing"/>
              <w:keepNext/>
            </w:pPr>
            <w:r w:rsidRPr="00222C32">
              <w:t>-0.6</w:t>
            </w:r>
          </w:p>
        </w:tc>
        <w:tc>
          <w:tcPr>
            <w:tcW w:w="1044" w:type="dxa"/>
          </w:tcPr>
          <w:p w14:paraId="2E4CBEF3" w14:textId="77777777" w:rsidR="00BB2CB4" w:rsidRPr="00222C32" w:rsidRDefault="000674DA">
            <w:pPr>
              <w:pStyle w:val="MeasureTableDataRightAlignedwith2ptsspacing"/>
              <w:keepNext/>
            </w:pPr>
            <w:r w:rsidRPr="00222C32">
              <w:t>-0.6</w:t>
            </w:r>
          </w:p>
        </w:tc>
      </w:tr>
      <w:tr w:rsidR="00BB2CB4" w:rsidRPr="00222C32" w14:paraId="37ADC5B7" w14:textId="77777777" w:rsidTr="00825163">
        <w:trPr>
          <w:cantSplit/>
        </w:trPr>
        <w:tc>
          <w:tcPr>
            <w:tcW w:w="2501" w:type="dxa"/>
          </w:tcPr>
          <w:p w14:paraId="1156C9E9" w14:textId="77777777" w:rsidR="00BB2CB4" w:rsidRPr="00222C32" w:rsidRDefault="000674DA">
            <w:pPr>
              <w:pStyle w:val="Totalrowleftaligned"/>
              <w:keepNext/>
            </w:pPr>
            <w:r w:rsidRPr="00222C32">
              <w:t>Total – Payments</w:t>
            </w:r>
          </w:p>
        </w:tc>
        <w:tc>
          <w:tcPr>
            <w:tcW w:w="1044" w:type="dxa"/>
          </w:tcPr>
          <w:p w14:paraId="498C9B1A" w14:textId="77777777" w:rsidR="00BB2CB4" w:rsidRPr="00222C32" w:rsidRDefault="000674DA">
            <w:pPr>
              <w:pStyle w:val="Totaldatarowrightaligned"/>
              <w:keepNext/>
            </w:pPr>
            <w:r w:rsidRPr="00222C32">
              <w:t>-</w:t>
            </w:r>
          </w:p>
        </w:tc>
        <w:tc>
          <w:tcPr>
            <w:tcW w:w="1044" w:type="dxa"/>
          </w:tcPr>
          <w:p w14:paraId="32271BC6" w14:textId="77777777" w:rsidR="00BB2CB4" w:rsidRPr="00222C32" w:rsidRDefault="000674DA">
            <w:pPr>
              <w:pStyle w:val="Totaldatarowrightaligned"/>
              <w:keepNext/>
            </w:pPr>
            <w:r w:rsidRPr="00222C32">
              <w:t>-19.4</w:t>
            </w:r>
          </w:p>
        </w:tc>
        <w:tc>
          <w:tcPr>
            <w:tcW w:w="1044" w:type="dxa"/>
          </w:tcPr>
          <w:p w14:paraId="216140EA" w14:textId="77777777" w:rsidR="00BB2CB4" w:rsidRPr="00222C32" w:rsidRDefault="000674DA">
            <w:pPr>
              <w:pStyle w:val="Totaldatarowrightaligned"/>
              <w:keepNext/>
            </w:pPr>
            <w:r w:rsidRPr="00222C32">
              <w:t>-11.2</w:t>
            </w:r>
          </w:p>
        </w:tc>
        <w:tc>
          <w:tcPr>
            <w:tcW w:w="1044" w:type="dxa"/>
          </w:tcPr>
          <w:p w14:paraId="2B041D83" w14:textId="77777777" w:rsidR="00BB2CB4" w:rsidRPr="00222C32" w:rsidRDefault="000674DA">
            <w:pPr>
              <w:pStyle w:val="Totaldatarowrightaligned"/>
              <w:keepNext/>
            </w:pPr>
            <w:r w:rsidRPr="00222C32">
              <w:t>-0.6</w:t>
            </w:r>
          </w:p>
        </w:tc>
        <w:tc>
          <w:tcPr>
            <w:tcW w:w="1044" w:type="dxa"/>
          </w:tcPr>
          <w:p w14:paraId="57ECEF86" w14:textId="77777777" w:rsidR="00BB2CB4" w:rsidRPr="00222C32" w:rsidRDefault="000674DA">
            <w:pPr>
              <w:pStyle w:val="Totaldatarowrightaligned"/>
              <w:keepNext/>
            </w:pPr>
            <w:r w:rsidRPr="00222C32">
              <w:t>-0.6</w:t>
            </w:r>
          </w:p>
        </w:tc>
      </w:tr>
    </w:tbl>
    <w:p w14:paraId="0214A476" w14:textId="77777777" w:rsidR="00BD05ED" w:rsidRDefault="00BD05ED" w:rsidP="00BD05ED">
      <w:pPr>
        <w:pStyle w:val="SingleParagraph"/>
      </w:pPr>
    </w:p>
    <w:p w14:paraId="6FC2D92D" w14:textId="77777777" w:rsidR="00BB2CB4" w:rsidRDefault="000674DA">
      <w:pPr>
        <w:pStyle w:val="Normal2"/>
      </w:pPr>
      <w:r>
        <w:t>The Government will achieve savings of $31.7 million over four years from 2025–‍26 (and $0.6 million per year ongoing) from within the Employment and Workplace Relations portfolio. Savings include:</w:t>
      </w:r>
    </w:p>
    <w:p w14:paraId="2112768E" w14:textId="77777777" w:rsidR="00BB2CB4" w:rsidRDefault="000674DA">
      <w:pPr>
        <w:pStyle w:val="Bullet"/>
      </w:pPr>
      <w:r>
        <w:t>$25.5 million over two years from 2025–‍26 by rescaling the Launch into Work program to prioritise small scale projects</w:t>
      </w:r>
    </w:p>
    <w:p w14:paraId="5C5AEBF1" w14:textId="3CE82A29" w:rsidR="00BB2CB4" w:rsidRDefault="000674DA">
      <w:pPr>
        <w:pStyle w:val="Bullet"/>
      </w:pPr>
      <w:r>
        <w:t>$3.0 million in 2025–‍26 from National Skills Agreement policy initiatives</w:t>
      </w:r>
      <w:r w:rsidR="00222C32">
        <w:t>’</w:t>
      </w:r>
      <w:r>
        <w:t xml:space="preserve"> uncommitted funding by states and territories</w:t>
      </w:r>
    </w:p>
    <w:p w14:paraId="271A6BE5" w14:textId="77777777" w:rsidR="00BB2CB4" w:rsidRDefault="000674DA">
      <w:pPr>
        <w:pStyle w:val="Bullet"/>
      </w:pPr>
      <w:r>
        <w:t>$2.4 million over four years from 2025–‍26 (and $0.6 million per year ongoing) by better aligning the Protected Action Ballot scheme with demand</w:t>
      </w:r>
    </w:p>
    <w:p w14:paraId="3BAA06E2" w14:textId="77777777" w:rsidR="00BB2CB4" w:rsidRDefault="000674DA">
      <w:pPr>
        <w:pStyle w:val="Bullet"/>
      </w:pPr>
      <w:r>
        <w:t>$0.8 million in 2026–‍27 by temporarily reducing funding for the Performance Information for VET initiative under the National Training System Commonwealth Own Purpose Expenditure program.</w:t>
      </w:r>
    </w:p>
    <w:p w14:paraId="04D6EC04" w14:textId="77777777" w:rsidR="00BB2CB4" w:rsidRDefault="000674DA">
      <w:pPr>
        <w:pStyle w:val="Normal2"/>
      </w:pPr>
      <w:r>
        <w:t>The Treasury manages Commonwealth payments to the states and territories.</w:t>
      </w:r>
    </w:p>
    <w:p w14:paraId="4428F5BF" w14:textId="77777777" w:rsidR="00BB2CB4" w:rsidRDefault="000674DA">
      <w:pPr>
        <w:pStyle w:val="Normal2"/>
      </w:pPr>
      <w:r>
        <w:t>The savings from this measure will be redirected to other Government priorities in the Employment and Workplace Relations portfolio.</w:t>
      </w:r>
    </w:p>
    <w:p w14:paraId="7268853D" w14:textId="77777777" w:rsidR="00BB2CB4" w:rsidRDefault="000674DA" w:rsidP="00BD05ED">
      <w:pPr>
        <w:pStyle w:val="MeasureTitle"/>
        <w:keepLines/>
      </w:pPr>
      <w:r w:rsidRPr="69C11E82">
        <w:rPr>
          <w:lang w:val="en-US"/>
        </w:rPr>
        <w:lastRenderedPageBreak/>
        <w:t>Skills and Training – additional supports</w:t>
      </w:r>
    </w:p>
    <w:p w14:paraId="2ECC61BC" w14:textId="77777777" w:rsidR="00BB2CB4" w:rsidRDefault="000674DA" w:rsidP="00BD05ED">
      <w:pPr>
        <w:pStyle w:val="MeasureTableHeading"/>
        <w:keepLines/>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5774757" w14:textId="77777777" w:rsidTr="002A3D6C">
        <w:trPr>
          <w:cantSplit/>
        </w:trPr>
        <w:tc>
          <w:tcPr>
            <w:tcW w:w="2501" w:type="dxa"/>
          </w:tcPr>
          <w:p w14:paraId="71CE246A" w14:textId="77777777" w:rsidR="00BB2CB4" w:rsidRPr="00222C32" w:rsidRDefault="00BB2CB4" w:rsidP="00BD05ED">
            <w:pPr>
              <w:pStyle w:val="MeasureTableYearHeadings"/>
              <w:keepNext/>
            </w:pPr>
          </w:p>
        </w:tc>
        <w:tc>
          <w:tcPr>
            <w:tcW w:w="1044" w:type="dxa"/>
          </w:tcPr>
          <w:p w14:paraId="0C57DC6A" w14:textId="77777777" w:rsidR="00BB2CB4" w:rsidRPr="00222C32" w:rsidRDefault="000674DA" w:rsidP="00BD05ED">
            <w:pPr>
              <w:pStyle w:val="MeasureTableYearHeadings"/>
              <w:keepNext/>
            </w:pPr>
            <w:r w:rsidRPr="00222C32">
              <w:t>2024-25</w:t>
            </w:r>
          </w:p>
        </w:tc>
        <w:tc>
          <w:tcPr>
            <w:tcW w:w="1044" w:type="dxa"/>
          </w:tcPr>
          <w:p w14:paraId="21AF832F" w14:textId="77777777" w:rsidR="00BB2CB4" w:rsidRPr="00222C32" w:rsidRDefault="000674DA" w:rsidP="00BD05ED">
            <w:pPr>
              <w:pStyle w:val="MeasureTableYearHeadings"/>
              <w:keepNext/>
            </w:pPr>
            <w:r w:rsidRPr="00222C32">
              <w:t>2025-26</w:t>
            </w:r>
          </w:p>
        </w:tc>
        <w:tc>
          <w:tcPr>
            <w:tcW w:w="1044" w:type="dxa"/>
          </w:tcPr>
          <w:p w14:paraId="65487026" w14:textId="77777777" w:rsidR="00BB2CB4" w:rsidRPr="00222C32" w:rsidRDefault="000674DA" w:rsidP="00BD05ED">
            <w:pPr>
              <w:pStyle w:val="MeasureTableYearHeadings"/>
              <w:keepNext/>
            </w:pPr>
            <w:r w:rsidRPr="00222C32">
              <w:t>2026-27</w:t>
            </w:r>
          </w:p>
        </w:tc>
        <w:tc>
          <w:tcPr>
            <w:tcW w:w="1044" w:type="dxa"/>
          </w:tcPr>
          <w:p w14:paraId="270345FC" w14:textId="77777777" w:rsidR="00BB2CB4" w:rsidRPr="00222C32" w:rsidRDefault="000674DA" w:rsidP="00BD05ED">
            <w:pPr>
              <w:pStyle w:val="MeasureTableYearHeadings"/>
              <w:keepNext/>
            </w:pPr>
            <w:r w:rsidRPr="00222C32">
              <w:t>2027-28</w:t>
            </w:r>
          </w:p>
        </w:tc>
        <w:tc>
          <w:tcPr>
            <w:tcW w:w="1044" w:type="dxa"/>
          </w:tcPr>
          <w:p w14:paraId="43A0A8C4" w14:textId="77777777" w:rsidR="00BB2CB4" w:rsidRPr="00222C32" w:rsidRDefault="000674DA" w:rsidP="00BD05ED">
            <w:pPr>
              <w:pStyle w:val="MeasureTableYearHeadings"/>
              <w:keepNext/>
            </w:pPr>
            <w:r w:rsidRPr="00222C32">
              <w:t>2028-29</w:t>
            </w:r>
          </w:p>
        </w:tc>
      </w:tr>
      <w:tr w:rsidR="00BB2CB4" w:rsidRPr="00222C32" w14:paraId="03756598" w14:textId="77777777" w:rsidTr="00825163">
        <w:trPr>
          <w:cantSplit/>
        </w:trPr>
        <w:tc>
          <w:tcPr>
            <w:tcW w:w="2501" w:type="dxa"/>
          </w:tcPr>
          <w:p w14:paraId="4BF889CE" w14:textId="77777777" w:rsidR="00BB2CB4" w:rsidRPr="00222C32" w:rsidRDefault="000674DA" w:rsidP="00BD05ED">
            <w:pPr>
              <w:pStyle w:val="MeasureTableHeadingleftalignedwith2ptsspacing"/>
              <w:keepNext/>
            </w:pPr>
            <w:r w:rsidRPr="00222C32">
              <w:t>Department of Employment and Workplace Relations</w:t>
            </w:r>
          </w:p>
        </w:tc>
        <w:tc>
          <w:tcPr>
            <w:tcW w:w="1044" w:type="dxa"/>
          </w:tcPr>
          <w:p w14:paraId="18CB7C54" w14:textId="77777777" w:rsidR="00BB2CB4" w:rsidRPr="00222C32" w:rsidRDefault="000674DA" w:rsidP="00BD05ED">
            <w:pPr>
              <w:pStyle w:val="MeasureTableDataRightAlignedwith2ptsspacing"/>
              <w:keepNext/>
            </w:pPr>
            <w:r w:rsidRPr="00222C32">
              <w:t>-</w:t>
            </w:r>
          </w:p>
        </w:tc>
        <w:tc>
          <w:tcPr>
            <w:tcW w:w="1044" w:type="dxa"/>
          </w:tcPr>
          <w:p w14:paraId="516D69D9" w14:textId="77777777" w:rsidR="00BB2CB4" w:rsidRPr="00222C32" w:rsidRDefault="000674DA" w:rsidP="00BD05ED">
            <w:pPr>
              <w:pStyle w:val="MeasureTableDataRightAlignedwith2ptsspacing"/>
              <w:keepNext/>
            </w:pPr>
            <w:r w:rsidRPr="00222C32">
              <w:t>10.0</w:t>
            </w:r>
          </w:p>
        </w:tc>
        <w:tc>
          <w:tcPr>
            <w:tcW w:w="1044" w:type="dxa"/>
          </w:tcPr>
          <w:p w14:paraId="6D8280AC" w14:textId="77777777" w:rsidR="00BB2CB4" w:rsidRPr="00222C32" w:rsidRDefault="000674DA" w:rsidP="00BD05ED">
            <w:pPr>
              <w:pStyle w:val="MeasureTableDataRightAlignedwith2ptsspacing"/>
              <w:keepNext/>
            </w:pPr>
            <w:r w:rsidRPr="00222C32">
              <w:t>-</w:t>
            </w:r>
          </w:p>
        </w:tc>
        <w:tc>
          <w:tcPr>
            <w:tcW w:w="1044" w:type="dxa"/>
          </w:tcPr>
          <w:p w14:paraId="428F3454" w14:textId="77777777" w:rsidR="00BB2CB4" w:rsidRPr="00222C32" w:rsidRDefault="000674DA" w:rsidP="00BD05ED">
            <w:pPr>
              <w:pStyle w:val="MeasureTableDataRightAlignedwith2ptsspacing"/>
              <w:keepNext/>
            </w:pPr>
            <w:r w:rsidRPr="00222C32">
              <w:t>-</w:t>
            </w:r>
          </w:p>
        </w:tc>
        <w:tc>
          <w:tcPr>
            <w:tcW w:w="1044" w:type="dxa"/>
          </w:tcPr>
          <w:p w14:paraId="0AD75F73" w14:textId="77777777" w:rsidR="00BB2CB4" w:rsidRPr="00222C32" w:rsidRDefault="000674DA" w:rsidP="00BD05ED">
            <w:pPr>
              <w:pStyle w:val="MeasureTableDataRightAlignedwith2ptsspacing"/>
              <w:keepNext/>
            </w:pPr>
            <w:r w:rsidRPr="00222C32">
              <w:t>-</w:t>
            </w:r>
          </w:p>
        </w:tc>
      </w:tr>
    </w:tbl>
    <w:p w14:paraId="4FD02BC6" w14:textId="77777777" w:rsidR="00BD05ED" w:rsidRDefault="00BD05ED" w:rsidP="00BD05ED">
      <w:pPr>
        <w:pStyle w:val="SingleParagraph"/>
        <w:keepNext/>
        <w:keepLines/>
      </w:pPr>
    </w:p>
    <w:p w14:paraId="79685762" w14:textId="77777777" w:rsidR="00BB2CB4" w:rsidRDefault="000674DA" w:rsidP="00BD05ED">
      <w:pPr>
        <w:pStyle w:val="Normal2"/>
        <w:keepNext/>
        <w:keepLines/>
      </w:pPr>
      <w:r>
        <w:t>The Government will provide funding of $10.0 million in 2025–‍26 to extend support for skills and training priorities. Funding includes:</w:t>
      </w:r>
    </w:p>
    <w:p w14:paraId="32ED4C9A" w14:textId="4FB29920" w:rsidR="00BB2CB4" w:rsidRDefault="000674DA">
      <w:pPr>
        <w:pStyle w:val="Bullet"/>
      </w:pPr>
      <w:r>
        <w:t>$8.7 million in 2025–‍26 for Jobs and Skills Australia to continue to provide advice on Australia</w:t>
      </w:r>
      <w:r w:rsidR="00222C32">
        <w:t>’</w:t>
      </w:r>
      <w:r>
        <w:t>s labour market, skills and training needs</w:t>
      </w:r>
    </w:p>
    <w:p w14:paraId="54A08F7A" w14:textId="77777777" w:rsidR="00BB2CB4" w:rsidRDefault="000674DA">
      <w:pPr>
        <w:pStyle w:val="Bullet"/>
      </w:pPr>
      <w:r>
        <w:t>$1.3 million in 2025–‍26 to continue work with states and territories on the National Skills Agreement.</w:t>
      </w:r>
    </w:p>
    <w:p w14:paraId="2EAD2BDD" w14:textId="77777777" w:rsidR="00BB2CB4" w:rsidRDefault="000674DA">
      <w:pPr>
        <w:pStyle w:val="Normal2"/>
      </w:pPr>
      <w:r>
        <w:t xml:space="preserve">This measure extends the 2024–‍25 Budget measure titled </w:t>
      </w:r>
      <w:r w:rsidRPr="000674DA">
        <w:rPr>
          <w:i/>
        </w:rPr>
        <w:t>Further Support for the Vocational Education and Training System</w:t>
      </w:r>
      <w:r>
        <w:t>.</w:t>
      </w:r>
    </w:p>
    <w:p w14:paraId="44789061" w14:textId="77777777" w:rsidR="00BB2CB4" w:rsidRDefault="000674DA">
      <w:pPr>
        <w:pStyle w:val="MeasureTitle"/>
      </w:pPr>
      <w:r w:rsidRPr="69C11E82">
        <w:rPr>
          <w:lang w:val="en-US"/>
        </w:rPr>
        <w:t>Workplace Relations – additional supports</w:t>
      </w:r>
    </w:p>
    <w:p w14:paraId="6047C3EF"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6DC05BF" w14:textId="77777777" w:rsidTr="00825163">
        <w:trPr>
          <w:cantSplit/>
        </w:trPr>
        <w:tc>
          <w:tcPr>
            <w:tcW w:w="2501" w:type="dxa"/>
          </w:tcPr>
          <w:p w14:paraId="3C349AD7" w14:textId="77777777" w:rsidR="00BB2CB4" w:rsidRPr="00222C32" w:rsidRDefault="00BB2CB4">
            <w:pPr>
              <w:pStyle w:val="MeasureTableYearHeadings"/>
              <w:keepNext/>
            </w:pPr>
          </w:p>
        </w:tc>
        <w:tc>
          <w:tcPr>
            <w:tcW w:w="1044" w:type="dxa"/>
          </w:tcPr>
          <w:p w14:paraId="4924FCFA" w14:textId="77777777" w:rsidR="00BB2CB4" w:rsidRPr="00222C32" w:rsidRDefault="000674DA">
            <w:pPr>
              <w:pStyle w:val="MeasureTableYearHeadings"/>
              <w:keepNext/>
            </w:pPr>
            <w:r w:rsidRPr="00222C32">
              <w:t>2024-25</w:t>
            </w:r>
          </w:p>
        </w:tc>
        <w:tc>
          <w:tcPr>
            <w:tcW w:w="1044" w:type="dxa"/>
          </w:tcPr>
          <w:p w14:paraId="2B09D89D" w14:textId="77777777" w:rsidR="00BB2CB4" w:rsidRPr="00222C32" w:rsidRDefault="000674DA">
            <w:pPr>
              <w:pStyle w:val="MeasureTableYearHeadings"/>
              <w:keepNext/>
            </w:pPr>
            <w:r w:rsidRPr="00222C32">
              <w:t>2025-26</w:t>
            </w:r>
          </w:p>
        </w:tc>
        <w:tc>
          <w:tcPr>
            <w:tcW w:w="1044" w:type="dxa"/>
          </w:tcPr>
          <w:p w14:paraId="33C7D80D" w14:textId="77777777" w:rsidR="00BB2CB4" w:rsidRPr="00222C32" w:rsidRDefault="000674DA">
            <w:pPr>
              <w:pStyle w:val="MeasureTableYearHeadings"/>
              <w:keepNext/>
            </w:pPr>
            <w:r w:rsidRPr="00222C32">
              <w:t>2026-27</w:t>
            </w:r>
          </w:p>
        </w:tc>
        <w:tc>
          <w:tcPr>
            <w:tcW w:w="1044" w:type="dxa"/>
          </w:tcPr>
          <w:p w14:paraId="14B83C79" w14:textId="77777777" w:rsidR="00BB2CB4" w:rsidRPr="00222C32" w:rsidRDefault="000674DA">
            <w:pPr>
              <w:pStyle w:val="MeasureTableYearHeadings"/>
              <w:keepNext/>
            </w:pPr>
            <w:r w:rsidRPr="00222C32">
              <w:t>2027-28</w:t>
            </w:r>
          </w:p>
        </w:tc>
        <w:tc>
          <w:tcPr>
            <w:tcW w:w="1044" w:type="dxa"/>
          </w:tcPr>
          <w:p w14:paraId="7AF4A7F3" w14:textId="77777777" w:rsidR="00BB2CB4" w:rsidRPr="00222C32" w:rsidRDefault="000674DA">
            <w:pPr>
              <w:pStyle w:val="MeasureTableYearHeadings"/>
              <w:keepNext/>
            </w:pPr>
            <w:r w:rsidRPr="00222C32">
              <w:t>2028-29</w:t>
            </w:r>
          </w:p>
        </w:tc>
      </w:tr>
      <w:tr w:rsidR="00BB2CB4" w:rsidRPr="00222C32" w14:paraId="59E49F94" w14:textId="77777777" w:rsidTr="00825163">
        <w:trPr>
          <w:cantSplit/>
        </w:trPr>
        <w:tc>
          <w:tcPr>
            <w:tcW w:w="2501" w:type="dxa"/>
          </w:tcPr>
          <w:p w14:paraId="11D53C98" w14:textId="77777777" w:rsidR="00BB2CB4" w:rsidRPr="00222C32" w:rsidRDefault="000674DA">
            <w:pPr>
              <w:pStyle w:val="MeasureTableHeadingleftalignedwith2ptsspacing"/>
              <w:keepNext/>
            </w:pPr>
            <w:r w:rsidRPr="00222C32">
              <w:t>Department of Employment and Workplace Relations</w:t>
            </w:r>
          </w:p>
        </w:tc>
        <w:tc>
          <w:tcPr>
            <w:tcW w:w="1044" w:type="dxa"/>
          </w:tcPr>
          <w:p w14:paraId="3C823C48" w14:textId="77777777" w:rsidR="00BB2CB4" w:rsidRPr="00222C32" w:rsidRDefault="000674DA">
            <w:pPr>
              <w:pStyle w:val="MeasureTableDataRightAlignedwith2ptsspacing"/>
              <w:keepNext/>
            </w:pPr>
            <w:r w:rsidRPr="00222C32">
              <w:t>-</w:t>
            </w:r>
          </w:p>
        </w:tc>
        <w:tc>
          <w:tcPr>
            <w:tcW w:w="1044" w:type="dxa"/>
          </w:tcPr>
          <w:p w14:paraId="6B4F5E4F" w14:textId="77777777" w:rsidR="00BB2CB4" w:rsidRPr="00222C32" w:rsidRDefault="000674DA">
            <w:pPr>
              <w:pStyle w:val="MeasureTableDataRightAlignedwith2ptsspacing"/>
              <w:keepNext/>
            </w:pPr>
            <w:r w:rsidRPr="00222C32">
              <w:t>2.2</w:t>
            </w:r>
          </w:p>
        </w:tc>
        <w:tc>
          <w:tcPr>
            <w:tcW w:w="1044" w:type="dxa"/>
          </w:tcPr>
          <w:p w14:paraId="5EE1F9D4" w14:textId="77777777" w:rsidR="00BB2CB4" w:rsidRPr="00222C32" w:rsidRDefault="000674DA">
            <w:pPr>
              <w:pStyle w:val="MeasureTableDataRightAlignedwith2ptsspacing"/>
              <w:keepNext/>
            </w:pPr>
            <w:r w:rsidRPr="00222C32">
              <w:t>0.6</w:t>
            </w:r>
          </w:p>
        </w:tc>
        <w:tc>
          <w:tcPr>
            <w:tcW w:w="1044" w:type="dxa"/>
          </w:tcPr>
          <w:p w14:paraId="1E3A210B" w14:textId="77777777" w:rsidR="00BB2CB4" w:rsidRPr="00222C32" w:rsidRDefault="000674DA">
            <w:pPr>
              <w:pStyle w:val="MeasureTableDataRightAlignedwith2ptsspacing"/>
              <w:keepNext/>
            </w:pPr>
            <w:r w:rsidRPr="00222C32">
              <w:t>0.6</w:t>
            </w:r>
          </w:p>
        </w:tc>
        <w:tc>
          <w:tcPr>
            <w:tcW w:w="1044" w:type="dxa"/>
          </w:tcPr>
          <w:p w14:paraId="37127378" w14:textId="77777777" w:rsidR="00BB2CB4" w:rsidRPr="00222C32" w:rsidRDefault="000674DA">
            <w:pPr>
              <w:pStyle w:val="MeasureTableDataRightAlignedwith2ptsspacing"/>
              <w:keepNext/>
            </w:pPr>
            <w:r w:rsidRPr="00222C32">
              <w:t>0.6</w:t>
            </w:r>
          </w:p>
        </w:tc>
      </w:tr>
      <w:tr w:rsidR="00BB2CB4" w:rsidRPr="00222C32" w14:paraId="1509A249" w14:textId="77777777" w:rsidTr="00825163">
        <w:trPr>
          <w:cantSplit/>
        </w:trPr>
        <w:tc>
          <w:tcPr>
            <w:tcW w:w="2501" w:type="dxa"/>
          </w:tcPr>
          <w:p w14:paraId="32CADA91" w14:textId="77777777" w:rsidR="00BB2CB4" w:rsidRPr="00222C32" w:rsidRDefault="000674DA">
            <w:pPr>
              <w:pStyle w:val="MeasureTableHeadingleftalignedwith2ptsspacing"/>
              <w:keepNext/>
            </w:pPr>
            <w:r w:rsidRPr="00222C32">
              <w:t>Department of Home Affairs</w:t>
            </w:r>
          </w:p>
        </w:tc>
        <w:tc>
          <w:tcPr>
            <w:tcW w:w="1044" w:type="dxa"/>
          </w:tcPr>
          <w:p w14:paraId="2B2FB270" w14:textId="77777777" w:rsidR="00BB2CB4" w:rsidRPr="00222C32" w:rsidRDefault="000674DA">
            <w:pPr>
              <w:pStyle w:val="MeasureTableDataRightAlignedwith2ptsspacing"/>
              <w:keepNext/>
            </w:pPr>
            <w:r w:rsidRPr="00222C32">
              <w:t>-</w:t>
            </w:r>
          </w:p>
        </w:tc>
        <w:tc>
          <w:tcPr>
            <w:tcW w:w="1044" w:type="dxa"/>
          </w:tcPr>
          <w:p w14:paraId="5FDD2A48" w14:textId="77777777" w:rsidR="00BB2CB4" w:rsidRPr="00222C32" w:rsidRDefault="000674DA">
            <w:pPr>
              <w:pStyle w:val="MeasureTableDataRightAlignedwith2ptsspacing"/>
              <w:keepNext/>
            </w:pPr>
            <w:r w:rsidRPr="00222C32">
              <w:t>-</w:t>
            </w:r>
          </w:p>
        </w:tc>
        <w:tc>
          <w:tcPr>
            <w:tcW w:w="1044" w:type="dxa"/>
          </w:tcPr>
          <w:p w14:paraId="42AC03D1" w14:textId="77777777" w:rsidR="00BB2CB4" w:rsidRPr="00222C32" w:rsidRDefault="000674DA">
            <w:pPr>
              <w:pStyle w:val="MeasureTableDataRightAlignedwith2ptsspacing"/>
              <w:keepNext/>
            </w:pPr>
            <w:r w:rsidRPr="00222C32">
              <w:t>-</w:t>
            </w:r>
          </w:p>
        </w:tc>
        <w:tc>
          <w:tcPr>
            <w:tcW w:w="1044" w:type="dxa"/>
          </w:tcPr>
          <w:p w14:paraId="5C1B45D6" w14:textId="77777777" w:rsidR="00BB2CB4" w:rsidRPr="00222C32" w:rsidRDefault="000674DA">
            <w:pPr>
              <w:pStyle w:val="MeasureTableDataRightAlignedwith2ptsspacing"/>
              <w:keepNext/>
            </w:pPr>
            <w:r w:rsidRPr="00222C32">
              <w:t>-</w:t>
            </w:r>
          </w:p>
        </w:tc>
        <w:tc>
          <w:tcPr>
            <w:tcW w:w="1044" w:type="dxa"/>
          </w:tcPr>
          <w:p w14:paraId="1D530593" w14:textId="77777777" w:rsidR="00BB2CB4" w:rsidRPr="00222C32" w:rsidRDefault="000674DA">
            <w:pPr>
              <w:pStyle w:val="MeasureTableDataRightAlignedwith2ptsspacing"/>
              <w:keepNext/>
            </w:pPr>
            <w:r w:rsidRPr="00222C32">
              <w:t>-</w:t>
            </w:r>
          </w:p>
        </w:tc>
      </w:tr>
      <w:tr w:rsidR="00BB2CB4" w:rsidRPr="00222C32" w14:paraId="2DFE5E13" w14:textId="77777777" w:rsidTr="00825163">
        <w:trPr>
          <w:cantSplit/>
        </w:trPr>
        <w:tc>
          <w:tcPr>
            <w:tcW w:w="2501" w:type="dxa"/>
          </w:tcPr>
          <w:p w14:paraId="2DA381BE" w14:textId="77777777" w:rsidR="00BB2CB4" w:rsidRPr="00222C32" w:rsidRDefault="000674DA">
            <w:pPr>
              <w:pStyle w:val="Totalrowleftaligned"/>
              <w:keepNext/>
            </w:pPr>
            <w:r w:rsidRPr="00222C32">
              <w:t>Total – Payments</w:t>
            </w:r>
          </w:p>
        </w:tc>
        <w:tc>
          <w:tcPr>
            <w:tcW w:w="1044" w:type="dxa"/>
          </w:tcPr>
          <w:p w14:paraId="74B52AD7" w14:textId="77777777" w:rsidR="00BB2CB4" w:rsidRPr="00222C32" w:rsidRDefault="000674DA">
            <w:pPr>
              <w:pStyle w:val="Totaldatarowrightaligned"/>
              <w:keepNext/>
            </w:pPr>
            <w:r w:rsidRPr="00222C32">
              <w:t>-</w:t>
            </w:r>
          </w:p>
        </w:tc>
        <w:tc>
          <w:tcPr>
            <w:tcW w:w="1044" w:type="dxa"/>
          </w:tcPr>
          <w:p w14:paraId="65396B9F" w14:textId="77777777" w:rsidR="00BB2CB4" w:rsidRPr="00222C32" w:rsidRDefault="000674DA">
            <w:pPr>
              <w:pStyle w:val="Totaldatarowrightaligned"/>
              <w:keepNext/>
            </w:pPr>
            <w:r w:rsidRPr="00222C32">
              <w:t>2.2</w:t>
            </w:r>
          </w:p>
        </w:tc>
        <w:tc>
          <w:tcPr>
            <w:tcW w:w="1044" w:type="dxa"/>
          </w:tcPr>
          <w:p w14:paraId="66E293CB" w14:textId="77777777" w:rsidR="00BB2CB4" w:rsidRPr="00222C32" w:rsidRDefault="000674DA">
            <w:pPr>
              <w:pStyle w:val="Totaldatarowrightaligned"/>
              <w:keepNext/>
            </w:pPr>
            <w:r w:rsidRPr="00222C32">
              <w:t>0.6</w:t>
            </w:r>
          </w:p>
        </w:tc>
        <w:tc>
          <w:tcPr>
            <w:tcW w:w="1044" w:type="dxa"/>
          </w:tcPr>
          <w:p w14:paraId="1D4CB534" w14:textId="77777777" w:rsidR="00BB2CB4" w:rsidRPr="00222C32" w:rsidRDefault="000674DA">
            <w:pPr>
              <w:pStyle w:val="Totaldatarowrightaligned"/>
              <w:keepNext/>
            </w:pPr>
            <w:r w:rsidRPr="00222C32">
              <w:t>0.6</w:t>
            </w:r>
          </w:p>
        </w:tc>
        <w:tc>
          <w:tcPr>
            <w:tcW w:w="1044" w:type="dxa"/>
          </w:tcPr>
          <w:p w14:paraId="22D0594B" w14:textId="77777777" w:rsidR="00BB2CB4" w:rsidRPr="00222C32" w:rsidRDefault="000674DA">
            <w:pPr>
              <w:pStyle w:val="Totaldatarowrightaligned"/>
              <w:keepNext/>
            </w:pPr>
            <w:r w:rsidRPr="00222C32">
              <w:t>0.6</w:t>
            </w:r>
          </w:p>
        </w:tc>
      </w:tr>
    </w:tbl>
    <w:p w14:paraId="3AAC8A4B" w14:textId="77777777" w:rsidR="00BD05ED" w:rsidRDefault="00BD05ED" w:rsidP="00BD05ED">
      <w:pPr>
        <w:pStyle w:val="SingleParagraph"/>
      </w:pPr>
    </w:p>
    <w:p w14:paraId="4D5E4E98" w14:textId="275994B1" w:rsidR="00BB2CB4" w:rsidRDefault="000674DA">
      <w:pPr>
        <w:pStyle w:val="Normal2"/>
      </w:pPr>
      <w:r>
        <w:t>The Government will provide $4.5 million over four years from 2025–‍26 (and $0.6 million per year ongoing) to progress the Government</w:t>
      </w:r>
      <w:r w:rsidR="00222C32">
        <w:t>’</w:t>
      </w:r>
      <w:r>
        <w:t>s workplace relations agenda. Funding includes:</w:t>
      </w:r>
    </w:p>
    <w:p w14:paraId="35F9F21D" w14:textId="43B510B3" w:rsidR="00BB2CB4" w:rsidRDefault="000674DA">
      <w:pPr>
        <w:pStyle w:val="Bullet"/>
      </w:pPr>
      <w:r>
        <w:t>$2.1 million over four years from 2025–‍26 (and $0.6 million per year ongoing) to the Department of Employment and Workplace Relations to support implementation of the National Construction Industry Forum</w:t>
      </w:r>
      <w:r w:rsidR="00222C32">
        <w:t>’</w:t>
      </w:r>
      <w:r>
        <w:t>s Blueprint for the Future</w:t>
      </w:r>
    </w:p>
    <w:p w14:paraId="50CA14A8" w14:textId="77777777" w:rsidR="00BB2CB4" w:rsidRDefault="000674DA">
      <w:pPr>
        <w:pStyle w:val="Bullet"/>
      </w:pPr>
      <w:r>
        <w:t>$1.9 million in 2025–‍26 to the Department of Employment and Workplace Relations for costs incurred for the administration of the Construction and General Division of the Construction, Forestry and Maritime Employees Union</w:t>
      </w:r>
    </w:p>
    <w:p w14:paraId="73874DDD" w14:textId="77777777" w:rsidR="00BB2CB4" w:rsidRDefault="000674DA">
      <w:pPr>
        <w:pStyle w:val="Bullet"/>
      </w:pPr>
      <w:r>
        <w:t>$0.5 million over two years from 2025–‍26 to the Department of Home Affairs to support the Scarlet Alliance in providing information about migration‑related workplace rights and obligations to people working in the sex industry.</w:t>
      </w:r>
    </w:p>
    <w:p w14:paraId="28C31983" w14:textId="21B1A6FA" w:rsidR="00BB2CB4" w:rsidRDefault="000674DA">
      <w:pPr>
        <w:pStyle w:val="Normal2"/>
      </w:pPr>
      <w:r w:rsidRPr="69C11E82">
        <w:rPr>
          <w:lang w:val="en-US"/>
        </w:rPr>
        <w:t>The cost of this measure will be partially met from savings identified in the Department of Employment and Workplace Relations and from within the Department of Home Affairs</w:t>
      </w:r>
      <w:r w:rsidR="00222C32" w:rsidRPr="69C11E82">
        <w:rPr>
          <w:lang w:val="en-US"/>
        </w:rPr>
        <w:t>’</w:t>
      </w:r>
      <w:r w:rsidRPr="69C11E82">
        <w:rPr>
          <w:lang w:val="en-US"/>
        </w:rPr>
        <w:t xml:space="preserve"> existing resources.</w:t>
      </w:r>
    </w:p>
    <w:p w14:paraId="5FB684BD" w14:textId="77777777" w:rsidR="00BB2CB4" w:rsidRDefault="000674DA">
      <w:pPr>
        <w:pStyle w:val="Normal2"/>
      </w:pPr>
      <w:r w:rsidRPr="69C11E82">
        <w:rPr>
          <w:lang w:val="en-US"/>
        </w:rPr>
        <w:t xml:space="preserve">This measure builds on the 2024–‍25 MYEFO measure titled </w:t>
      </w:r>
      <w:r w:rsidRPr="69C11E82">
        <w:rPr>
          <w:i/>
          <w:lang w:val="en-US"/>
        </w:rPr>
        <w:t>Workplace Relations – additional supports</w:t>
      </w:r>
      <w:r w:rsidRPr="69C11E82">
        <w:rPr>
          <w:lang w:val="en-US"/>
        </w:rPr>
        <w:t>.</w:t>
      </w:r>
    </w:p>
    <w:p w14:paraId="780F31CE" w14:textId="77777777" w:rsidR="00BB2CB4" w:rsidRDefault="00BB2CB4">
      <w:pPr>
        <w:sectPr w:rsidR="00BB2CB4" w:rsidSect="00301ACF">
          <w:headerReference w:type="even" r:id="rId85"/>
          <w:headerReference w:type="default" r:id="rId86"/>
          <w:footerReference w:type="even" r:id="rId87"/>
          <w:footerReference w:type="default" r:id="rId88"/>
          <w:headerReference w:type="first" r:id="rId89"/>
          <w:footerReference w:type="first" r:id="rId90"/>
          <w:pgSz w:w="11906" w:h="16838" w:code="9"/>
          <w:pgMar w:top="2835" w:right="2098" w:bottom="2466" w:left="2098" w:header="1814" w:footer="1814" w:gutter="0"/>
          <w:cols w:space="720"/>
          <w:docGrid w:linePitch="272"/>
        </w:sectPr>
      </w:pPr>
    </w:p>
    <w:p w14:paraId="79F6A24B" w14:textId="77777777" w:rsidR="00BB2CB4" w:rsidRPr="00821D5F" w:rsidRDefault="000674DA" w:rsidP="003D2403">
      <w:pPr>
        <w:pStyle w:val="PortfolioName"/>
        <w:spacing w:before="0"/>
      </w:pPr>
      <w:r w:rsidRPr="00821D5F">
        <w:lastRenderedPageBreak/>
        <w:t>Finance</w:t>
      </w:r>
    </w:p>
    <w:p w14:paraId="05BD1E32" w14:textId="77777777" w:rsidR="00BB2CB4" w:rsidRDefault="000674DA">
      <w:pPr>
        <w:pStyle w:val="MeasureTitle"/>
      </w:pPr>
      <w:r w:rsidRPr="69C11E82">
        <w:rPr>
          <w:lang w:val="en-US"/>
        </w:rPr>
        <w:t>Finance Portfolio – additional resourcing</w:t>
      </w:r>
    </w:p>
    <w:p w14:paraId="433C1CE3"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F602A0D" w14:textId="77777777" w:rsidTr="00825163">
        <w:trPr>
          <w:cantSplit/>
        </w:trPr>
        <w:tc>
          <w:tcPr>
            <w:tcW w:w="2501" w:type="dxa"/>
          </w:tcPr>
          <w:p w14:paraId="742CF732" w14:textId="77777777" w:rsidR="00BB2CB4" w:rsidRPr="00222C32" w:rsidRDefault="00BB2CB4">
            <w:pPr>
              <w:pStyle w:val="MeasureTableYearHeadings"/>
              <w:keepNext/>
            </w:pPr>
          </w:p>
        </w:tc>
        <w:tc>
          <w:tcPr>
            <w:tcW w:w="1044" w:type="dxa"/>
          </w:tcPr>
          <w:p w14:paraId="7C1424FC" w14:textId="77777777" w:rsidR="00BB2CB4" w:rsidRPr="00222C32" w:rsidRDefault="000674DA">
            <w:pPr>
              <w:pStyle w:val="MeasureTableYearHeadings"/>
              <w:keepNext/>
            </w:pPr>
            <w:r w:rsidRPr="00222C32">
              <w:t>2024-25</w:t>
            </w:r>
          </w:p>
        </w:tc>
        <w:tc>
          <w:tcPr>
            <w:tcW w:w="1044" w:type="dxa"/>
          </w:tcPr>
          <w:p w14:paraId="2BDBC013" w14:textId="77777777" w:rsidR="00BB2CB4" w:rsidRPr="00222C32" w:rsidRDefault="000674DA">
            <w:pPr>
              <w:pStyle w:val="MeasureTableYearHeadings"/>
              <w:keepNext/>
            </w:pPr>
            <w:r w:rsidRPr="00222C32">
              <w:t>2025-26</w:t>
            </w:r>
          </w:p>
        </w:tc>
        <w:tc>
          <w:tcPr>
            <w:tcW w:w="1044" w:type="dxa"/>
          </w:tcPr>
          <w:p w14:paraId="28645B5E" w14:textId="77777777" w:rsidR="00BB2CB4" w:rsidRPr="00222C32" w:rsidRDefault="000674DA">
            <w:pPr>
              <w:pStyle w:val="MeasureTableYearHeadings"/>
              <w:keepNext/>
            </w:pPr>
            <w:r w:rsidRPr="00222C32">
              <w:t>2026-27</w:t>
            </w:r>
          </w:p>
        </w:tc>
        <w:tc>
          <w:tcPr>
            <w:tcW w:w="1044" w:type="dxa"/>
          </w:tcPr>
          <w:p w14:paraId="2D11DD0C" w14:textId="77777777" w:rsidR="00BB2CB4" w:rsidRPr="00222C32" w:rsidRDefault="000674DA">
            <w:pPr>
              <w:pStyle w:val="MeasureTableYearHeadings"/>
              <w:keepNext/>
            </w:pPr>
            <w:r w:rsidRPr="00222C32">
              <w:t>2027-28</w:t>
            </w:r>
          </w:p>
        </w:tc>
        <w:tc>
          <w:tcPr>
            <w:tcW w:w="1044" w:type="dxa"/>
          </w:tcPr>
          <w:p w14:paraId="2159DC2B" w14:textId="77777777" w:rsidR="00BB2CB4" w:rsidRPr="00222C32" w:rsidRDefault="000674DA">
            <w:pPr>
              <w:pStyle w:val="MeasureTableYearHeadings"/>
              <w:keepNext/>
            </w:pPr>
            <w:r w:rsidRPr="00222C32">
              <w:t>2028-29</w:t>
            </w:r>
          </w:p>
        </w:tc>
      </w:tr>
      <w:tr w:rsidR="00BB2CB4" w:rsidRPr="00222C32" w14:paraId="0040C977" w14:textId="77777777" w:rsidTr="00825163">
        <w:trPr>
          <w:cantSplit/>
        </w:trPr>
        <w:tc>
          <w:tcPr>
            <w:tcW w:w="2501" w:type="dxa"/>
          </w:tcPr>
          <w:p w14:paraId="7739F2AF" w14:textId="77777777" w:rsidR="00BB2CB4" w:rsidRPr="00222C32" w:rsidRDefault="000674DA">
            <w:pPr>
              <w:pStyle w:val="MeasureTableHeadingleftalignedwith2ptsspacing"/>
              <w:keepNext/>
            </w:pPr>
            <w:r w:rsidRPr="00222C32">
              <w:t>Department of Finance</w:t>
            </w:r>
          </w:p>
        </w:tc>
        <w:tc>
          <w:tcPr>
            <w:tcW w:w="1044" w:type="dxa"/>
          </w:tcPr>
          <w:p w14:paraId="05202C19" w14:textId="77777777" w:rsidR="00BB2CB4" w:rsidRPr="00222C32" w:rsidRDefault="000674DA">
            <w:pPr>
              <w:pStyle w:val="MeasureTableDataRightAlignedwith2ptsspacing"/>
              <w:keepNext/>
            </w:pPr>
            <w:r w:rsidRPr="00222C32">
              <w:t>-</w:t>
            </w:r>
          </w:p>
        </w:tc>
        <w:tc>
          <w:tcPr>
            <w:tcW w:w="1044" w:type="dxa"/>
          </w:tcPr>
          <w:p w14:paraId="3E486CC3" w14:textId="77777777" w:rsidR="00BB2CB4" w:rsidRPr="00222C32" w:rsidRDefault="000674DA">
            <w:pPr>
              <w:pStyle w:val="MeasureTableDataRightAlignedwith2ptsspacing"/>
              <w:keepNext/>
            </w:pPr>
            <w:r w:rsidRPr="00222C32">
              <w:t>6.8</w:t>
            </w:r>
          </w:p>
        </w:tc>
        <w:tc>
          <w:tcPr>
            <w:tcW w:w="1044" w:type="dxa"/>
          </w:tcPr>
          <w:p w14:paraId="7B8138B9" w14:textId="77777777" w:rsidR="00BB2CB4" w:rsidRPr="00222C32" w:rsidRDefault="000674DA">
            <w:pPr>
              <w:pStyle w:val="MeasureTableDataRightAlignedwith2ptsspacing"/>
              <w:keepNext/>
            </w:pPr>
            <w:r w:rsidRPr="00222C32">
              <w:t>5.7</w:t>
            </w:r>
          </w:p>
        </w:tc>
        <w:tc>
          <w:tcPr>
            <w:tcW w:w="1044" w:type="dxa"/>
          </w:tcPr>
          <w:p w14:paraId="276A00C7" w14:textId="77777777" w:rsidR="00BB2CB4" w:rsidRPr="00222C32" w:rsidRDefault="000674DA">
            <w:pPr>
              <w:pStyle w:val="MeasureTableDataRightAlignedwith2ptsspacing"/>
              <w:keepNext/>
            </w:pPr>
            <w:r w:rsidRPr="00222C32">
              <w:t>-</w:t>
            </w:r>
          </w:p>
        </w:tc>
        <w:tc>
          <w:tcPr>
            <w:tcW w:w="1044" w:type="dxa"/>
          </w:tcPr>
          <w:p w14:paraId="28AC979A" w14:textId="77777777" w:rsidR="00BB2CB4" w:rsidRPr="00222C32" w:rsidRDefault="000674DA">
            <w:pPr>
              <w:pStyle w:val="MeasureTableDataRightAlignedwith2ptsspacing"/>
              <w:keepNext/>
            </w:pPr>
            <w:r w:rsidRPr="00222C32">
              <w:t>-</w:t>
            </w:r>
          </w:p>
        </w:tc>
      </w:tr>
      <w:tr w:rsidR="00BB2CB4" w:rsidRPr="00222C32" w14:paraId="007AE218" w14:textId="77777777" w:rsidTr="00825163">
        <w:trPr>
          <w:cantSplit/>
        </w:trPr>
        <w:tc>
          <w:tcPr>
            <w:tcW w:w="2501" w:type="dxa"/>
          </w:tcPr>
          <w:p w14:paraId="507D7787" w14:textId="77777777" w:rsidR="00BB2CB4" w:rsidRPr="00222C32" w:rsidRDefault="000674DA">
            <w:pPr>
              <w:pStyle w:val="MeasureTableHeadingleftalignedwith2ptsspacing"/>
              <w:keepNext/>
            </w:pPr>
            <w:r w:rsidRPr="00222C32">
              <w:t>Independent Parliamentary Expenses Authority</w:t>
            </w:r>
          </w:p>
        </w:tc>
        <w:tc>
          <w:tcPr>
            <w:tcW w:w="1044" w:type="dxa"/>
          </w:tcPr>
          <w:p w14:paraId="785F50B4" w14:textId="77777777" w:rsidR="00BB2CB4" w:rsidRPr="00222C32" w:rsidRDefault="000674DA">
            <w:pPr>
              <w:pStyle w:val="MeasureTableDataRightAlignedwith2ptsspacing"/>
              <w:keepNext/>
            </w:pPr>
            <w:r w:rsidRPr="00222C32">
              <w:t>-</w:t>
            </w:r>
          </w:p>
        </w:tc>
        <w:tc>
          <w:tcPr>
            <w:tcW w:w="1044" w:type="dxa"/>
          </w:tcPr>
          <w:p w14:paraId="7BA80FBC" w14:textId="77777777" w:rsidR="00BB2CB4" w:rsidRPr="00222C32" w:rsidRDefault="000674DA">
            <w:pPr>
              <w:pStyle w:val="MeasureTableDataRightAlignedwith2ptsspacing"/>
              <w:keepNext/>
            </w:pPr>
            <w:r w:rsidRPr="00222C32">
              <w:t>1.5</w:t>
            </w:r>
          </w:p>
        </w:tc>
        <w:tc>
          <w:tcPr>
            <w:tcW w:w="1044" w:type="dxa"/>
          </w:tcPr>
          <w:p w14:paraId="7970935C" w14:textId="77777777" w:rsidR="00BB2CB4" w:rsidRPr="00222C32" w:rsidRDefault="000674DA">
            <w:pPr>
              <w:pStyle w:val="MeasureTableDataRightAlignedwith2ptsspacing"/>
              <w:keepNext/>
            </w:pPr>
            <w:r w:rsidRPr="00222C32">
              <w:t>1.5</w:t>
            </w:r>
          </w:p>
        </w:tc>
        <w:tc>
          <w:tcPr>
            <w:tcW w:w="1044" w:type="dxa"/>
          </w:tcPr>
          <w:p w14:paraId="6ED21832" w14:textId="77777777" w:rsidR="00BB2CB4" w:rsidRPr="00222C32" w:rsidRDefault="000674DA">
            <w:pPr>
              <w:pStyle w:val="MeasureTableDataRightAlignedwith2ptsspacing"/>
              <w:keepNext/>
            </w:pPr>
            <w:r w:rsidRPr="00222C32">
              <w:t>1.5</w:t>
            </w:r>
          </w:p>
        </w:tc>
        <w:tc>
          <w:tcPr>
            <w:tcW w:w="1044" w:type="dxa"/>
          </w:tcPr>
          <w:p w14:paraId="0CF72609" w14:textId="77777777" w:rsidR="00BB2CB4" w:rsidRPr="00222C32" w:rsidRDefault="000674DA">
            <w:pPr>
              <w:pStyle w:val="MeasureTableDataRightAlignedwith2ptsspacing"/>
              <w:keepNext/>
            </w:pPr>
            <w:r w:rsidRPr="00222C32">
              <w:t>1.5</w:t>
            </w:r>
          </w:p>
        </w:tc>
      </w:tr>
      <w:tr w:rsidR="00BB2CB4" w:rsidRPr="00222C32" w14:paraId="4CD2B7B4" w14:textId="77777777" w:rsidTr="00825163">
        <w:trPr>
          <w:cantSplit/>
        </w:trPr>
        <w:tc>
          <w:tcPr>
            <w:tcW w:w="2501" w:type="dxa"/>
          </w:tcPr>
          <w:p w14:paraId="05405663" w14:textId="77777777" w:rsidR="00BB2CB4" w:rsidRPr="00222C32" w:rsidRDefault="000674DA">
            <w:pPr>
              <w:pStyle w:val="Totalrowleftaligned"/>
              <w:keepNext/>
            </w:pPr>
            <w:r w:rsidRPr="00222C32">
              <w:t>Total – Payments</w:t>
            </w:r>
          </w:p>
        </w:tc>
        <w:tc>
          <w:tcPr>
            <w:tcW w:w="1044" w:type="dxa"/>
          </w:tcPr>
          <w:p w14:paraId="103ED921" w14:textId="77777777" w:rsidR="00BB2CB4" w:rsidRPr="00222C32" w:rsidRDefault="000674DA">
            <w:pPr>
              <w:pStyle w:val="Totaldatarowrightaligned"/>
              <w:keepNext/>
            </w:pPr>
            <w:r w:rsidRPr="00222C32">
              <w:t>-</w:t>
            </w:r>
          </w:p>
        </w:tc>
        <w:tc>
          <w:tcPr>
            <w:tcW w:w="1044" w:type="dxa"/>
          </w:tcPr>
          <w:p w14:paraId="561C78B3" w14:textId="77777777" w:rsidR="00BB2CB4" w:rsidRPr="00222C32" w:rsidRDefault="000674DA">
            <w:pPr>
              <w:pStyle w:val="Totaldatarowrightaligned"/>
              <w:keepNext/>
            </w:pPr>
            <w:r w:rsidRPr="00222C32">
              <w:t>8.3</w:t>
            </w:r>
          </w:p>
        </w:tc>
        <w:tc>
          <w:tcPr>
            <w:tcW w:w="1044" w:type="dxa"/>
          </w:tcPr>
          <w:p w14:paraId="1D4F3DF5" w14:textId="77777777" w:rsidR="00BB2CB4" w:rsidRPr="00222C32" w:rsidRDefault="000674DA">
            <w:pPr>
              <w:pStyle w:val="Totaldatarowrightaligned"/>
              <w:keepNext/>
            </w:pPr>
            <w:r w:rsidRPr="00222C32">
              <w:t>7.2</w:t>
            </w:r>
          </w:p>
        </w:tc>
        <w:tc>
          <w:tcPr>
            <w:tcW w:w="1044" w:type="dxa"/>
          </w:tcPr>
          <w:p w14:paraId="04089E46" w14:textId="77777777" w:rsidR="00BB2CB4" w:rsidRPr="00222C32" w:rsidRDefault="000674DA">
            <w:pPr>
              <w:pStyle w:val="Totaldatarowrightaligned"/>
              <w:keepNext/>
            </w:pPr>
            <w:r w:rsidRPr="00222C32">
              <w:t>1.5</w:t>
            </w:r>
          </w:p>
        </w:tc>
        <w:tc>
          <w:tcPr>
            <w:tcW w:w="1044" w:type="dxa"/>
          </w:tcPr>
          <w:p w14:paraId="59AC94BB" w14:textId="77777777" w:rsidR="00BB2CB4" w:rsidRPr="00222C32" w:rsidRDefault="000674DA">
            <w:pPr>
              <w:pStyle w:val="Totaldatarowrightaligned"/>
              <w:keepNext/>
            </w:pPr>
            <w:r w:rsidRPr="00222C32">
              <w:t>1.5</w:t>
            </w:r>
          </w:p>
        </w:tc>
      </w:tr>
    </w:tbl>
    <w:p w14:paraId="7013DE5A" w14:textId="77777777" w:rsidR="00BD05ED" w:rsidRDefault="00BD05ED" w:rsidP="00BD05ED">
      <w:pPr>
        <w:pStyle w:val="SingleParagraph"/>
      </w:pPr>
    </w:p>
    <w:p w14:paraId="4E045840" w14:textId="77777777" w:rsidR="00BB2CB4" w:rsidRDefault="000674DA">
      <w:pPr>
        <w:pStyle w:val="Normal2"/>
      </w:pPr>
      <w:r>
        <w:t>The Government will provide $18.5 million over four years from 2025–‍26 (and $1.5 million per year ongoing) to support the delivery of Government priorities in the Finance portfolio. Funding includes:</w:t>
      </w:r>
    </w:p>
    <w:p w14:paraId="17BA7468" w14:textId="77777777" w:rsidR="00BB2CB4" w:rsidRDefault="000674DA">
      <w:pPr>
        <w:pStyle w:val="Bullet"/>
      </w:pPr>
      <w:r>
        <w:t>$7.5 million over two years from 2025–‍26 for the Department of Finance to support a review of the parliamentary ecosystem and for specialist expertise to advise on improved security arrangements at electorate, ministerial, and Commonwealth Parliament Offices</w:t>
      </w:r>
    </w:p>
    <w:p w14:paraId="6710757F" w14:textId="77777777" w:rsidR="00BB2CB4" w:rsidRDefault="000674DA">
      <w:pPr>
        <w:pStyle w:val="Bullet"/>
      </w:pPr>
      <w:r>
        <w:t>$6.0 million over four years from 2025–‍26 (and $1.5 million per year ongoing) for the Independent Parliamentary Expenses Authority to meet its service delivery functions, ensuring parliamentary work expenses represent an ethical, effective and justifiable use of public sector resources</w:t>
      </w:r>
    </w:p>
    <w:p w14:paraId="7D78806B" w14:textId="77777777" w:rsidR="00BB2CB4" w:rsidRDefault="000674DA">
      <w:pPr>
        <w:pStyle w:val="Bullet"/>
      </w:pPr>
      <w:r>
        <w:t>$5.0 million in 2025–‍26 for the Department of Finance to continue supporting entities with acting on climate change in government operations.</w:t>
      </w:r>
    </w:p>
    <w:p w14:paraId="12E38FAC" w14:textId="36F4FF5A" w:rsidR="00BB2CB4" w:rsidRDefault="000674DA">
      <w:pPr>
        <w:pStyle w:val="Normal2"/>
      </w:pPr>
      <w:r w:rsidRPr="69C11E82">
        <w:rPr>
          <w:lang w:val="en-US"/>
        </w:rPr>
        <w:t>This measure extends the 2024–‍25 Budget measure</w:t>
      </w:r>
      <w:r>
        <w:rPr>
          <w:lang w:val="en-US"/>
        </w:rPr>
        <w:t xml:space="preserve"> </w:t>
      </w:r>
      <w:r w:rsidR="00D61FB4">
        <w:rPr>
          <w:lang w:val="en-US"/>
        </w:rPr>
        <w:t>titled</w:t>
      </w:r>
      <w:r w:rsidRPr="69C11E82">
        <w:rPr>
          <w:i/>
          <w:lang w:val="en-US"/>
        </w:rPr>
        <w:t xml:space="preserve"> Finance Portfolio – additional resourcing </w:t>
      </w:r>
      <w:r w:rsidRPr="69C11E82">
        <w:rPr>
          <w:lang w:val="en-US"/>
        </w:rPr>
        <w:t xml:space="preserve">and the 2023–‍24 MYEFO measure </w:t>
      </w:r>
      <w:r w:rsidR="00D61FB4">
        <w:rPr>
          <w:lang w:val="en-US"/>
        </w:rPr>
        <w:t>titled</w:t>
      </w:r>
      <w:r w:rsidRPr="69C11E82">
        <w:rPr>
          <w:lang w:val="en-US"/>
        </w:rPr>
        <w:t xml:space="preserve"> </w:t>
      </w:r>
      <w:r w:rsidRPr="69C11E82">
        <w:rPr>
          <w:i/>
          <w:lang w:val="en-US"/>
        </w:rPr>
        <w:t>Climate Action in Government Operations</w:t>
      </w:r>
      <w:r w:rsidRPr="69C11E82">
        <w:rPr>
          <w:lang w:val="en-US"/>
        </w:rPr>
        <w:t>.</w:t>
      </w:r>
    </w:p>
    <w:p w14:paraId="524FF0DB" w14:textId="77777777" w:rsidR="00BB2CB4" w:rsidRDefault="00BB2CB4" w:rsidP="00BD05ED">
      <w:pPr>
        <w:pStyle w:val="Normal2"/>
      </w:pPr>
    </w:p>
    <w:p w14:paraId="3F0B6445" w14:textId="77777777" w:rsidR="00BD05ED" w:rsidRDefault="00BD05ED" w:rsidP="00BD05ED">
      <w:pPr>
        <w:pStyle w:val="Normal2"/>
        <w:sectPr w:rsidR="00BD05ED" w:rsidSect="00301ACF">
          <w:headerReference w:type="even" r:id="rId91"/>
          <w:headerReference w:type="default" r:id="rId92"/>
          <w:footerReference w:type="even" r:id="rId93"/>
          <w:footerReference w:type="default" r:id="rId94"/>
          <w:headerReference w:type="first" r:id="rId95"/>
          <w:footerReference w:type="first" r:id="rId96"/>
          <w:pgSz w:w="11906" w:h="16838" w:code="9"/>
          <w:pgMar w:top="2835" w:right="2098" w:bottom="2466" w:left="2098" w:header="1814" w:footer="1814" w:gutter="0"/>
          <w:cols w:space="720"/>
          <w:docGrid w:linePitch="272"/>
        </w:sectPr>
      </w:pPr>
    </w:p>
    <w:p w14:paraId="33127A0B" w14:textId="77777777" w:rsidR="00BB2CB4" w:rsidRPr="00821D5F" w:rsidRDefault="000674DA" w:rsidP="003D2403">
      <w:pPr>
        <w:pStyle w:val="PortfolioName"/>
        <w:spacing w:before="0"/>
      </w:pPr>
      <w:r w:rsidRPr="00821D5F">
        <w:lastRenderedPageBreak/>
        <w:t>Foreign Affairs and Trade</w:t>
      </w:r>
    </w:p>
    <w:p w14:paraId="66E0BCB4" w14:textId="77777777" w:rsidR="00BB2CB4" w:rsidRDefault="000674DA">
      <w:pPr>
        <w:pStyle w:val="MeasureTitle"/>
      </w:pPr>
      <w:r>
        <w:t>Delivering Consular Services</w:t>
      </w:r>
    </w:p>
    <w:p w14:paraId="56B434E2"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98C2905" w14:textId="77777777" w:rsidTr="00825163">
        <w:trPr>
          <w:cantSplit/>
        </w:trPr>
        <w:tc>
          <w:tcPr>
            <w:tcW w:w="2501" w:type="dxa"/>
          </w:tcPr>
          <w:p w14:paraId="5A5DA6BB" w14:textId="77777777" w:rsidR="00BB2CB4" w:rsidRPr="00222C32" w:rsidRDefault="00BB2CB4">
            <w:pPr>
              <w:pStyle w:val="MeasureTableYearHeadings"/>
              <w:keepNext/>
            </w:pPr>
          </w:p>
        </w:tc>
        <w:tc>
          <w:tcPr>
            <w:tcW w:w="1044" w:type="dxa"/>
          </w:tcPr>
          <w:p w14:paraId="55D22B99" w14:textId="77777777" w:rsidR="00BB2CB4" w:rsidRPr="00222C32" w:rsidRDefault="000674DA">
            <w:pPr>
              <w:pStyle w:val="MeasureTableYearHeadings"/>
              <w:keepNext/>
            </w:pPr>
            <w:r w:rsidRPr="00222C32">
              <w:t>2024-25</w:t>
            </w:r>
          </w:p>
        </w:tc>
        <w:tc>
          <w:tcPr>
            <w:tcW w:w="1044" w:type="dxa"/>
          </w:tcPr>
          <w:p w14:paraId="7ADF7A59" w14:textId="77777777" w:rsidR="00BB2CB4" w:rsidRPr="00222C32" w:rsidRDefault="000674DA">
            <w:pPr>
              <w:pStyle w:val="MeasureTableYearHeadings"/>
              <w:keepNext/>
            </w:pPr>
            <w:r w:rsidRPr="00222C32">
              <w:t>2025-26</w:t>
            </w:r>
          </w:p>
        </w:tc>
        <w:tc>
          <w:tcPr>
            <w:tcW w:w="1044" w:type="dxa"/>
          </w:tcPr>
          <w:p w14:paraId="6A65AC81" w14:textId="77777777" w:rsidR="00BB2CB4" w:rsidRPr="00222C32" w:rsidRDefault="000674DA">
            <w:pPr>
              <w:pStyle w:val="MeasureTableYearHeadings"/>
              <w:keepNext/>
            </w:pPr>
            <w:r w:rsidRPr="00222C32">
              <w:t>2026-27</w:t>
            </w:r>
          </w:p>
        </w:tc>
        <w:tc>
          <w:tcPr>
            <w:tcW w:w="1044" w:type="dxa"/>
          </w:tcPr>
          <w:p w14:paraId="5997BA96" w14:textId="77777777" w:rsidR="00BB2CB4" w:rsidRPr="00222C32" w:rsidRDefault="000674DA">
            <w:pPr>
              <w:pStyle w:val="MeasureTableYearHeadings"/>
              <w:keepNext/>
            </w:pPr>
            <w:r w:rsidRPr="00222C32">
              <w:t>2027-28</w:t>
            </w:r>
          </w:p>
        </w:tc>
        <w:tc>
          <w:tcPr>
            <w:tcW w:w="1044" w:type="dxa"/>
          </w:tcPr>
          <w:p w14:paraId="2CDDF1A6" w14:textId="77777777" w:rsidR="00BB2CB4" w:rsidRPr="00222C32" w:rsidRDefault="000674DA">
            <w:pPr>
              <w:pStyle w:val="MeasureTableYearHeadings"/>
              <w:keepNext/>
            </w:pPr>
            <w:r w:rsidRPr="00222C32">
              <w:t>2028-29</w:t>
            </w:r>
          </w:p>
        </w:tc>
      </w:tr>
      <w:tr w:rsidR="00BB2CB4" w:rsidRPr="00222C32" w14:paraId="23E9BAB9" w14:textId="77777777" w:rsidTr="00825163">
        <w:trPr>
          <w:cantSplit/>
        </w:trPr>
        <w:tc>
          <w:tcPr>
            <w:tcW w:w="2501" w:type="dxa"/>
          </w:tcPr>
          <w:p w14:paraId="710E9C19" w14:textId="77777777" w:rsidR="00BB2CB4" w:rsidRPr="00222C32" w:rsidRDefault="000674DA">
            <w:pPr>
              <w:pStyle w:val="MeasureTableHeadingleftalignedwith2ptsspacing"/>
              <w:keepNext/>
            </w:pPr>
            <w:r w:rsidRPr="00222C32">
              <w:t>Department of Foreign Affairs and Trade</w:t>
            </w:r>
          </w:p>
        </w:tc>
        <w:tc>
          <w:tcPr>
            <w:tcW w:w="1044" w:type="dxa"/>
          </w:tcPr>
          <w:p w14:paraId="588771E0" w14:textId="77777777" w:rsidR="00BB2CB4" w:rsidRPr="00222C32" w:rsidRDefault="000674DA">
            <w:pPr>
              <w:pStyle w:val="MeasureTableDataRightAlignedwith2ptsspacing"/>
              <w:keepNext/>
            </w:pPr>
            <w:r w:rsidRPr="00222C32">
              <w:t>-</w:t>
            </w:r>
          </w:p>
        </w:tc>
        <w:tc>
          <w:tcPr>
            <w:tcW w:w="1044" w:type="dxa"/>
          </w:tcPr>
          <w:p w14:paraId="5F2895E2" w14:textId="77777777" w:rsidR="00BB2CB4" w:rsidRPr="00222C32" w:rsidRDefault="000674DA">
            <w:pPr>
              <w:pStyle w:val="MeasureTableDataRightAlignedwith2ptsspacing"/>
              <w:keepNext/>
            </w:pPr>
            <w:r w:rsidRPr="00222C32">
              <w:t>14.2</w:t>
            </w:r>
          </w:p>
        </w:tc>
        <w:tc>
          <w:tcPr>
            <w:tcW w:w="1044" w:type="dxa"/>
          </w:tcPr>
          <w:p w14:paraId="330AF471" w14:textId="77777777" w:rsidR="00BB2CB4" w:rsidRPr="00222C32" w:rsidRDefault="000674DA">
            <w:pPr>
              <w:pStyle w:val="MeasureTableDataRightAlignedwith2ptsspacing"/>
              <w:keepNext/>
            </w:pPr>
            <w:r w:rsidRPr="00222C32">
              <w:t>-</w:t>
            </w:r>
          </w:p>
        </w:tc>
        <w:tc>
          <w:tcPr>
            <w:tcW w:w="1044" w:type="dxa"/>
          </w:tcPr>
          <w:p w14:paraId="465057C3" w14:textId="77777777" w:rsidR="00BB2CB4" w:rsidRPr="00222C32" w:rsidRDefault="000674DA">
            <w:pPr>
              <w:pStyle w:val="MeasureTableDataRightAlignedwith2ptsspacing"/>
              <w:keepNext/>
            </w:pPr>
            <w:r w:rsidRPr="00222C32">
              <w:t>-</w:t>
            </w:r>
          </w:p>
        </w:tc>
        <w:tc>
          <w:tcPr>
            <w:tcW w:w="1044" w:type="dxa"/>
          </w:tcPr>
          <w:p w14:paraId="13439CF9" w14:textId="77777777" w:rsidR="00BB2CB4" w:rsidRPr="00222C32" w:rsidRDefault="000674DA">
            <w:pPr>
              <w:pStyle w:val="MeasureTableDataRightAlignedwith2ptsspacing"/>
              <w:keepNext/>
            </w:pPr>
            <w:r w:rsidRPr="00222C32">
              <w:t>-</w:t>
            </w:r>
          </w:p>
        </w:tc>
      </w:tr>
    </w:tbl>
    <w:p w14:paraId="3ABBBBF7" w14:textId="77777777" w:rsidR="009C3BB4" w:rsidRDefault="009C3BB4" w:rsidP="009C3BB4">
      <w:pPr>
        <w:pStyle w:val="SingleParagraph"/>
      </w:pPr>
    </w:p>
    <w:p w14:paraId="051FB2C9" w14:textId="77777777" w:rsidR="00BB2CB4" w:rsidRDefault="000674DA">
      <w:pPr>
        <w:pStyle w:val="Normal2"/>
      </w:pPr>
      <w:r w:rsidRPr="69C11E82">
        <w:rPr>
          <w:lang w:val="en-US"/>
        </w:rPr>
        <w:t>The Government will provide $14.2 million in 2025–‍26 to maintain consular capability and deliver ongoing Smartraveller awareness campaigns.</w:t>
      </w:r>
    </w:p>
    <w:p w14:paraId="2C1A8078" w14:textId="77777777" w:rsidR="00BB2CB4" w:rsidRDefault="000674DA">
      <w:pPr>
        <w:pStyle w:val="MeasureTitle"/>
      </w:pPr>
      <w:r w:rsidRPr="69C11E82">
        <w:rPr>
          <w:lang w:val="en-US"/>
        </w:rPr>
        <w:t>Memorial Services for the 2005 Bali Bombings – travel assistance payment</w:t>
      </w:r>
    </w:p>
    <w:p w14:paraId="0FBF3EF5"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8268B53" w14:textId="77777777" w:rsidTr="00825163">
        <w:trPr>
          <w:cantSplit/>
        </w:trPr>
        <w:tc>
          <w:tcPr>
            <w:tcW w:w="2501" w:type="dxa"/>
          </w:tcPr>
          <w:p w14:paraId="36DEFBCB" w14:textId="77777777" w:rsidR="00BB2CB4" w:rsidRPr="00222C32" w:rsidRDefault="00BB2CB4">
            <w:pPr>
              <w:pStyle w:val="MeasureTableYearHeadings"/>
              <w:keepNext/>
            </w:pPr>
          </w:p>
        </w:tc>
        <w:tc>
          <w:tcPr>
            <w:tcW w:w="1044" w:type="dxa"/>
          </w:tcPr>
          <w:p w14:paraId="236E7CD4" w14:textId="77777777" w:rsidR="00BB2CB4" w:rsidRPr="00222C32" w:rsidRDefault="000674DA">
            <w:pPr>
              <w:pStyle w:val="MeasureTableYearHeadings"/>
              <w:keepNext/>
            </w:pPr>
            <w:r w:rsidRPr="00222C32">
              <w:t>2024-25</w:t>
            </w:r>
          </w:p>
        </w:tc>
        <w:tc>
          <w:tcPr>
            <w:tcW w:w="1044" w:type="dxa"/>
          </w:tcPr>
          <w:p w14:paraId="60B7A1F0" w14:textId="77777777" w:rsidR="00BB2CB4" w:rsidRPr="00222C32" w:rsidRDefault="000674DA">
            <w:pPr>
              <w:pStyle w:val="MeasureTableYearHeadings"/>
              <w:keepNext/>
            </w:pPr>
            <w:r w:rsidRPr="00222C32">
              <w:t>2025-26</w:t>
            </w:r>
          </w:p>
        </w:tc>
        <w:tc>
          <w:tcPr>
            <w:tcW w:w="1044" w:type="dxa"/>
          </w:tcPr>
          <w:p w14:paraId="7FCC549E" w14:textId="77777777" w:rsidR="00BB2CB4" w:rsidRPr="00222C32" w:rsidRDefault="000674DA">
            <w:pPr>
              <w:pStyle w:val="MeasureTableYearHeadings"/>
              <w:keepNext/>
            </w:pPr>
            <w:r w:rsidRPr="00222C32">
              <w:t>2026-27</w:t>
            </w:r>
          </w:p>
        </w:tc>
        <w:tc>
          <w:tcPr>
            <w:tcW w:w="1044" w:type="dxa"/>
          </w:tcPr>
          <w:p w14:paraId="5CD728D5" w14:textId="77777777" w:rsidR="00BB2CB4" w:rsidRPr="00222C32" w:rsidRDefault="000674DA">
            <w:pPr>
              <w:pStyle w:val="MeasureTableYearHeadings"/>
              <w:keepNext/>
            </w:pPr>
            <w:r w:rsidRPr="00222C32">
              <w:t>2027-28</w:t>
            </w:r>
          </w:p>
        </w:tc>
        <w:tc>
          <w:tcPr>
            <w:tcW w:w="1044" w:type="dxa"/>
          </w:tcPr>
          <w:p w14:paraId="454661E6" w14:textId="77777777" w:rsidR="00BB2CB4" w:rsidRPr="00222C32" w:rsidRDefault="000674DA">
            <w:pPr>
              <w:pStyle w:val="MeasureTableYearHeadings"/>
              <w:keepNext/>
            </w:pPr>
            <w:r w:rsidRPr="00222C32">
              <w:t>2028-29</w:t>
            </w:r>
          </w:p>
        </w:tc>
      </w:tr>
      <w:tr w:rsidR="00BB2CB4" w:rsidRPr="00222C32" w14:paraId="3854A51F" w14:textId="77777777" w:rsidTr="00825163">
        <w:trPr>
          <w:cantSplit/>
        </w:trPr>
        <w:tc>
          <w:tcPr>
            <w:tcW w:w="2501" w:type="dxa"/>
          </w:tcPr>
          <w:p w14:paraId="39BBAFAB" w14:textId="77777777" w:rsidR="00BB2CB4" w:rsidRPr="00222C32" w:rsidRDefault="000674DA">
            <w:pPr>
              <w:pStyle w:val="MeasureTableHeadingleftalignedwith2ptsspacing"/>
              <w:keepNext/>
            </w:pPr>
            <w:r w:rsidRPr="00222C32">
              <w:t>Department of Foreign Affairs and Trade</w:t>
            </w:r>
          </w:p>
        </w:tc>
        <w:tc>
          <w:tcPr>
            <w:tcW w:w="1044" w:type="dxa"/>
          </w:tcPr>
          <w:p w14:paraId="704EF5A8" w14:textId="77777777" w:rsidR="00BB2CB4" w:rsidRPr="00222C32" w:rsidRDefault="000674DA">
            <w:pPr>
              <w:pStyle w:val="MeasureTableDataRightAlignedwith2ptsspacing"/>
              <w:keepNext/>
            </w:pPr>
            <w:r w:rsidRPr="00222C32">
              <w:t>-</w:t>
            </w:r>
          </w:p>
        </w:tc>
        <w:tc>
          <w:tcPr>
            <w:tcW w:w="1044" w:type="dxa"/>
          </w:tcPr>
          <w:p w14:paraId="20331343" w14:textId="77777777" w:rsidR="00BB2CB4" w:rsidRPr="00222C32" w:rsidRDefault="000674DA">
            <w:pPr>
              <w:pStyle w:val="MeasureTableDataRightAlignedwith2ptsspacing"/>
              <w:keepNext/>
            </w:pPr>
            <w:r w:rsidRPr="00222C32">
              <w:t>-</w:t>
            </w:r>
          </w:p>
        </w:tc>
        <w:tc>
          <w:tcPr>
            <w:tcW w:w="1044" w:type="dxa"/>
          </w:tcPr>
          <w:p w14:paraId="6276B419" w14:textId="77777777" w:rsidR="00BB2CB4" w:rsidRPr="00222C32" w:rsidRDefault="000674DA">
            <w:pPr>
              <w:pStyle w:val="MeasureTableDataRightAlignedwith2ptsspacing"/>
              <w:keepNext/>
            </w:pPr>
            <w:r w:rsidRPr="00222C32">
              <w:t>-</w:t>
            </w:r>
          </w:p>
        </w:tc>
        <w:tc>
          <w:tcPr>
            <w:tcW w:w="1044" w:type="dxa"/>
          </w:tcPr>
          <w:p w14:paraId="7EE81D36" w14:textId="77777777" w:rsidR="00BB2CB4" w:rsidRPr="00222C32" w:rsidRDefault="000674DA">
            <w:pPr>
              <w:pStyle w:val="MeasureTableDataRightAlignedwith2ptsspacing"/>
              <w:keepNext/>
            </w:pPr>
            <w:r w:rsidRPr="00222C32">
              <w:t>-</w:t>
            </w:r>
          </w:p>
        </w:tc>
        <w:tc>
          <w:tcPr>
            <w:tcW w:w="1044" w:type="dxa"/>
          </w:tcPr>
          <w:p w14:paraId="29B5A3AB" w14:textId="77777777" w:rsidR="00BB2CB4" w:rsidRPr="00222C32" w:rsidRDefault="000674DA">
            <w:pPr>
              <w:pStyle w:val="MeasureTableDataRightAlignedwith2ptsspacing"/>
              <w:keepNext/>
            </w:pPr>
            <w:r w:rsidRPr="00222C32">
              <w:t>-</w:t>
            </w:r>
          </w:p>
        </w:tc>
      </w:tr>
    </w:tbl>
    <w:p w14:paraId="3AFCF094" w14:textId="77777777" w:rsidR="009C3BB4" w:rsidRDefault="009C3BB4" w:rsidP="009C3BB4">
      <w:pPr>
        <w:pStyle w:val="SingleParagraph"/>
      </w:pPr>
    </w:p>
    <w:p w14:paraId="5D0DC14C" w14:textId="77777777" w:rsidR="00BB2CB4" w:rsidRDefault="000674DA">
      <w:pPr>
        <w:pStyle w:val="Normal2"/>
      </w:pPr>
      <w:r w:rsidRPr="69C11E82">
        <w:rPr>
          <w:lang w:val="en-US"/>
        </w:rPr>
        <w:t>The Government has provided funding in 2025–‍26 to assist survivors, families and first responders to travel to Newcastle or Bali for memorial services commemorating the 20th anniversary of the 2005 Bali bombings.</w:t>
      </w:r>
    </w:p>
    <w:p w14:paraId="73BD605D" w14:textId="77777777" w:rsidR="00BB2CB4" w:rsidRDefault="000674DA">
      <w:pPr>
        <w:pStyle w:val="Normal2"/>
      </w:pPr>
      <w:r w:rsidRPr="69C11E82">
        <w:rPr>
          <w:lang w:val="en-US"/>
        </w:rPr>
        <w:t>The Department of Foreign Affairs and Trade has met the cost of this measure from within existing resources.</w:t>
      </w:r>
    </w:p>
    <w:p w14:paraId="4326D53C" w14:textId="77777777" w:rsidR="00BB2CB4" w:rsidRDefault="000674DA">
      <w:pPr>
        <w:pStyle w:val="MeasureTitle"/>
      </w:pPr>
      <w:r>
        <w:t>Southeast Asia Investment Financing Facility – equity transactions</w:t>
      </w:r>
    </w:p>
    <w:p w14:paraId="43CF259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600448C" w14:textId="77777777" w:rsidTr="00825163">
        <w:tc>
          <w:tcPr>
            <w:tcW w:w="2501" w:type="dxa"/>
            <w:tcBorders>
              <w:top w:val="single" w:sz="4" w:space="0" w:color="293F5B"/>
              <w:bottom w:val="single" w:sz="4" w:space="0" w:color="293F5B"/>
            </w:tcBorders>
          </w:tcPr>
          <w:p w14:paraId="7CE277BB"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7184BA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A1A1B5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69850E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C651F9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E78A935" w14:textId="77777777" w:rsidR="00BB2CB4" w:rsidRPr="00222C32" w:rsidRDefault="000674DA">
            <w:pPr>
              <w:pStyle w:val="MeasureTableYearHeadings"/>
              <w:keepNext/>
            </w:pPr>
            <w:r w:rsidRPr="00222C32">
              <w:t>2028-29</w:t>
            </w:r>
          </w:p>
        </w:tc>
      </w:tr>
      <w:tr w:rsidR="00BB2CB4" w:rsidRPr="00222C32" w14:paraId="5815A979" w14:textId="77777777" w:rsidTr="00825163">
        <w:tc>
          <w:tcPr>
            <w:tcW w:w="2501" w:type="dxa"/>
            <w:tcBorders>
              <w:top w:val="single" w:sz="4" w:space="0" w:color="293F5B"/>
              <w:bottom w:val="single" w:sz="4" w:space="0" w:color="293F5B"/>
            </w:tcBorders>
          </w:tcPr>
          <w:p w14:paraId="63529715" w14:textId="77777777" w:rsidR="00BB2CB4" w:rsidRPr="00222C32" w:rsidRDefault="000674DA">
            <w:pPr>
              <w:pStyle w:val="MeasureTableHeadingleftalignedwith2ptsspacing"/>
              <w:keepNext/>
            </w:pPr>
            <w:r w:rsidRPr="00222C32">
              <w:t>Export Finance and Insurance Corporation (National Interest component)</w:t>
            </w:r>
          </w:p>
        </w:tc>
        <w:tc>
          <w:tcPr>
            <w:tcW w:w="1044" w:type="dxa"/>
            <w:tcBorders>
              <w:top w:val="single" w:sz="4" w:space="0" w:color="293F5B"/>
              <w:bottom w:val="single" w:sz="4" w:space="0" w:color="293F5B"/>
            </w:tcBorders>
          </w:tcPr>
          <w:p w14:paraId="727AF3D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1EA736C"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4A5AE61A"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1C3A54A1"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04CD6E85" w14:textId="77777777" w:rsidR="00BB2CB4" w:rsidRPr="00222C32" w:rsidRDefault="000674DA">
            <w:pPr>
              <w:pStyle w:val="MeasureTableDataRightAlignedwith2ptsspacing"/>
              <w:keepNext/>
            </w:pPr>
            <w:r w:rsidRPr="00222C32">
              <w:t>nfp</w:t>
            </w:r>
          </w:p>
        </w:tc>
      </w:tr>
      <w:tr w:rsidR="00BB2CB4" w:rsidRPr="00222C32" w14:paraId="5880AFE9" w14:textId="77777777" w:rsidTr="00825163">
        <w:tc>
          <w:tcPr>
            <w:tcW w:w="2501" w:type="dxa"/>
            <w:tcBorders>
              <w:top w:val="single" w:sz="4" w:space="0" w:color="293F5B"/>
            </w:tcBorders>
          </w:tcPr>
          <w:p w14:paraId="521379E5" w14:textId="77777777" w:rsidR="00BB2CB4" w:rsidRPr="00222C32" w:rsidRDefault="000674DA">
            <w:pPr>
              <w:pStyle w:val="AgencyName"/>
              <w:keepNext/>
            </w:pPr>
            <w:r w:rsidRPr="00222C32">
              <w:t>Related receipts ($m)</w:t>
            </w:r>
          </w:p>
        </w:tc>
        <w:tc>
          <w:tcPr>
            <w:tcW w:w="1044" w:type="dxa"/>
            <w:tcBorders>
              <w:top w:val="single" w:sz="4" w:space="0" w:color="293F5B"/>
            </w:tcBorders>
          </w:tcPr>
          <w:p w14:paraId="50383875" w14:textId="77777777" w:rsidR="00BB2CB4" w:rsidRPr="00222C32" w:rsidRDefault="00BB2CB4">
            <w:pPr>
              <w:pStyle w:val="AgencyName"/>
              <w:keepNext/>
            </w:pPr>
          </w:p>
        </w:tc>
        <w:tc>
          <w:tcPr>
            <w:tcW w:w="1044" w:type="dxa"/>
            <w:tcBorders>
              <w:top w:val="single" w:sz="4" w:space="0" w:color="293F5B"/>
            </w:tcBorders>
          </w:tcPr>
          <w:p w14:paraId="17DABA6C" w14:textId="77777777" w:rsidR="00BB2CB4" w:rsidRPr="00222C32" w:rsidRDefault="00BB2CB4">
            <w:pPr>
              <w:pStyle w:val="AgencyName"/>
              <w:keepNext/>
            </w:pPr>
          </w:p>
        </w:tc>
        <w:tc>
          <w:tcPr>
            <w:tcW w:w="1044" w:type="dxa"/>
            <w:tcBorders>
              <w:top w:val="single" w:sz="4" w:space="0" w:color="293F5B"/>
            </w:tcBorders>
          </w:tcPr>
          <w:p w14:paraId="3D2E7383" w14:textId="77777777" w:rsidR="00BB2CB4" w:rsidRPr="00222C32" w:rsidRDefault="00BB2CB4">
            <w:pPr>
              <w:pStyle w:val="AgencyName"/>
              <w:keepNext/>
            </w:pPr>
          </w:p>
        </w:tc>
        <w:tc>
          <w:tcPr>
            <w:tcW w:w="1044" w:type="dxa"/>
            <w:tcBorders>
              <w:top w:val="single" w:sz="4" w:space="0" w:color="293F5B"/>
            </w:tcBorders>
          </w:tcPr>
          <w:p w14:paraId="3A123DDC" w14:textId="77777777" w:rsidR="00BB2CB4" w:rsidRPr="00222C32" w:rsidRDefault="00BB2CB4">
            <w:pPr>
              <w:pStyle w:val="AgencyName"/>
              <w:keepNext/>
            </w:pPr>
          </w:p>
        </w:tc>
        <w:tc>
          <w:tcPr>
            <w:tcW w:w="1044" w:type="dxa"/>
            <w:tcBorders>
              <w:top w:val="single" w:sz="4" w:space="0" w:color="293F5B"/>
            </w:tcBorders>
          </w:tcPr>
          <w:p w14:paraId="68DBEF85" w14:textId="77777777" w:rsidR="00BB2CB4" w:rsidRPr="00222C32" w:rsidRDefault="00BB2CB4">
            <w:pPr>
              <w:pStyle w:val="AgencyName"/>
              <w:keepNext/>
            </w:pPr>
          </w:p>
        </w:tc>
      </w:tr>
      <w:tr w:rsidR="00BB2CB4" w:rsidRPr="00222C32" w14:paraId="00545B64" w14:textId="77777777" w:rsidTr="00825163">
        <w:tc>
          <w:tcPr>
            <w:tcW w:w="2501" w:type="dxa"/>
            <w:tcBorders>
              <w:bottom w:val="single" w:sz="4" w:space="0" w:color="293F5B"/>
            </w:tcBorders>
          </w:tcPr>
          <w:p w14:paraId="5BE95B61" w14:textId="77777777" w:rsidR="00BB2CB4" w:rsidRPr="00222C32" w:rsidRDefault="000674DA">
            <w:pPr>
              <w:pStyle w:val="AgencyNamewith2ptsspacing"/>
              <w:keepNext/>
            </w:pPr>
            <w:r w:rsidRPr="00222C32">
              <w:t>Export Finance and Insurance Corporation (National Interest component)</w:t>
            </w:r>
          </w:p>
        </w:tc>
        <w:tc>
          <w:tcPr>
            <w:tcW w:w="1044" w:type="dxa"/>
            <w:tcBorders>
              <w:bottom w:val="single" w:sz="4" w:space="0" w:color="293F5B"/>
            </w:tcBorders>
          </w:tcPr>
          <w:p w14:paraId="22637AFF"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5D724B8C"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04C91B92"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32335E1F"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77AE99EF" w14:textId="77777777" w:rsidR="00BB2CB4" w:rsidRPr="00222C32" w:rsidRDefault="000674DA">
            <w:pPr>
              <w:pStyle w:val="Measuretabledatarightaligneditalics"/>
              <w:keepNext/>
            </w:pPr>
            <w:r w:rsidRPr="00222C32">
              <w:t>nfp</w:t>
            </w:r>
          </w:p>
        </w:tc>
      </w:tr>
    </w:tbl>
    <w:p w14:paraId="58035787" w14:textId="77777777" w:rsidR="009C3BB4" w:rsidRDefault="009C3BB4" w:rsidP="009C3BB4">
      <w:pPr>
        <w:pStyle w:val="SingleParagraph"/>
      </w:pPr>
    </w:p>
    <w:p w14:paraId="7E98F6C4" w14:textId="5C3B2DE5" w:rsidR="00BB2CB4" w:rsidRDefault="000674DA">
      <w:pPr>
        <w:pStyle w:val="Normal2"/>
      </w:pPr>
      <w:r>
        <w:t>The Government will provide AUD252.0 million through the Southeast Asia Investment Financing Facility on the National Interest Account as equity investments to support the Government</w:t>
      </w:r>
      <w:r w:rsidR="00222C32">
        <w:t>’</w:t>
      </w:r>
      <w:r>
        <w:t>s efforts to deepen Australia</w:t>
      </w:r>
      <w:r w:rsidR="00222C32">
        <w:t>’</w:t>
      </w:r>
      <w:r>
        <w:t>s investment ties with Southeast Asia. Funding includes:</w:t>
      </w:r>
    </w:p>
    <w:p w14:paraId="4D3FAD38" w14:textId="19B65BF6" w:rsidR="00BB2CB4" w:rsidRDefault="000674DA">
      <w:pPr>
        <w:pStyle w:val="Bullet"/>
      </w:pPr>
      <w:r>
        <w:t>AUD175.0 million for IFM Investors</w:t>
      </w:r>
      <w:r w:rsidR="00222C32">
        <w:t>’</w:t>
      </w:r>
      <w:r>
        <w:t xml:space="preserve"> Asia‑Pacific Debt Fund to support the Fund</w:t>
      </w:r>
      <w:r w:rsidR="00222C32">
        <w:t>’</w:t>
      </w:r>
      <w:r>
        <w:t>s expansion into Southeast Asia, targeting investments in key sectors including energy, telecommunications and logistics</w:t>
      </w:r>
    </w:p>
    <w:p w14:paraId="1EE52C77" w14:textId="117D0A05" w:rsidR="00BB2CB4" w:rsidRDefault="000674DA">
      <w:pPr>
        <w:pStyle w:val="Bullet"/>
      </w:pPr>
      <w:r>
        <w:lastRenderedPageBreak/>
        <w:t>USD50.0 million (approximately AUD77.0 million) for Plenary</w:t>
      </w:r>
      <w:r w:rsidR="00222C32">
        <w:t>’</w:t>
      </w:r>
      <w:r>
        <w:t>s Southeast Asia Public Private Partnership investment fund to enable it to finance essential public infrastructure projects across Southeast Asia.</w:t>
      </w:r>
    </w:p>
    <w:p w14:paraId="58E79304" w14:textId="77777777" w:rsidR="00BB2CB4" w:rsidRDefault="000674DA">
      <w:pPr>
        <w:pStyle w:val="Normal2"/>
      </w:pPr>
      <w:r w:rsidRPr="69C11E82">
        <w:rPr>
          <w:lang w:val="en-US"/>
        </w:rPr>
        <w:t>The financial implications of this measure are not for publication (nfp) as it would disclose individual loan/financing arrangements with third parties.</w:t>
      </w:r>
    </w:p>
    <w:p w14:paraId="46FFECB9" w14:textId="6E9EBB4C" w:rsidR="00BB2CB4" w:rsidRDefault="000674DA">
      <w:pPr>
        <w:pStyle w:val="MeasureTitle"/>
      </w:pPr>
      <w:r>
        <w:t>Supporting Australia</w:t>
      </w:r>
      <w:r w:rsidR="00222C32">
        <w:t>’</w:t>
      </w:r>
      <w:r>
        <w:t>s Trade and Tourism Industries</w:t>
      </w:r>
    </w:p>
    <w:p w14:paraId="6329611A"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77D07CD" w14:textId="77777777" w:rsidTr="00825163">
        <w:trPr>
          <w:cantSplit/>
        </w:trPr>
        <w:tc>
          <w:tcPr>
            <w:tcW w:w="2501" w:type="dxa"/>
          </w:tcPr>
          <w:p w14:paraId="457F11DD" w14:textId="77777777" w:rsidR="00BB2CB4" w:rsidRPr="00222C32" w:rsidRDefault="00BB2CB4">
            <w:pPr>
              <w:pStyle w:val="MeasureTableYearHeadings"/>
              <w:keepNext/>
            </w:pPr>
          </w:p>
        </w:tc>
        <w:tc>
          <w:tcPr>
            <w:tcW w:w="1044" w:type="dxa"/>
          </w:tcPr>
          <w:p w14:paraId="36DD28F2" w14:textId="77777777" w:rsidR="00BB2CB4" w:rsidRPr="00222C32" w:rsidRDefault="000674DA">
            <w:pPr>
              <w:pStyle w:val="MeasureTableYearHeadings"/>
              <w:keepNext/>
            </w:pPr>
            <w:r w:rsidRPr="00222C32">
              <w:t>2024-25</w:t>
            </w:r>
          </w:p>
        </w:tc>
        <w:tc>
          <w:tcPr>
            <w:tcW w:w="1044" w:type="dxa"/>
          </w:tcPr>
          <w:p w14:paraId="5D78A7B3" w14:textId="77777777" w:rsidR="00BB2CB4" w:rsidRPr="00222C32" w:rsidRDefault="000674DA">
            <w:pPr>
              <w:pStyle w:val="MeasureTableYearHeadings"/>
              <w:keepNext/>
            </w:pPr>
            <w:r w:rsidRPr="00222C32">
              <w:t>2025-26</w:t>
            </w:r>
          </w:p>
        </w:tc>
        <w:tc>
          <w:tcPr>
            <w:tcW w:w="1044" w:type="dxa"/>
          </w:tcPr>
          <w:p w14:paraId="78C66B6B" w14:textId="77777777" w:rsidR="00BB2CB4" w:rsidRPr="00222C32" w:rsidRDefault="000674DA">
            <w:pPr>
              <w:pStyle w:val="MeasureTableYearHeadings"/>
              <w:keepNext/>
            </w:pPr>
            <w:r w:rsidRPr="00222C32">
              <w:t>2026-27</w:t>
            </w:r>
          </w:p>
        </w:tc>
        <w:tc>
          <w:tcPr>
            <w:tcW w:w="1044" w:type="dxa"/>
          </w:tcPr>
          <w:p w14:paraId="6F13EF90" w14:textId="77777777" w:rsidR="00BB2CB4" w:rsidRPr="00222C32" w:rsidRDefault="000674DA">
            <w:pPr>
              <w:pStyle w:val="MeasureTableYearHeadings"/>
              <w:keepNext/>
            </w:pPr>
            <w:r w:rsidRPr="00222C32">
              <w:t>2027-28</w:t>
            </w:r>
          </w:p>
        </w:tc>
        <w:tc>
          <w:tcPr>
            <w:tcW w:w="1044" w:type="dxa"/>
          </w:tcPr>
          <w:p w14:paraId="6ADA65B7" w14:textId="77777777" w:rsidR="00BB2CB4" w:rsidRPr="00222C32" w:rsidRDefault="000674DA">
            <w:pPr>
              <w:pStyle w:val="MeasureTableYearHeadings"/>
              <w:keepNext/>
            </w:pPr>
            <w:r w:rsidRPr="00222C32">
              <w:t>2028-29</w:t>
            </w:r>
          </w:p>
        </w:tc>
      </w:tr>
      <w:tr w:rsidR="00BB2CB4" w:rsidRPr="00222C32" w14:paraId="6C51CF1B" w14:textId="77777777" w:rsidTr="00825163">
        <w:trPr>
          <w:cantSplit/>
        </w:trPr>
        <w:tc>
          <w:tcPr>
            <w:tcW w:w="2501" w:type="dxa"/>
          </w:tcPr>
          <w:p w14:paraId="72A13A15" w14:textId="77777777" w:rsidR="00BB2CB4" w:rsidRPr="00222C32" w:rsidRDefault="000674DA">
            <w:pPr>
              <w:pStyle w:val="MeasureTableHeadingleftalignedwith2ptsspacing"/>
              <w:keepNext/>
            </w:pPr>
            <w:r w:rsidRPr="00222C32">
              <w:t>Australian Trade and Investment Commission</w:t>
            </w:r>
          </w:p>
        </w:tc>
        <w:tc>
          <w:tcPr>
            <w:tcW w:w="1044" w:type="dxa"/>
          </w:tcPr>
          <w:p w14:paraId="2E3E2613" w14:textId="77777777" w:rsidR="00BB2CB4" w:rsidRPr="00222C32" w:rsidRDefault="000674DA">
            <w:pPr>
              <w:pStyle w:val="MeasureTableDataRightAlignedwith2ptsspacing"/>
              <w:keepNext/>
            </w:pPr>
            <w:r w:rsidRPr="00222C32">
              <w:t>-</w:t>
            </w:r>
          </w:p>
        </w:tc>
        <w:tc>
          <w:tcPr>
            <w:tcW w:w="1044" w:type="dxa"/>
          </w:tcPr>
          <w:p w14:paraId="214776DA" w14:textId="77777777" w:rsidR="00BB2CB4" w:rsidRPr="00222C32" w:rsidRDefault="000674DA">
            <w:pPr>
              <w:pStyle w:val="MeasureTableDataRightAlignedwith2ptsspacing"/>
              <w:keepNext/>
            </w:pPr>
            <w:r w:rsidRPr="00222C32">
              <w:t>32.4</w:t>
            </w:r>
          </w:p>
        </w:tc>
        <w:tc>
          <w:tcPr>
            <w:tcW w:w="1044" w:type="dxa"/>
          </w:tcPr>
          <w:p w14:paraId="4DA75BC4" w14:textId="77777777" w:rsidR="00BB2CB4" w:rsidRPr="00222C32" w:rsidRDefault="000674DA">
            <w:pPr>
              <w:pStyle w:val="MeasureTableDataRightAlignedwith2ptsspacing"/>
              <w:keepNext/>
            </w:pPr>
            <w:r w:rsidRPr="00222C32">
              <w:t>33.2</w:t>
            </w:r>
          </w:p>
        </w:tc>
        <w:tc>
          <w:tcPr>
            <w:tcW w:w="1044" w:type="dxa"/>
          </w:tcPr>
          <w:p w14:paraId="28784E7D" w14:textId="77777777" w:rsidR="00BB2CB4" w:rsidRPr="00222C32" w:rsidRDefault="000674DA">
            <w:pPr>
              <w:pStyle w:val="MeasureTableDataRightAlignedwith2ptsspacing"/>
              <w:keepNext/>
            </w:pPr>
            <w:r w:rsidRPr="00222C32">
              <w:t>3.0</w:t>
            </w:r>
          </w:p>
        </w:tc>
        <w:tc>
          <w:tcPr>
            <w:tcW w:w="1044" w:type="dxa"/>
          </w:tcPr>
          <w:p w14:paraId="2A67D48C" w14:textId="77777777" w:rsidR="00BB2CB4" w:rsidRPr="00222C32" w:rsidRDefault="000674DA">
            <w:pPr>
              <w:pStyle w:val="MeasureTableDataRightAlignedwith2ptsspacing"/>
              <w:keepNext/>
            </w:pPr>
            <w:r w:rsidRPr="00222C32">
              <w:t>-</w:t>
            </w:r>
          </w:p>
        </w:tc>
      </w:tr>
    </w:tbl>
    <w:p w14:paraId="3888F3D9" w14:textId="77777777" w:rsidR="009C3BB4" w:rsidRDefault="009C3BB4" w:rsidP="009C3BB4">
      <w:pPr>
        <w:pStyle w:val="SingleParagraph"/>
      </w:pPr>
    </w:p>
    <w:p w14:paraId="586BE690" w14:textId="1E33AC4D" w:rsidR="00BB2CB4" w:rsidRDefault="000674DA">
      <w:pPr>
        <w:pStyle w:val="Normal2"/>
      </w:pPr>
      <w:r>
        <w:t>The Government will provide $68.5 million over three years from 2025–‍26 to support Australia</w:t>
      </w:r>
      <w:r w:rsidR="00222C32">
        <w:t>’</w:t>
      </w:r>
      <w:r>
        <w:t>s trade and tourism sectors. Funding includes:</w:t>
      </w:r>
    </w:p>
    <w:p w14:paraId="3E78F4E2" w14:textId="77777777" w:rsidR="00BB2CB4" w:rsidRDefault="000674DA">
      <w:pPr>
        <w:pStyle w:val="Bullet"/>
      </w:pPr>
      <w:r>
        <w:t>$50.0 million over two years from 2025–‍26 to deliver the Accessing New Markets Initiative to support Australian export businesses impacted by changing global trade to expand into new markets</w:t>
      </w:r>
    </w:p>
    <w:p w14:paraId="41576262" w14:textId="77777777" w:rsidR="00BB2CB4" w:rsidRDefault="000674DA">
      <w:pPr>
        <w:pStyle w:val="Bullet"/>
      </w:pPr>
      <w:r>
        <w:t>$10.0 million over three years from 2025–‍26 to promote visits to the Great Barrier Reef and support tourism operators through the establishment of the Reef Educational Experience Fund</w:t>
      </w:r>
    </w:p>
    <w:p w14:paraId="5066331A" w14:textId="77777777" w:rsidR="00BB2CB4" w:rsidRDefault="000674DA">
      <w:pPr>
        <w:pStyle w:val="Bullet"/>
      </w:pPr>
      <w:r>
        <w:t>$8.5 million over two years from 2025–‍26 for the Central Australia Package to attract visitors and assist tourism operators in and around Alice Springs.</w:t>
      </w:r>
    </w:p>
    <w:p w14:paraId="7BC33CB1" w14:textId="605E9A91" w:rsidR="00BB2CB4" w:rsidRDefault="000674DA">
      <w:pPr>
        <w:pStyle w:val="Normal2"/>
      </w:pPr>
      <w:r>
        <w:t>This measure delivers on the Government</w:t>
      </w:r>
      <w:r w:rsidR="00222C32">
        <w:t>’</w:t>
      </w:r>
      <w:r>
        <w:t>s election commitments made during the 2025</w:t>
      </w:r>
      <w:r w:rsidR="00C66B6B">
        <w:t> federal</w:t>
      </w:r>
      <w:r>
        <w:t xml:space="preserve"> election.</w:t>
      </w:r>
    </w:p>
    <w:p w14:paraId="0BFC40C0" w14:textId="77777777" w:rsidR="00BB2CB4" w:rsidRDefault="000674DA">
      <w:pPr>
        <w:pStyle w:val="MeasureTitle"/>
      </w:pPr>
      <w:r>
        <w:t>Supporting the Australia New Zealand Leadership Forum</w:t>
      </w:r>
    </w:p>
    <w:p w14:paraId="674CAF55"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1958535" w14:textId="77777777" w:rsidTr="00825163">
        <w:trPr>
          <w:cantSplit/>
        </w:trPr>
        <w:tc>
          <w:tcPr>
            <w:tcW w:w="2501" w:type="dxa"/>
          </w:tcPr>
          <w:p w14:paraId="03EF48D1" w14:textId="77777777" w:rsidR="00BB2CB4" w:rsidRPr="00222C32" w:rsidRDefault="00BB2CB4">
            <w:pPr>
              <w:pStyle w:val="MeasureTableYearHeadings"/>
              <w:keepNext/>
            </w:pPr>
          </w:p>
        </w:tc>
        <w:tc>
          <w:tcPr>
            <w:tcW w:w="1044" w:type="dxa"/>
          </w:tcPr>
          <w:p w14:paraId="0DC933D9" w14:textId="77777777" w:rsidR="00BB2CB4" w:rsidRPr="00222C32" w:rsidRDefault="000674DA">
            <w:pPr>
              <w:pStyle w:val="MeasureTableYearHeadings"/>
              <w:keepNext/>
            </w:pPr>
            <w:r w:rsidRPr="00222C32">
              <w:t>2024-25</w:t>
            </w:r>
          </w:p>
        </w:tc>
        <w:tc>
          <w:tcPr>
            <w:tcW w:w="1044" w:type="dxa"/>
          </w:tcPr>
          <w:p w14:paraId="7AD6CEF7" w14:textId="77777777" w:rsidR="00BB2CB4" w:rsidRPr="00222C32" w:rsidRDefault="000674DA">
            <w:pPr>
              <w:pStyle w:val="MeasureTableYearHeadings"/>
              <w:keepNext/>
            </w:pPr>
            <w:r w:rsidRPr="00222C32">
              <w:t>2025-26</w:t>
            </w:r>
          </w:p>
        </w:tc>
        <w:tc>
          <w:tcPr>
            <w:tcW w:w="1044" w:type="dxa"/>
          </w:tcPr>
          <w:p w14:paraId="1DCED058" w14:textId="77777777" w:rsidR="00BB2CB4" w:rsidRPr="00222C32" w:rsidRDefault="000674DA">
            <w:pPr>
              <w:pStyle w:val="MeasureTableYearHeadings"/>
              <w:keepNext/>
            </w:pPr>
            <w:r w:rsidRPr="00222C32">
              <w:t>2026-27</w:t>
            </w:r>
          </w:p>
        </w:tc>
        <w:tc>
          <w:tcPr>
            <w:tcW w:w="1044" w:type="dxa"/>
          </w:tcPr>
          <w:p w14:paraId="221B8820" w14:textId="77777777" w:rsidR="00BB2CB4" w:rsidRPr="00222C32" w:rsidRDefault="000674DA">
            <w:pPr>
              <w:pStyle w:val="MeasureTableYearHeadings"/>
              <w:keepNext/>
            </w:pPr>
            <w:r w:rsidRPr="00222C32">
              <w:t>2027-28</w:t>
            </w:r>
          </w:p>
        </w:tc>
        <w:tc>
          <w:tcPr>
            <w:tcW w:w="1044" w:type="dxa"/>
          </w:tcPr>
          <w:p w14:paraId="15420A65" w14:textId="77777777" w:rsidR="00BB2CB4" w:rsidRPr="00222C32" w:rsidRDefault="000674DA">
            <w:pPr>
              <w:pStyle w:val="MeasureTableYearHeadings"/>
              <w:keepNext/>
            </w:pPr>
            <w:r w:rsidRPr="00222C32">
              <w:t>2028-29</w:t>
            </w:r>
          </w:p>
        </w:tc>
      </w:tr>
      <w:tr w:rsidR="00BB2CB4" w:rsidRPr="00222C32" w14:paraId="1161C60C" w14:textId="77777777" w:rsidTr="00825163">
        <w:trPr>
          <w:cantSplit/>
        </w:trPr>
        <w:tc>
          <w:tcPr>
            <w:tcW w:w="2501" w:type="dxa"/>
          </w:tcPr>
          <w:p w14:paraId="002404CB" w14:textId="77777777" w:rsidR="00BB2CB4" w:rsidRPr="00222C32" w:rsidRDefault="000674DA">
            <w:pPr>
              <w:pStyle w:val="MeasureTableHeadingleftalignedwith2ptsspacing"/>
              <w:keepNext/>
            </w:pPr>
            <w:r w:rsidRPr="00222C32">
              <w:t>Department of Foreign Affairs and Trade</w:t>
            </w:r>
          </w:p>
        </w:tc>
        <w:tc>
          <w:tcPr>
            <w:tcW w:w="1044" w:type="dxa"/>
          </w:tcPr>
          <w:p w14:paraId="00D89E9D" w14:textId="77777777" w:rsidR="00BB2CB4" w:rsidRPr="00222C32" w:rsidRDefault="000674DA">
            <w:pPr>
              <w:pStyle w:val="MeasureTableDataRightAlignedwith2ptsspacing"/>
              <w:keepNext/>
            </w:pPr>
            <w:r w:rsidRPr="00222C32">
              <w:t>-</w:t>
            </w:r>
          </w:p>
        </w:tc>
        <w:tc>
          <w:tcPr>
            <w:tcW w:w="1044" w:type="dxa"/>
          </w:tcPr>
          <w:p w14:paraId="1149AFBA" w14:textId="77777777" w:rsidR="00BB2CB4" w:rsidRPr="00222C32" w:rsidRDefault="000674DA">
            <w:pPr>
              <w:pStyle w:val="MeasureTableDataRightAlignedwith2ptsspacing"/>
              <w:keepNext/>
            </w:pPr>
            <w:r w:rsidRPr="00222C32">
              <w:t>-</w:t>
            </w:r>
          </w:p>
        </w:tc>
        <w:tc>
          <w:tcPr>
            <w:tcW w:w="1044" w:type="dxa"/>
          </w:tcPr>
          <w:p w14:paraId="52E72762" w14:textId="77777777" w:rsidR="00BB2CB4" w:rsidRPr="00222C32" w:rsidRDefault="000674DA">
            <w:pPr>
              <w:pStyle w:val="MeasureTableDataRightAlignedwith2ptsspacing"/>
              <w:keepNext/>
            </w:pPr>
            <w:r w:rsidRPr="00222C32">
              <w:t>-</w:t>
            </w:r>
          </w:p>
        </w:tc>
        <w:tc>
          <w:tcPr>
            <w:tcW w:w="1044" w:type="dxa"/>
          </w:tcPr>
          <w:p w14:paraId="08DEAB3A" w14:textId="77777777" w:rsidR="00BB2CB4" w:rsidRPr="00222C32" w:rsidRDefault="000674DA">
            <w:pPr>
              <w:pStyle w:val="MeasureTableDataRightAlignedwith2ptsspacing"/>
              <w:keepNext/>
            </w:pPr>
            <w:r w:rsidRPr="00222C32">
              <w:t>-</w:t>
            </w:r>
          </w:p>
        </w:tc>
        <w:tc>
          <w:tcPr>
            <w:tcW w:w="1044" w:type="dxa"/>
          </w:tcPr>
          <w:p w14:paraId="615B94A1" w14:textId="77777777" w:rsidR="00BB2CB4" w:rsidRPr="00222C32" w:rsidRDefault="000674DA">
            <w:pPr>
              <w:pStyle w:val="MeasureTableDataRightAlignedwith2ptsspacing"/>
              <w:keepNext/>
            </w:pPr>
            <w:r w:rsidRPr="00222C32">
              <w:t>-</w:t>
            </w:r>
          </w:p>
        </w:tc>
      </w:tr>
    </w:tbl>
    <w:p w14:paraId="030A9880" w14:textId="77777777" w:rsidR="00C03854" w:rsidRDefault="00C03854" w:rsidP="00C03854">
      <w:pPr>
        <w:pStyle w:val="SingleParagraph"/>
      </w:pPr>
    </w:p>
    <w:p w14:paraId="28179B91" w14:textId="285C9BDF" w:rsidR="00BB2CB4" w:rsidRDefault="000674DA">
      <w:pPr>
        <w:pStyle w:val="Normal2"/>
      </w:pPr>
      <w:r w:rsidRPr="69C11E82">
        <w:rPr>
          <w:lang w:val="en-US"/>
        </w:rPr>
        <w:t xml:space="preserve">The Government will provide $0.4 million over four years from 2025–‍26 to support the operations of the Australia New Zealand Leadership Forum which brings together business and </w:t>
      </w:r>
      <w:r w:rsidR="00F72AD5">
        <w:rPr>
          <w:lang w:val="en-US"/>
        </w:rPr>
        <w:t>g</w:t>
      </w:r>
      <w:r w:rsidRPr="69C11E82">
        <w:rPr>
          <w:lang w:val="en-US"/>
        </w:rPr>
        <w:t>overnment organisations to foster economic and strategic collaboration between Australia and New Zealand.</w:t>
      </w:r>
    </w:p>
    <w:p w14:paraId="2CB7D821" w14:textId="77777777" w:rsidR="00BB2CB4" w:rsidRDefault="000674DA">
      <w:pPr>
        <w:pStyle w:val="Normal2"/>
      </w:pPr>
      <w:r>
        <w:t>The Department of Foreign Affairs and Trade will meet the cost of this measure from within existing resources.</w:t>
      </w:r>
    </w:p>
    <w:p w14:paraId="14C9A2F8" w14:textId="77777777" w:rsidR="00C03854" w:rsidRDefault="00C03854">
      <w:pPr>
        <w:pStyle w:val="Normal2"/>
      </w:pPr>
    </w:p>
    <w:p w14:paraId="23EB2449" w14:textId="77777777" w:rsidR="00BB2CB4" w:rsidRDefault="00BB2CB4">
      <w:pPr>
        <w:sectPr w:rsidR="00BB2CB4" w:rsidSect="00301ACF">
          <w:headerReference w:type="even" r:id="rId97"/>
          <w:headerReference w:type="default" r:id="rId98"/>
          <w:footerReference w:type="even" r:id="rId99"/>
          <w:footerReference w:type="default" r:id="rId100"/>
          <w:headerReference w:type="first" r:id="rId101"/>
          <w:footerReference w:type="first" r:id="rId102"/>
          <w:pgSz w:w="11906" w:h="16838" w:code="9"/>
          <w:pgMar w:top="2835" w:right="2098" w:bottom="2466" w:left="2098" w:header="1814" w:footer="1814" w:gutter="0"/>
          <w:cols w:space="720"/>
          <w:docGrid w:linePitch="272"/>
        </w:sectPr>
      </w:pPr>
    </w:p>
    <w:p w14:paraId="0EDBC423" w14:textId="77777777" w:rsidR="00BB2CB4" w:rsidRDefault="000674DA" w:rsidP="003D2403">
      <w:pPr>
        <w:pStyle w:val="PortfolioName"/>
        <w:spacing w:before="0"/>
      </w:pPr>
      <w:r>
        <w:lastRenderedPageBreak/>
        <w:t>Health, Disability and Ageing</w:t>
      </w:r>
    </w:p>
    <w:p w14:paraId="20002E5C" w14:textId="77777777" w:rsidR="00BB2CB4" w:rsidRDefault="000674DA">
      <w:pPr>
        <w:pStyle w:val="MeasureTitle"/>
      </w:pPr>
      <w:r>
        <w:t>ACT Primary Care and Aged Care Package</w:t>
      </w:r>
    </w:p>
    <w:p w14:paraId="41FF4960"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A93D093" w14:textId="77777777" w:rsidTr="00825163">
        <w:trPr>
          <w:cantSplit/>
        </w:trPr>
        <w:tc>
          <w:tcPr>
            <w:tcW w:w="2501" w:type="dxa"/>
          </w:tcPr>
          <w:p w14:paraId="79AECC6D" w14:textId="77777777" w:rsidR="00BB2CB4" w:rsidRPr="00222C32" w:rsidRDefault="00BB2CB4">
            <w:pPr>
              <w:pStyle w:val="MeasureTableYearHeadings"/>
              <w:keepNext/>
            </w:pPr>
          </w:p>
        </w:tc>
        <w:tc>
          <w:tcPr>
            <w:tcW w:w="1044" w:type="dxa"/>
          </w:tcPr>
          <w:p w14:paraId="41E568A9" w14:textId="77777777" w:rsidR="00BB2CB4" w:rsidRPr="00222C32" w:rsidRDefault="000674DA">
            <w:pPr>
              <w:pStyle w:val="MeasureTableYearHeadings"/>
              <w:keepNext/>
            </w:pPr>
            <w:r w:rsidRPr="00222C32">
              <w:t>2024-25</w:t>
            </w:r>
          </w:p>
        </w:tc>
        <w:tc>
          <w:tcPr>
            <w:tcW w:w="1044" w:type="dxa"/>
          </w:tcPr>
          <w:p w14:paraId="18ECE700" w14:textId="77777777" w:rsidR="00BB2CB4" w:rsidRPr="00222C32" w:rsidRDefault="000674DA">
            <w:pPr>
              <w:pStyle w:val="MeasureTableYearHeadings"/>
              <w:keepNext/>
            </w:pPr>
            <w:r w:rsidRPr="00222C32">
              <w:t>2025-26</w:t>
            </w:r>
          </w:p>
        </w:tc>
        <w:tc>
          <w:tcPr>
            <w:tcW w:w="1044" w:type="dxa"/>
          </w:tcPr>
          <w:p w14:paraId="5366A90A" w14:textId="77777777" w:rsidR="00BB2CB4" w:rsidRPr="00222C32" w:rsidRDefault="000674DA">
            <w:pPr>
              <w:pStyle w:val="MeasureTableYearHeadings"/>
              <w:keepNext/>
            </w:pPr>
            <w:r w:rsidRPr="00222C32">
              <w:t>2026-27</w:t>
            </w:r>
          </w:p>
        </w:tc>
        <w:tc>
          <w:tcPr>
            <w:tcW w:w="1044" w:type="dxa"/>
          </w:tcPr>
          <w:p w14:paraId="246FCDC2" w14:textId="77777777" w:rsidR="00BB2CB4" w:rsidRPr="00222C32" w:rsidRDefault="000674DA">
            <w:pPr>
              <w:pStyle w:val="MeasureTableYearHeadings"/>
              <w:keepNext/>
            </w:pPr>
            <w:r w:rsidRPr="00222C32">
              <w:t>2027-28</w:t>
            </w:r>
          </w:p>
        </w:tc>
        <w:tc>
          <w:tcPr>
            <w:tcW w:w="1044" w:type="dxa"/>
          </w:tcPr>
          <w:p w14:paraId="70355F3E" w14:textId="77777777" w:rsidR="00BB2CB4" w:rsidRPr="00222C32" w:rsidRDefault="000674DA">
            <w:pPr>
              <w:pStyle w:val="MeasureTableYearHeadings"/>
              <w:keepNext/>
            </w:pPr>
            <w:r w:rsidRPr="00222C32">
              <w:t>2028-29</w:t>
            </w:r>
          </w:p>
        </w:tc>
      </w:tr>
      <w:tr w:rsidR="00BB2CB4" w:rsidRPr="00222C32" w14:paraId="315371EE" w14:textId="77777777" w:rsidTr="00825163">
        <w:trPr>
          <w:cantSplit/>
        </w:trPr>
        <w:tc>
          <w:tcPr>
            <w:tcW w:w="2501" w:type="dxa"/>
          </w:tcPr>
          <w:p w14:paraId="23B56568" w14:textId="77777777" w:rsidR="00BB2CB4" w:rsidRPr="00222C32" w:rsidRDefault="000674DA">
            <w:pPr>
              <w:pStyle w:val="MeasureTableHeadingleftalignedwith2ptsspacing"/>
              <w:keepNext/>
            </w:pPr>
            <w:r w:rsidRPr="00222C32">
              <w:t>Department of Health, Disability and Ageing</w:t>
            </w:r>
          </w:p>
        </w:tc>
        <w:tc>
          <w:tcPr>
            <w:tcW w:w="1044" w:type="dxa"/>
          </w:tcPr>
          <w:p w14:paraId="00FFFDA2" w14:textId="77777777" w:rsidR="00BB2CB4" w:rsidRPr="00222C32" w:rsidRDefault="000674DA">
            <w:pPr>
              <w:pStyle w:val="MeasureTableDataRightAlignedwith2ptsspacing"/>
              <w:keepNext/>
            </w:pPr>
            <w:r w:rsidRPr="00222C32">
              <w:t>-</w:t>
            </w:r>
          </w:p>
        </w:tc>
        <w:tc>
          <w:tcPr>
            <w:tcW w:w="1044" w:type="dxa"/>
          </w:tcPr>
          <w:p w14:paraId="77B1E1D3" w14:textId="77777777" w:rsidR="00BB2CB4" w:rsidRPr="00222C32" w:rsidRDefault="000674DA">
            <w:pPr>
              <w:pStyle w:val="MeasureTableDataRightAlignedwith2ptsspacing"/>
              <w:keepNext/>
            </w:pPr>
            <w:r w:rsidRPr="00222C32">
              <w:t>12.5</w:t>
            </w:r>
          </w:p>
        </w:tc>
        <w:tc>
          <w:tcPr>
            <w:tcW w:w="1044" w:type="dxa"/>
          </w:tcPr>
          <w:p w14:paraId="7E3161C6" w14:textId="77777777" w:rsidR="00BB2CB4" w:rsidRPr="00222C32" w:rsidRDefault="000674DA">
            <w:pPr>
              <w:pStyle w:val="MeasureTableDataRightAlignedwith2ptsspacing"/>
              <w:keepNext/>
            </w:pPr>
            <w:r w:rsidRPr="00222C32">
              <w:t>6.4</w:t>
            </w:r>
          </w:p>
        </w:tc>
        <w:tc>
          <w:tcPr>
            <w:tcW w:w="1044" w:type="dxa"/>
          </w:tcPr>
          <w:p w14:paraId="4780D38D" w14:textId="77777777" w:rsidR="00BB2CB4" w:rsidRPr="00222C32" w:rsidRDefault="000674DA">
            <w:pPr>
              <w:pStyle w:val="MeasureTableDataRightAlignedwith2ptsspacing"/>
              <w:keepNext/>
            </w:pPr>
            <w:r w:rsidRPr="00222C32">
              <w:t>5.4</w:t>
            </w:r>
          </w:p>
        </w:tc>
        <w:tc>
          <w:tcPr>
            <w:tcW w:w="1044" w:type="dxa"/>
          </w:tcPr>
          <w:p w14:paraId="3440B458" w14:textId="77777777" w:rsidR="00BB2CB4" w:rsidRPr="00222C32" w:rsidRDefault="000674DA">
            <w:pPr>
              <w:pStyle w:val="MeasureTableDataRightAlignedwith2ptsspacing"/>
              <w:keepNext/>
            </w:pPr>
            <w:r w:rsidRPr="00222C32">
              <w:t>-</w:t>
            </w:r>
          </w:p>
        </w:tc>
      </w:tr>
    </w:tbl>
    <w:p w14:paraId="16B4D361" w14:textId="77777777" w:rsidR="00BB5D0B" w:rsidRDefault="00BB5D0B" w:rsidP="00BB5D0B">
      <w:pPr>
        <w:pStyle w:val="SingleParagraph"/>
      </w:pPr>
    </w:p>
    <w:p w14:paraId="51F95763" w14:textId="77777777" w:rsidR="00BB2CB4" w:rsidRDefault="000674DA">
      <w:pPr>
        <w:pStyle w:val="Normal2"/>
      </w:pPr>
      <w:r>
        <w:t>The Government will provide $24.4 million over four years from 2025–‍26 to deliver a health and aged care package for the Australian Capital Territory (ACT). Funding includes:</w:t>
      </w:r>
    </w:p>
    <w:p w14:paraId="659A53CB" w14:textId="77777777" w:rsidR="00BB2CB4" w:rsidRDefault="000674DA">
      <w:pPr>
        <w:pStyle w:val="Bullet"/>
      </w:pPr>
      <w:r>
        <w:t>$10.5 million over three years from 2025–‍26 to deliver three new fully bulk billed general practice clinics to provide greater access to bulk billing in the ACT</w:t>
      </w:r>
    </w:p>
    <w:p w14:paraId="6C8D82FC" w14:textId="77777777" w:rsidR="00BB2CB4" w:rsidRDefault="000674DA">
      <w:pPr>
        <w:pStyle w:val="Bullet"/>
      </w:pPr>
      <w:r>
        <w:t>$10.1 million over four years from 2025–‍26 in new capital infrastructure to increase the availability of respite care in the ACT</w:t>
      </w:r>
    </w:p>
    <w:p w14:paraId="0BE70180" w14:textId="77777777" w:rsidR="00BB2CB4" w:rsidRDefault="000674DA">
      <w:pPr>
        <w:pStyle w:val="Bullet"/>
      </w:pPr>
      <w:r>
        <w:t>$3.8 million over three years from 2025–‍26 to support a private provider to operate the Interchange Health Co‑op in Tuggeranong and maintain bulk billing.</w:t>
      </w:r>
    </w:p>
    <w:p w14:paraId="38313A08" w14:textId="77777777" w:rsidR="00BB2CB4" w:rsidRDefault="000674DA">
      <w:pPr>
        <w:pStyle w:val="Normal2"/>
      </w:pPr>
      <w:r w:rsidRPr="69C11E82">
        <w:rPr>
          <w:lang w:val="en-US"/>
        </w:rPr>
        <w:t>The Department of Health, Disability and Ageing will partially meet the cost of this measure from within existing resources.</w:t>
      </w:r>
    </w:p>
    <w:p w14:paraId="538C1707" w14:textId="03D482C5"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405C4461" w14:textId="77777777" w:rsidR="00BB2CB4" w:rsidRDefault="000674DA">
      <w:pPr>
        <w:pStyle w:val="MeasureTitle"/>
      </w:pPr>
      <w:r>
        <w:t>An Effective and Clinically Appropriate Medicare Benefits Schedule</w:t>
      </w:r>
    </w:p>
    <w:p w14:paraId="2EB8191A"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6D07AF9" w14:textId="77777777" w:rsidTr="00825163">
        <w:trPr>
          <w:cantSplit/>
        </w:trPr>
        <w:tc>
          <w:tcPr>
            <w:tcW w:w="2501" w:type="dxa"/>
          </w:tcPr>
          <w:p w14:paraId="67A7C872" w14:textId="77777777" w:rsidR="00BB2CB4" w:rsidRPr="00222C32" w:rsidRDefault="00BB2CB4">
            <w:pPr>
              <w:pStyle w:val="MeasureTableYearHeadings"/>
              <w:keepNext/>
            </w:pPr>
          </w:p>
        </w:tc>
        <w:tc>
          <w:tcPr>
            <w:tcW w:w="1044" w:type="dxa"/>
          </w:tcPr>
          <w:p w14:paraId="2AC19AA0" w14:textId="77777777" w:rsidR="00BB2CB4" w:rsidRPr="00222C32" w:rsidRDefault="000674DA">
            <w:pPr>
              <w:pStyle w:val="MeasureTableYearHeadings"/>
              <w:keepNext/>
            </w:pPr>
            <w:r w:rsidRPr="00222C32">
              <w:t>2024-25</w:t>
            </w:r>
          </w:p>
        </w:tc>
        <w:tc>
          <w:tcPr>
            <w:tcW w:w="1044" w:type="dxa"/>
          </w:tcPr>
          <w:p w14:paraId="6055C477" w14:textId="77777777" w:rsidR="00BB2CB4" w:rsidRPr="00222C32" w:rsidRDefault="000674DA">
            <w:pPr>
              <w:pStyle w:val="MeasureTableYearHeadings"/>
              <w:keepNext/>
            </w:pPr>
            <w:r w:rsidRPr="00222C32">
              <w:t>2025-26</w:t>
            </w:r>
          </w:p>
        </w:tc>
        <w:tc>
          <w:tcPr>
            <w:tcW w:w="1044" w:type="dxa"/>
          </w:tcPr>
          <w:p w14:paraId="555EE8FD" w14:textId="77777777" w:rsidR="00BB2CB4" w:rsidRPr="00222C32" w:rsidRDefault="000674DA">
            <w:pPr>
              <w:pStyle w:val="MeasureTableYearHeadings"/>
              <w:keepNext/>
            </w:pPr>
            <w:r w:rsidRPr="00222C32">
              <w:t>2026-27</w:t>
            </w:r>
          </w:p>
        </w:tc>
        <w:tc>
          <w:tcPr>
            <w:tcW w:w="1044" w:type="dxa"/>
          </w:tcPr>
          <w:p w14:paraId="351D10FF" w14:textId="77777777" w:rsidR="00BB2CB4" w:rsidRPr="00222C32" w:rsidRDefault="000674DA">
            <w:pPr>
              <w:pStyle w:val="MeasureTableYearHeadings"/>
              <w:keepNext/>
            </w:pPr>
            <w:r w:rsidRPr="00222C32">
              <w:t>2027-28</w:t>
            </w:r>
          </w:p>
        </w:tc>
        <w:tc>
          <w:tcPr>
            <w:tcW w:w="1044" w:type="dxa"/>
          </w:tcPr>
          <w:p w14:paraId="3721CD5F" w14:textId="77777777" w:rsidR="00BB2CB4" w:rsidRPr="00222C32" w:rsidRDefault="000674DA">
            <w:pPr>
              <w:pStyle w:val="MeasureTableYearHeadings"/>
              <w:keepNext/>
            </w:pPr>
            <w:r w:rsidRPr="00222C32">
              <w:t>2028-29</w:t>
            </w:r>
          </w:p>
        </w:tc>
      </w:tr>
      <w:tr w:rsidR="00BB2CB4" w:rsidRPr="00222C32" w14:paraId="3BA0FAB5" w14:textId="77777777" w:rsidTr="00CB41EA">
        <w:trPr>
          <w:cantSplit/>
        </w:trPr>
        <w:tc>
          <w:tcPr>
            <w:tcW w:w="2501" w:type="dxa"/>
          </w:tcPr>
          <w:p w14:paraId="270A648C" w14:textId="77777777" w:rsidR="00BB2CB4" w:rsidRPr="00222C32" w:rsidRDefault="000674DA">
            <w:pPr>
              <w:pStyle w:val="MeasureTableHeadingleftalignedwith2ptsspacing"/>
              <w:keepNext/>
            </w:pPr>
            <w:r w:rsidRPr="00222C32">
              <w:t>Services Australia</w:t>
            </w:r>
          </w:p>
        </w:tc>
        <w:tc>
          <w:tcPr>
            <w:tcW w:w="1044" w:type="dxa"/>
          </w:tcPr>
          <w:p w14:paraId="54C00A47" w14:textId="77777777" w:rsidR="00BB2CB4" w:rsidRPr="00222C32" w:rsidRDefault="000674DA">
            <w:pPr>
              <w:pStyle w:val="MeasureTableDataRightAlignedwith2ptsspacing"/>
              <w:keepNext/>
            </w:pPr>
            <w:r w:rsidRPr="00222C32">
              <w:t>-</w:t>
            </w:r>
          </w:p>
        </w:tc>
        <w:tc>
          <w:tcPr>
            <w:tcW w:w="1044" w:type="dxa"/>
          </w:tcPr>
          <w:p w14:paraId="66572134" w14:textId="77777777" w:rsidR="00BB2CB4" w:rsidRPr="00222C32" w:rsidRDefault="000674DA">
            <w:pPr>
              <w:pStyle w:val="MeasureTableDataRightAlignedwith2ptsspacing"/>
              <w:keepNext/>
            </w:pPr>
            <w:r w:rsidRPr="00222C32">
              <w:t>8.1</w:t>
            </w:r>
          </w:p>
        </w:tc>
        <w:tc>
          <w:tcPr>
            <w:tcW w:w="1044" w:type="dxa"/>
          </w:tcPr>
          <w:p w14:paraId="37A1B8CF" w14:textId="77777777" w:rsidR="00BB2CB4" w:rsidRPr="00222C32" w:rsidRDefault="000674DA">
            <w:pPr>
              <w:pStyle w:val="MeasureTableDataRightAlignedwith2ptsspacing"/>
              <w:keepNext/>
            </w:pPr>
            <w:r w:rsidRPr="00222C32">
              <w:t>3.1</w:t>
            </w:r>
          </w:p>
        </w:tc>
        <w:tc>
          <w:tcPr>
            <w:tcW w:w="1044" w:type="dxa"/>
          </w:tcPr>
          <w:p w14:paraId="523BACC6" w14:textId="77777777" w:rsidR="00BB2CB4" w:rsidRPr="00222C32" w:rsidRDefault="000674DA">
            <w:pPr>
              <w:pStyle w:val="MeasureTableDataRightAlignedwith2ptsspacing"/>
              <w:keepNext/>
            </w:pPr>
            <w:r w:rsidRPr="00222C32">
              <w:t>-0.4</w:t>
            </w:r>
          </w:p>
        </w:tc>
        <w:tc>
          <w:tcPr>
            <w:tcW w:w="1044" w:type="dxa"/>
          </w:tcPr>
          <w:p w14:paraId="565FFE05" w14:textId="77777777" w:rsidR="00BB2CB4" w:rsidRPr="00222C32" w:rsidRDefault="000674DA">
            <w:pPr>
              <w:pStyle w:val="MeasureTableDataRightAlignedwith2ptsspacing"/>
              <w:keepNext/>
            </w:pPr>
            <w:r w:rsidRPr="00222C32">
              <w:t>0.4</w:t>
            </w:r>
          </w:p>
        </w:tc>
      </w:tr>
      <w:tr w:rsidR="00BB2CB4" w:rsidRPr="00222C32" w14:paraId="78423793" w14:textId="77777777" w:rsidTr="00CB41EA">
        <w:trPr>
          <w:cantSplit/>
        </w:trPr>
        <w:tc>
          <w:tcPr>
            <w:tcW w:w="2501" w:type="dxa"/>
          </w:tcPr>
          <w:p w14:paraId="29BEB305" w14:textId="0AA9815B"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13E68250" w14:textId="77777777" w:rsidR="00BB2CB4" w:rsidRPr="00222C32" w:rsidRDefault="000674DA">
            <w:pPr>
              <w:pStyle w:val="MeasureTableDataRightAlignedwith2ptsspacing"/>
              <w:keepNext/>
            </w:pPr>
            <w:r w:rsidRPr="00222C32">
              <w:t>-</w:t>
            </w:r>
          </w:p>
        </w:tc>
        <w:tc>
          <w:tcPr>
            <w:tcW w:w="1044" w:type="dxa"/>
          </w:tcPr>
          <w:p w14:paraId="0D21F315" w14:textId="77777777" w:rsidR="00BB2CB4" w:rsidRPr="00222C32" w:rsidRDefault="000674DA">
            <w:pPr>
              <w:pStyle w:val="MeasureTableDataRightAlignedwith2ptsspacing"/>
              <w:keepNext/>
            </w:pPr>
            <w:r w:rsidRPr="00222C32">
              <w:t>..</w:t>
            </w:r>
          </w:p>
        </w:tc>
        <w:tc>
          <w:tcPr>
            <w:tcW w:w="1044" w:type="dxa"/>
          </w:tcPr>
          <w:p w14:paraId="6A77330F" w14:textId="77777777" w:rsidR="00BB2CB4" w:rsidRPr="00222C32" w:rsidRDefault="000674DA">
            <w:pPr>
              <w:pStyle w:val="MeasureTableDataRightAlignedwith2ptsspacing"/>
              <w:keepNext/>
            </w:pPr>
            <w:r w:rsidRPr="00222C32">
              <w:t>0.3</w:t>
            </w:r>
          </w:p>
        </w:tc>
        <w:tc>
          <w:tcPr>
            <w:tcW w:w="1044" w:type="dxa"/>
          </w:tcPr>
          <w:p w14:paraId="79EEBCC2" w14:textId="77777777" w:rsidR="00BB2CB4" w:rsidRPr="00222C32" w:rsidRDefault="000674DA">
            <w:pPr>
              <w:pStyle w:val="MeasureTableDataRightAlignedwith2ptsspacing"/>
              <w:keepNext/>
            </w:pPr>
            <w:r w:rsidRPr="00222C32">
              <w:t>0.5</w:t>
            </w:r>
          </w:p>
        </w:tc>
        <w:tc>
          <w:tcPr>
            <w:tcW w:w="1044" w:type="dxa"/>
          </w:tcPr>
          <w:p w14:paraId="56CC5769" w14:textId="77777777" w:rsidR="00BB2CB4" w:rsidRPr="00222C32" w:rsidRDefault="000674DA">
            <w:pPr>
              <w:pStyle w:val="MeasureTableDataRightAlignedwith2ptsspacing"/>
              <w:keepNext/>
            </w:pPr>
            <w:r w:rsidRPr="00222C32">
              <w:t>0.7</w:t>
            </w:r>
          </w:p>
        </w:tc>
      </w:tr>
      <w:tr w:rsidR="00BB2CB4" w:rsidRPr="00222C32" w14:paraId="117B5836" w14:textId="77777777" w:rsidTr="00825163">
        <w:trPr>
          <w:cantSplit/>
        </w:trPr>
        <w:tc>
          <w:tcPr>
            <w:tcW w:w="2501" w:type="dxa"/>
          </w:tcPr>
          <w:p w14:paraId="1F5AF9D7" w14:textId="77777777" w:rsidR="00BB2CB4" w:rsidRPr="00222C32" w:rsidRDefault="000674DA">
            <w:pPr>
              <w:pStyle w:val="MeasureTableHeadingleftalignedwith2ptsspacing"/>
              <w:keepNext/>
            </w:pPr>
            <w:r w:rsidRPr="00222C32">
              <w:t>Department of Health, Disability and Ageing</w:t>
            </w:r>
          </w:p>
        </w:tc>
        <w:tc>
          <w:tcPr>
            <w:tcW w:w="1044" w:type="dxa"/>
          </w:tcPr>
          <w:p w14:paraId="002F7544" w14:textId="77777777" w:rsidR="00BB2CB4" w:rsidRPr="00222C32" w:rsidRDefault="000674DA">
            <w:pPr>
              <w:pStyle w:val="MeasureTableDataRightAlignedwith2ptsspacing"/>
              <w:keepNext/>
            </w:pPr>
            <w:r w:rsidRPr="00222C32">
              <w:t>-</w:t>
            </w:r>
          </w:p>
        </w:tc>
        <w:tc>
          <w:tcPr>
            <w:tcW w:w="1044" w:type="dxa"/>
          </w:tcPr>
          <w:p w14:paraId="37B2621C" w14:textId="77777777" w:rsidR="00BB2CB4" w:rsidRPr="00222C32" w:rsidRDefault="000674DA">
            <w:pPr>
              <w:pStyle w:val="MeasureTableDataRightAlignedwith2ptsspacing"/>
              <w:keepNext/>
            </w:pPr>
            <w:r w:rsidRPr="00222C32">
              <w:t>-24.6</w:t>
            </w:r>
          </w:p>
        </w:tc>
        <w:tc>
          <w:tcPr>
            <w:tcW w:w="1044" w:type="dxa"/>
          </w:tcPr>
          <w:p w14:paraId="516A8CB0" w14:textId="77777777" w:rsidR="00BB2CB4" w:rsidRPr="00222C32" w:rsidRDefault="000674DA">
            <w:pPr>
              <w:pStyle w:val="MeasureTableDataRightAlignedwith2ptsspacing"/>
              <w:keepNext/>
            </w:pPr>
            <w:r w:rsidRPr="00222C32">
              <w:t>-20.1</w:t>
            </w:r>
          </w:p>
        </w:tc>
        <w:tc>
          <w:tcPr>
            <w:tcW w:w="1044" w:type="dxa"/>
          </w:tcPr>
          <w:p w14:paraId="7FA40CDB" w14:textId="77777777" w:rsidR="00BB2CB4" w:rsidRPr="00222C32" w:rsidRDefault="000674DA">
            <w:pPr>
              <w:pStyle w:val="MeasureTableDataRightAlignedwith2ptsspacing"/>
              <w:keepNext/>
            </w:pPr>
            <w:r w:rsidRPr="00222C32">
              <w:t>-12.1</w:t>
            </w:r>
          </w:p>
        </w:tc>
        <w:tc>
          <w:tcPr>
            <w:tcW w:w="1044" w:type="dxa"/>
          </w:tcPr>
          <w:p w14:paraId="538E345B" w14:textId="77777777" w:rsidR="00BB2CB4" w:rsidRPr="00222C32" w:rsidRDefault="000674DA">
            <w:pPr>
              <w:pStyle w:val="MeasureTableDataRightAlignedwith2ptsspacing"/>
              <w:keepNext/>
            </w:pPr>
            <w:r w:rsidRPr="00222C32">
              <w:t>-16.9</w:t>
            </w:r>
          </w:p>
        </w:tc>
      </w:tr>
      <w:tr w:rsidR="00BB2CB4" w:rsidRPr="00222C32" w14:paraId="21DBBF32" w14:textId="77777777" w:rsidTr="00825163">
        <w:trPr>
          <w:cantSplit/>
        </w:trPr>
        <w:tc>
          <w:tcPr>
            <w:tcW w:w="2501" w:type="dxa"/>
          </w:tcPr>
          <w:p w14:paraId="43F3B83A" w14:textId="77777777" w:rsidR="00BB2CB4" w:rsidRPr="00222C32" w:rsidRDefault="000674DA">
            <w:pPr>
              <w:pStyle w:val="Totalrowleftaligned"/>
              <w:keepNext/>
            </w:pPr>
            <w:r w:rsidRPr="00222C32">
              <w:t>Total – Payments</w:t>
            </w:r>
          </w:p>
        </w:tc>
        <w:tc>
          <w:tcPr>
            <w:tcW w:w="1044" w:type="dxa"/>
          </w:tcPr>
          <w:p w14:paraId="77EF7424" w14:textId="77777777" w:rsidR="00BB2CB4" w:rsidRPr="00222C32" w:rsidRDefault="000674DA">
            <w:pPr>
              <w:pStyle w:val="Totaldatarowrightaligned"/>
              <w:keepNext/>
            </w:pPr>
            <w:r w:rsidRPr="00222C32">
              <w:t>-</w:t>
            </w:r>
          </w:p>
        </w:tc>
        <w:tc>
          <w:tcPr>
            <w:tcW w:w="1044" w:type="dxa"/>
          </w:tcPr>
          <w:p w14:paraId="38477892" w14:textId="77777777" w:rsidR="00BB2CB4" w:rsidRPr="00222C32" w:rsidRDefault="000674DA">
            <w:pPr>
              <w:pStyle w:val="Totaldatarowrightaligned"/>
              <w:keepNext/>
            </w:pPr>
            <w:r w:rsidRPr="00222C32">
              <w:t>-16.4</w:t>
            </w:r>
          </w:p>
        </w:tc>
        <w:tc>
          <w:tcPr>
            <w:tcW w:w="1044" w:type="dxa"/>
          </w:tcPr>
          <w:p w14:paraId="28E95DAB" w14:textId="77777777" w:rsidR="00BB2CB4" w:rsidRPr="00222C32" w:rsidRDefault="000674DA">
            <w:pPr>
              <w:pStyle w:val="Totaldatarowrightaligned"/>
              <w:keepNext/>
            </w:pPr>
            <w:r w:rsidRPr="00222C32">
              <w:t>-16.7</w:t>
            </w:r>
          </w:p>
        </w:tc>
        <w:tc>
          <w:tcPr>
            <w:tcW w:w="1044" w:type="dxa"/>
          </w:tcPr>
          <w:p w14:paraId="1BBB40CA" w14:textId="77777777" w:rsidR="00BB2CB4" w:rsidRPr="00222C32" w:rsidRDefault="000674DA">
            <w:pPr>
              <w:pStyle w:val="Totaldatarowrightaligned"/>
              <w:keepNext/>
            </w:pPr>
            <w:r w:rsidRPr="00222C32">
              <w:t>-12.0</w:t>
            </w:r>
          </w:p>
        </w:tc>
        <w:tc>
          <w:tcPr>
            <w:tcW w:w="1044" w:type="dxa"/>
          </w:tcPr>
          <w:p w14:paraId="79B14CC9" w14:textId="77777777" w:rsidR="00BB2CB4" w:rsidRPr="00222C32" w:rsidRDefault="000674DA">
            <w:pPr>
              <w:pStyle w:val="Totaldatarowrightaligned"/>
              <w:keepNext/>
            </w:pPr>
            <w:r w:rsidRPr="00222C32">
              <w:t>-15.8</w:t>
            </w:r>
          </w:p>
        </w:tc>
      </w:tr>
    </w:tbl>
    <w:p w14:paraId="3F5758F1" w14:textId="77777777" w:rsidR="00BB5D0B" w:rsidRDefault="00BB5D0B" w:rsidP="00BB5D0B">
      <w:pPr>
        <w:pStyle w:val="SingleParagraph"/>
      </w:pPr>
    </w:p>
    <w:p w14:paraId="45AE8DD5" w14:textId="77777777" w:rsidR="00BB2CB4" w:rsidRDefault="000674DA">
      <w:pPr>
        <w:pStyle w:val="Normal2"/>
      </w:pPr>
      <w:r w:rsidRPr="69C11E82">
        <w:rPr>
          <w:lang w:val="en-US"/>
        </w:rPr>
        <w:t>The Government will provide $118.1 million over four years from 2025–‍26 (and $40.5 million per year ongoing) to ensure the Medicare Benefits Schedule (MBS) remains clinically appropriate and reflects modern medical practices, including:</w:t>
      </w:r>
    </w:p>
    <w:p w14:paraId="54840676" w14:textId="77777777" w:rsidR="00BB2CB4" w:rsidRDefault="000674DA">
      <w:pPr>
        <w:pStyle w:val="Bullet"/>
      </w:pPr>
      <w:r>
        <w:t>$24.0 million over four years from 2025–‍26 (and $8.1 million per year ongoing) to amend the descriptions of selected electrocardiogram MBS items to more appropriately reflect the responsibility and clinical duty of medical practitioners who perform the service</w:t>
      </w:r>
    </w:p>
    <w:p w14:paraId="67F8ADCA" w14:textId="77777777" w:rsidR="00BB2CB4" w:rsidRDefault="000674DA">
      <w:pPr>
        <w:pStyle w:val="Bullet"/>
      </w:pPr>
      <w:r>
        <w:t>$23.3 million over two years from 2026–‍27 to extend the MBS Continuous Review program to ensure the MBS remains clinically appropriate</w:t>
      </w:r>
    </w:p>
    <w:p w14:paraId="4A2FFED1" w14:textId="175DC48F" w:rsidR="00BB2CB4" w:rsidRDefault="000674DA">
      <w:pPr>
        <w:pStyle w:val="Bullet"/>
      </w:pPr>
      <w:r>
        <w:lastRenderedPageBreak/>
        <w:t>$16.6 million over four years from 2025–‍26 (and $15.9 million per year ongoing) for a Xeomin</w:t>
      </w:r>
      <w:r w:rsidR="00570B2F" w:rsidRPr="00825163">
        <w:rPr>
          <w:vertAlign w:val="superscript"/>
        </w:rPr>
        <w:t>®</w:t>
      </w:r>
      <w:r>
        <w:t xml:space="preserve"> injection for the treatment of chronic sialorrhea associated with neurological or neurodevelopmental disorders</w:t>
      </w:r>
    </w:p>
    <w:p w14:paraId="2E4F6900" w14:textId="77777777" w:rsidR="00BB2CB4" w:rsidRDefault="000674DA">
      <w:pPr>
        <w:pStyle w:val="Bullet"/>
      </w:pPr>
      <w:r>
        <w:t xml:space="preserve">$14.6 million over four years from 2025–‍26 (and $0.2 million per year ongoing) to support implementation of changes to the </w:t>
      </w:r>
      <w:r w:rsidRPr="000674DA">
        <w:rPr>
          <w:i/>
        </w:rPr>
        <w:t>Health Insurance Act 1973</w:t>
      </w:r>
      <w:r>
        <w:t xml:space="preserve"> to modernise and simplify the assignment of Medicare benefits</w:t>
      </w:r>
    </w:p>
    <w:p w14:paraId="377BED02" w14:textId="77777777" w:rsidR="00BB2CB4" w:rsidRDefault="000674DA">
      <w:pPr>
        <w:pStyle w:val="Bullet"/>
      </w:pPr>
      <w:r>
        <w:t>$9.3 million over four years from 2025–‍26 (and $2.8 million per year ongoing) to introduce patient end support MBS items for eligible Medicare providers who are providing in‑person support to a MyMedicare registered patient during a GP video consultation.</w:t>
      </w:r>
    </w:p>
    <w:p w14:paraId="28402E8F" w14:textId="77777777" w:rsidR="00BB2CB4" w:rsidRDefault="000674DA">
      <w:pPr>
        <w:pStyle w:val="Normal2"/>
      </w:pPr>
      <w:r>
        <w:t>The Government will also achieve efficiencies of $179.1 million over four years from 2025–‍26 (and $47.8 million per year ongoing), including:</w:t>
      </w:r>
    </w:p>
    <w:p w14:paraId="4146ECB4" w14:textId="77777777" w:rsidR="00BB2CB4" w:rsidRDefault="000674DA">
      <w:pPr>
        <w:pStyle w:val="Bullet"/>
      </w:pPr>
      <w:r>
        <w:t>$175.8 million over four years from 2025–‍26 (and $46.7 million per year ongoing) by not proceeding with the Frequent Hospital Users program with funding to be reinvested in new or expanded health services</w:t>
      </w:r>
    </w:p>
    <w:p w14:paraId="58F39D8A" w14:textId="77777777" w:rsidR="00BB2CB4" w:rsidRDefault="000674DA">
      <w:pPr>
        <w:pStyle w:val="Bullet"/>
      </w:pPr>
      <w:r>
        <w:t>$1.9 million over three years from 2026–‍27 (and $0.6 million per year ongoing) through removing the requirement for two separate hepatitis C virus enzyme immunoassay tests to be performed prior to HCV ribonucleic acid testing</w:t>
      </w:r>
    </w:p>
    <w:p w14:paraId="14EFA368" w14:textId="77777777" w:rsidR="00BB2CB4" w:rsidRDefault="000674DA">
      <w:pPr>
        <w:pStyle w:val="Bullet"/>
      </w:pPr>
      <w:r>
        <w:t>$1.1 million over three years from 2026–‍27 (and $0.4 million per year ongoing) through an amendment to MBS item 55133 to allow repeat echocardiograms required to monitor patients prescribed cardiac medications with possible cardiotoxic effects.</w:t>
      </w:r>
    </w:p>
    <w:p w14:paraId="485C9251" w14:textId="77777777" w:rsidR="00BB2CB4" w:rsidRDefault="000674DA">
      <w:pPr>
        <w:pStyle w:val="Normal2"/>
      </w:pPr>
      <w:r>
        <w:t xml:space="preserve">This measure builds on the 2022–‍23 October Budget measure titled </w:t>
      </w:r>
      <w:r w:rsidRPr="000674DA">
        <w:rPr>
          <w:i/>
        </w:rPr>
        <w:t>Medicare Benefits Schedule – new and amended listings</w:t>
      </w:r>
      <w:r>
        <w:t xml:space="preserve">, the 2023–‍24 Budget measure titled </w:t>
      </w:r>
      <w:r w:rsidRPr="000674DA">
        <w:rPr>
          <w:i/>
        </w:rPr>
        <w:t>A Modern and Clinically Appropriate Medicare Benefits Schedule</w:t>
      </w:r>
      <w:r>
        <w:t xml:space="preserve">, the 2023–‍24 MYEFO measure titled </w:t>
      </w:r>
      <w:r w:rsidRPr="000674DA">
        <w:rPr>
          <w:i/>
        </w:rPr>
        <w:t>An Effective and Clinically Appropriate Medicare</w:t>
      </w:r>
      <w:r>
        <w:t xml:space="preserve">, the 2024–‍25 Budget measure titled </w:t>
      </w:r>
      <w:r w:rsidRPr="000674DA">
        <w:rPr>
          <w:i/>
        </w:rPr>
        <w:t>Strengthening Medicare – an effective and clinically appropriate Medicare Benefits Schedule (MBS)</w:t>
      </w:r>
      <w:r>
        <w:t xml:space="preserve">, the 2024–‍25 MYEFO measure titled </w:t>
      </w:r>
      <w:r w:rsidRPr="000674DA">
        <w:rPr>
          <w:i/>
        </w:rPr>
        <w:t>An Effective and Clinically Appropriate Medicare Benefits Schedule</w:t>
      </w:r>
      <w:r>
        <w:t xml:space="preserve"> and the 2025–‍26 Budget measure titled </w:t>
      </w:r>
      <w:r w:rsidRPr="000674DA">
        <w:rPr>
          <w:i/>
        </w:rPr>
        <w:t>Strengthening Medicare</w:t>
      </w:r>
      <w:r>
        <w:t>.</w:t>
      </w:r>
    </w:p>
    <w:p w14:paraId="2265F67C" w14:textId="77777777" w:rsidR="00BB2CB4" w:rsidRDefault="000674DA" w:rsidP="002E4C9D">
      <w:pPr>
        <w:pStyle w:val="MeasureTitle"/>
        <w:keepLines/>
      </w:pPr>
      <w:r>
        <w:lastRenderedPageBreak/>
        <w:t>Delivering Election Commitments in the Health, Disability and Ageing Portfolio</w:t>
      </w:r>
    </w:p>
    <w:p w14:paraId="3CADAA58" w14:textId="77777777" w:rsidR="00BB2CB4" w:rsidRDefault="000674DA" w:rsidP="002E4C9D">
      <w:pPr>
        <w:pStyle w:val="MeasureTableHeading"/>
        <w:keepLines/>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56229FE9" w14:textId="77777777" w:rsidTr="00825163">
        <w:tc>
          <w:tcPr>
            <w:tcW w:w="2500" w:type="dxa"/>
            <w:tcBorders>
              <w:top w:val="single" w:sz="4" w:space="0" w:color="293F5B"/>
              <w:bottom w:val="single" w:sz="4" w:space="0" w:color="293F5B"/>
            </w:tcBorders>
          </w:tcPr>
          <w:p w14:paraId="6D6CCDC1" w14:textId="77777777" w:rsidR="00BB2CB4" w:rsidRPr="00222C32" w:rsidRDefault="00BB2CB4" w:rsidP="002E4C9D">
            <w:pPr>
              <w:pStyle w:val="MeasureTableYearHeadings"/>
              <w:keepNext/>
            </w:pPr>
          </w:p>
        </w:tc>
        <w:tc>
          <w:tcPr>
            <w:tcW w:w="1043" w:type="dxa"/>
            <w:tcBorders>
              <w:top w:val="single" w:sz="4" w:space="0" w:color="293F5B"/>
              <w:bottom w:val="single" w:sz="4" w:space="0" w:color="293F5B"/>
            </w:tcBorders>
          </w:tcPr>
          <w:p w14:paraId="021E5283" w14:textId="77777777" w:rsidR="00BB2CB4" w:rsidRPr="00222C32" w:rsidRDefault="000674DA" w:rsidP="002E4C9D">
            <w:pPr>
              <w:pStyle w:val="MeasureTableYearHeadings"/>
              <w:keepNext/>
            </w:pPr>
            <w:r w:rsidRPr="00222C32">
              <w:t>2024-25</w:t>
            </w:r>
          </w:p>
        </w:tc>
        <w:tc>
          <w:tcPr>
            <w:tcW w:w="1043" w:type="dxa"/>
            <w:tcBorders>
              <w:top w:val="single" w:sz="4" w:space="0" w:color="293F5B"/>
              <w:bottom w:val="single" w:sz="4" w:space="0" w:color="293F5B"/>
            </w:tcBorders>
          </w:tcPr>
          <w:p w14:paraId="6050268F" w14:textId="77777777" w:rsidR="00BB2CB4" w:rsidRPr="00222C32" w:rsidRDefault="000674DA" w:rsidP="002E4C9D">
            <w:pPr>
              <w:pStyle w:val="MeasureTableYearHeadings"/>
              <w:keepNext/>
            </w:pPr>
            <w:r w:rsidRPr="00222C32">
              <w:t>2025-26</w:t>
            </w:r>
          </w:p>
        </w:tc>
        <w:tc>
          <w:tcPr>
            <w:tcW w:w="1043" w:type="dxa"/>
            <w:tcBorders>
              <w:top w:val="single" w:sz="4" w:space="0" w:color="293F5B"/>
              <w:bottom w:val="single" w:sz="4" w:space="0" w:color="293F5B"/>
            </w:tcBorders>
          </w:tcPr>
          <w:p w14:paraId="7DE413EA" w14:textId="77777777" w:rsidR="00BB2CB4" w:rsidRPr="00222C32" w:rsidRDefault="000674DA" w:rsidP="002E4C9D">
            <w:pPr>
              <w:pStyle w:val="MeasureTableYearHeadings"/>
              <w:keepNext/>
            </w:pPr>
            <w:r w:rsidRPr="00222C32">
              <w:t>2026-27</w:t>
            </w:r>
          </w:p>
        </w:tc>
        <w:tc>
          <w:tcPr>
            <w:tcW w:w="1043" w:type="dxa"/>
            <w:tcBorders>
              <w:top w:val="single" w:sz="4" w:space="0" w:color="293F5B"/>
              <w:bottom w:val="single" w:sz="4" w:space="0" w:color="293F5B"/>
            </w:tcBorders>
          </w:tcPr>
          <w:p w14:paraId="31DCF24B" w14:textId="77777777" w:rsidR="00BB2CB4" w:rsidRPr="00222C32" w:rsidRDefault="000674DA" w:rsidP="002E4C9D">
            <w:pPr>
              <w:pStyle w:val="MeasureTableYearHeadings"/>
              <w:keepNext/>
            </w:pPr>
            <w:r w:rsidRPr="00222C32">
              <w:t>2027-28</w:t>
            </w:r>
          </w:p>
        </w:tc>
        <w:tc>
          <w:tcPr>
            <w:tcW w:w="1043" w:type="dxa"/>
            <w:tcBorders>
              <w:top w:val="single" w:sz="4" w:space="0" w:color="293F5B"/>
              <w:bottom w:val="single" w:sz="4" w:space="0" w:color="293F5B"/>
            </w:tcBorders>
          </w:tcPr>
          <w:p w14:paraId="0447EB82" w14:textId="77777777" w:rsidR="00BB2CB4" w:rsidRPr="00222C32" w:rsidRDefault="000674DA" w:rsidP="002E4C9D">
            <w:pPr>
              <w:pStyle w:val="MeasureTableYearHeadings"/>
              <w:keepNext/>
            </w:pPr>
            <w:r w:rsidRPr="00222C32">
              <w:t>2028-29</w:t>
            </w:r>
          </w:p>
        </w:tc>
      </w:tr>
      <w:tr w:rsidR="00BB2CB4" w:rsidRPr="00222C32" w14:paraId="02617D7D" w14:textId="77777777" w:rsidTr="00825163">
        <w:tc>
          <w:tcPr>
            <w:tcW w:w="2500" w:type="dxa"/>
            <w:tcBorders>
              <w:top w:val="single" w:sz="4" w:space="0" w:color="293F5B"/>
              <w:bottom w:val="single" w:sz="4" w:space="0" w:color="293F5B"/>
            </w:tcBorders>
          </w:tcPr>
          <w:p w14:paraId="095D84A4" w14:textId="77777777" w:rsidR="00BB2CB4" w:rsidRPr="00222C32" w:rsidRDefault="000674DA" w:rsidP="002E4C9D">
            <w:pPr>
              <w:pStyle w:val="MeasureTableHeadingleftalignedwith2ptsspacing"/>
              <w:keepNext/>
            </w:pPr>
            <w:r w:rsidRPr="00222C32">
              <w:t>Department of Health, Disability and Ageing</w:t>
            </w:r>
          </w:p>
        </w:tc>
        <w:tc>
          <w:tcPr>
            <w:tcW w:w="1043" w:type="dxa"/>
            <w:tcBorders>
              <w:top w:val="single" w:sz="4" w:space="0" w:color="293F5B"/>
              <w:bottom w:val="single" w:sz="4" w:space="0" w:color="293F5B"/>
            </w:tcBorders>
          </w:tcPr>
          <w:p w14:paraId="63B636A2"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605AC163" w14:textId="77777777" w:rsidR="00BB2CB4" w:rsidRPr="00222C32" w:rsidRDefault="000674DA" w:rsidP="002E4C9D">
            <w:pPr>
              <w:pStyle w:val="MeasureTableDataRightAlignedwith2ptsspacing"/>
              <w:keepNext/>
            </w:pPr>
            <w:r w:rsidRPr="00222C32">
              <w:t>24.5</w:t>
            </w:r>
          </w:p>
        </w:tc>
        <w:tc>
          <w:tcPr>
            <w:tcW w:w="1043" w:type="dxa"/>
            <w:tcBorders>
              <w:top w:val="single" w:sz="4" w:space="0" w:color="293F5B"/>
              <w:bottom w:val="single" w:sz="4" w:space="0" w:color="293F5B"/>
            </w:tcBorders>
          </w:tcPr>
          <w:p w14:paraId="14B9D952" w14:textId="77777777" w:rsidR="00BB2CB4" w:rsidRPr="00222C32" w:rsidRDefault="000674DA" w:rsidP="002E4C9D">
            <w:pPr>
              <w:pStyle w:val="MeasureTableDataRightAlignedwith2ptsspacing"/>
              <w:keepNext/>
            </w:pPr>
            <w:r w:rsidRPr="00222C32">
              <w:t>9.7</w:t>
            </w:r>
          </w:p>
        </w:tc>
        <w:tc>
          <w:tcPr>
            <w:tcW w:w="1043" w:type="dxa"/>
            <w:tcBorders>
              <w:top w:val="single" w:sz="4" w:space="0" w:color="293F5B"/>
              <w:bottom w:val="single" w:sz="4" w:space="0" w:color="293F5B"/>
            </w:tcBorders>
          </w:tcPr>
          <w:p w14:paraId="38D2D6E9" w14:textId="77777777" w:rsidR="00BB2CB4" w:rsidRPr="00222C32" w:rsidRDefault="000674DA" w:rsidP="002E4C9D">
            <w:pPr>
              <w:pStyle w:val="MeasureTableDataRightAlignedwith2ptsspacing"/>
              <w:keepNext/>
            </w:pPr>
            <w:r w:rsidRPr="00222C32">
              <w:t>5.9</w:t>
            </w:r>
          </w:p>
        </w:tc>
        <w:tc>
          <w:tcPr>
            <w:tcW w:w="1043" w:type="dxa"/>
            <w:tcBorders>
              <w:top w:val="single" w:sz="4" w:space="0" w:color="293F5B"/>
              <w:bottom w:val="single" w:sz="4" w:space="0" w:color="293F5B"/>
            </w:tcBorders>
          </w:tcPr>
          <w:p w14:paraId="0B8B845C" w14:textId="77777777" w:rsidR="00BB2CB4" w:rsidRPr="00222C32" w:rsidRDefault="000674DA" w:rsidP="002E4C9D">
            <w:pPr>
              <w:pStyle w:val="MeasureTableDataRightAlignedwith2ptsspacing"/>
              <w:keepNext/>
            </w:pPr>
            <w:r w:rsidRPr="00222C32">
              <w:t>1.3</w:t>
            </w:r>
          </w:p>
        </w:tc>
      </w:tr>
      <w:tr w:rsidR="00BB2CB4" w:rsidRPr="00222C32" w14:paraId="1F63A3EF" w14:textId="77777777" w:rsidTr="00825163">
        <w:tc>
          <w:tcPr>
            <w:tcW w:w="2500" w:type="dxa"/>
            <w:tcBorders>
              <w:top w:val="single" w:sz="4" w:space="0" w:color="293F5B"/>
              <w:bottom w:val="single" w:sz="4" w:space="0" w:color="293F5B"/>
            </w:tcBorders>
          </w:tcPr>
          <w:p w14:paraId="7117E37F" w14:textId="77777777" w:rsidR="00BB2CB4" w:rsidRPr="00222C32" w:rsidRDefault="000674DA" w:rsidP="002E4C9D">
            <w:pPr>
              <w:pStyle w:val="MeasureTableHeadingleftalignedwith2ptsspacing"/>
              <w:keepNext/>
            </w:pPr>
            <w:r w:rsidRPr="00222C32">
              <w:t>Services Australia</w:t>
            </w:r>
          </w:p>
        </w:tc>
        <w:tc>
          <w:tcPr>
            <w:tcW w:w="1043" w:type="dxa"/>
            <w:tcBorders>
              <w:top w:val="single" w:sz="4" w:space="0" w:color="293F5B"/>
              <w:bottom w:val="single" w:sz="4" w:space="0" w:color="293F5B"/>
            </w:tcBorders>
          </w:tcPr>
          <w:p w14:paraId="3C7F7D18"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01EED92A" w14:textId="77777777" w:rsidR="00BB2CB4" w:rsidRPr="00222C32" w:rsidRDefault="000674DA" w:rsidP="002E4C9D">
            <w:pPr>
              <w:pStyle w:val="MeasureTableDataRightAlignedwith2ptsspacing"/>
              <w:keepNext/>
            </w:pPr>
            <w:r w:rsidRPr="00222C32">
              <w:t>7.8</w:t>
            </w:r>
          </w:p>
        </w:tc>
        <w:tc>
          <w:tcPr>
            <w:tcW w:w="1043" w:type="dxa"/>
            <w:tcBorders>
              <w:top w:val="single" w:sz="4" w:space="0" w:color="293F5B"/>
              <w:bottom w:val="single" w:sz="4" w:space="0" w:color="293F5B"/>
            </w:tcBorders>
          </w:tcPr>
          <w:p w14:paraId="430DD2C2" w14:textId="77777777" w:rsidR="00BB2CB4" w:rsidRPr="00222C32" w:rsidRDefault="000674DA" w:rsidP="002E4C9D">
            <w:pPr>
              <w:pStyle w:val="MeasureTableDataRightAlignedwith2ptsspacing"/>
              <w:keepNext/>
            </w:pPr>
            <w:r w:rsidRPr="00222C32">
              <w:t>4.4</w:t>
            </w:r>
          </w:p>
        </w:tc>
        <w:tc>
          <w:tcPr>
            <w:tcW w:w="1043" w:type="dxa"/>
            <w:tcBorders>
              <w:top w:val="single" w:sz="4" w:space="0" w:color="293F5B"/>
              <w:bottom w:val="single" w:sz="4" w:space="0" w:color="293F5B"/>
            </w:tcBorders>
          </w:tcPr>
          <w:p w14:paraId="045B46A8" w14:textId="77777777" w:rsidR="00BB2CB4" w:rsidRPr="00222C32" w:rsidRDefault="000674DA" w:rsidP="002E4C9D">
            <w:pPr>
              <w:pStyle w:val="MeasureTableDataRightAlignedwith2ptsspacing"/>
              <w:keepNext/>
            </w:pPr>
            <w:r w:rsidRPr="00222C32">
              <w:t>0.3</w:t>
            </w:r>
          </w:p>
        </w:tc>
        <w:tc>
          <w:tcPr>
            <w:tcW w:w="1043" w:type="dxa"/>
            <w:tcBorders>
              <w:top w:val="single" w:sz="4" w:space="0" w:color="293F5B"/>
              <w:bottom w:val="single" w:sz="4" w:space="0" w:color="293F5B"/>
            </w:tcBorders>
          </w:tcPr>
          <w:p w14:paraId="3CB24DE8" w14:textId="77777777" w:rsidR="00BB2CB4" w:rsidRPr="00222C32" w:rsidRDefault="000674DA" w:rsidP="002E4C9D">
            <w:pPr>
              <w:pStyle w:val="MeasureTableDataRightAlignedwith2ptsspacing"/>
              <w:keepNext/>
            </w:pPr>
            <w:r w:rsidRPr="00222C32">
              <w:t>0.3</w:t>
            </w:r>
          </w:p>
        </w:tc>
      </w:tr>
      <w:tr w:rsidR="00BB2CB4" w:rsidRPr="00222C32" w14:paraId="2F437996" w14:textId="77777777" w:rsidTr="00825163">
        <w:tc>
          <w:tcPr>
            <w:tcW w:w="2500" w:type="dxa"/>
            <w:tcBorders>
              <w:top w:val="single" w:sz="4" w:space="0" w:color="293F5B"/>
              <w:bottom w:val="single" w:sz="4" w:space="0" w:color="293F5B"/>
            </w:tcBorders>
          </w:tcPr>
          <w:p w14:paraId="4C94DBD2" w14:textId="77777777" w:rsidR="00BB2CB4" w:rsidRPr="00222C32" w:rsidRDefault="000674DA" w:rsidP="002E4C9D">
            <w:pPr>
              <w:pStyle w:val="MeasureTableHeadingleftalignedwith2ptsspacing"/>
              <w:keepNext/>
            </w:pPr>
            <w:r w:rsidRPr="00222C32">
              <w:t>Department of Education</w:t>
            </w:r>
          </w:p>
        </w:tc>
        <w:tc>
          <w:tcPr>
            <w:tcW w:w="1043" w:type="dxa"/>
            <w:tcBorders>
              <w:top w:val="single" w:sz="4" w:space="0" w:color="293F5B"/>
              <w:bottom w:val="single" w:sz="4" w:space="0" w:color="293F5B"/>
            </w:tcBorders>
          </w:tcPr>
          <w:p w14:paraId="05C1D285"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77B5F9E0"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1B40041B"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01EA51DC" w14:textId="77777777" w:rsidR="00BB2CB4" w:rsidRPr="00222C32" w:rsidRDefault="000674DA" w:rsidP="002E4C9D">
            <w:pPr>
              <w:pStyle w:val="MeasureTableDataRightAlignedwith2ptsspacing"/>
              <w:keepNext/>
            </w:pPr>
            <w:r w:rsidRPr="00222C32">
              <w:t>-</w:t>
            </w:r>
          </w:p>
        </w:tc>
        <w:tc>
          <w:tcPr>
            <w:tcW w:w="1043" w:type="dxa"/>
            <w:tcBorders>
              <w:top w:val="single" w:sz="4" w:space="0" w:color="293F5B"/>
              <w:bottom w:val="single" w:sz="4" w:space="0" w:color="293F5B"/>
            </w:tcBorders>
          </w:tcPr>
          <w:p w14:paraId="1553146E" w14:textId="77777777" w:rsidR="00BB2CB4" w:rsidRPr="00222C32" w:rsidRDefault="000674DA" w:rsidP="002E4C9D">
            <w:pPr>
              <w:pStyle w:val="MeasureTableDataRightAlignedwith2ptsspacing"/>
              <w:keepNext/>
            </w:pPr>
            <w:r w:rsidRPr="00222C32">
              <w:t>-</w:t>
            </w:r>
          </w:p>
        </w:tc>
      </w:tr>
      <w:tr w:rsidR="00BB2CB4" w:rsidRPr="00222C32" w14:paraId="580008B4" w14:textId="77777777" w:rsidTr="00825163">
        <w:tc>
          <w:tcPr>
            <w:tcW w:w="2500" w:type="dxa"/>
            <w:tcBorders>
              <w:top w:val="single" w:sz="4" w:space="0" w:color="293F5B"/>
              <w:bottom w:val="single" w:sz="4" w:space="0" w:color="293F5B"/>
            </w:tcBorders>
          </w:tcPr>
          <w:p w14:paraId="4A9C2DC2" w14:textId="77777777" w:rsidR="00BB2CB4" w:rsidRPr="00222C32" w:rsidRDefault="000674DA" w:rsidP="002E4C9D">
            <w:pPr>
              <w:pStyle w:val="Totalrowleftaligned"/>
              <w:keepNext/>
            </w:pPr>
            <w:r w:rsidRPr="00222C32">
              <w:t>Total – Payments</w:t>
            </w:r>
          </w:p>
        </w:tc>
        <w:tc>
          <w:tcPr>
            <w:tcW w:w="1043" w:type="dxa"/>
            <w:tcBorders>
              <w:top w:val="single" w:sz="4" w:space="0" w:color="293F5B"/>
              <w:bottom w:val="single" w:sz="4" w:space="0" w:color="293F5B"/>
            </w:tcBorders>
          </w:tcPr>
          <w:p w14:paraId="64944324" w14:textId="77777777" w:rsidR="00BB2CB4" w:rsidRPr="00222C32" w:rsidRDefault="000674DA" w:rsidP="002E4C9D">
            <w:pPr>
              <w:pStyle w:val="Totaldatarowrightaligned"/>
              <w:keepNext/>
            </w:pPr>
            <w:r w:rsidRPr="00222C32">
              <w:t>-</w:t>
            </w:r>
          </w:p>
        </w:tc>
        <w:tc>
          <w:tcPr>
            <w:tcW w:w="1043" w:type="dxa"/>
            <w:tcBorders>
              <w:top w:val="single" w:sz="4" w:space="0" w:color="293F5B"/>
              <w:bottom w:val="single" w:sz="4" w:space="0" w:color="293F5B"/>
            </w:tcBorders>
          </w:tcPr>
          <w:p w14:paraId="26E0A9DA" w14:textId="77777777" w:rsidR="00BB2CB4" w:rsidRPr="00222C32" w:rsidRDefault="000674DA" w:rsidP="002E4C9D">
            <w:pPr>
              <w:pStyle w:val="Totaldatarowrightaligned"/>
              <w:keepNext/>
            </w:pPr>
            <w:r w:rsidRPr="00222C32">
              <w:t>32.3</w:t>
            </w:r>
          </w:p>
        </w:tc>
        <w:tc>
          <w:tcPr>
            <w:tcW w:w="1043" w:type="dxa"/>
            <w:tcBorders>
              <w:top w:val="single" w:sz="4" w:space="0" w:color="293F5B"/>
              <w:bottom w:val="single" w:sz="4" w:space="0" w:color="293F5B"/>
            </w:tcBorders>
          </w:tcPr>
          <w:p w14:paraId="13E0C7A5" w14:textId="77777777" w:rsidR="00BB2CB4" w:rsidRPr="00222C32" w:rsidRDefault="000674DA" w:rsidP="002E4C9D">
            <w:pPr>
              <w:pStyle w:val="Totaldatarowrightaligned"/>
              <w:keepNext/>
            </w:pPr>
            <w:r w:rsidRPr="00222C32">
              <w:t>14.1</w:t>
            </w:r>
          </w:p>
        </w:tc>
        <w:tc>
          <w:tcPr>
            <w:tcW w:w="1043" w:type="dxa"/>
            <w:tcBorders>
              <w:top w:val="single" w:sz="4" w:space="0" w:color="293F5B"/>
              <w:bottom w:val="single" w:sz="4" w:space="0" w:color="293F5B"/>
            </w:tcBorders>
          </w:tcPr>
          <w:p w14:paraId="3157C84E" w14:textId="77777777" w:rsidR="00BB2CB4" w:rsidRPr="00222C32" w:rsidRDefault="000674DA" w:rsidP="002E4C9D">
            <w:pPr>
              <w:pStyle w:val="Totaldatarowrightaligned"/>
              <w:keepNext/>
            </w:pPr>
            <w:r w:rsidRPr="00222C32">
              <w:t>6.1</w:t>
            </w:r>
          </w:p>
        </w:tc>
        <w:tc>
          <w:tcPr>
            <w:tcW w:w="1043" w:type="dxa"/>
            <w:tcBorders>
              <w:top w:val="single" w:sz="4" w:space="0" w:color="293F5B"/>
              <w:bottom w:val="single" w:sz="4" w:space="0" w:color="293F5B"/>
            </w:tcBorders>
          </w:tcPr>
          <w:p w14:paraId="0FAC1721" w14:textId="77777777" w:rsidR="00BB2CB4" w:rsidRPr="00222C32" w:rsidRDefault="000674DA" w:rsidP="002E4C9D">
            <w:pPr>
              <w:pStyle w:val="Totaldatarowrightaligned"/>
              <w:keepNext/>
            </w:pPr>
            <w:r w:rsidRPr="00222C32">
              <w:t>1.6</w:t>
            </w:r>
          </w:p>
        </w:tc>
      </w:tr>
      <w:tr w:rsidR="00BB2CB4" w:rsidRPr="00222C32" w14:paraId="12304828" w14:textId="77777777" w:rsidTr="00825163">
        <w:tc>
          <w:tcPr>
            <w:tcW w:w="2500" w:type="dxa"/>
            <w:tcBorders>
              <w:top w:val="single" w:sz="4" w:space="0" w:color="293F5B"/>
            </w:tcBorders>
          </w:tcPr>
          <w:p w14:paraId="145AD8AE" w14:textId="77777777" w:rsidR="00BB2CB4" w:rsidRPr="00222C32" w:rsidRDefault="000674DA" w:rsidP="002E4C9D">
            <w:pPr>
              <w:pStyle w:val="AgencyName"/>
              <w:keepNext/>
            </w:pPr>
            <w:r w:rsidRPr="00222C32">
              <w:t>Related receipts ($m)</w:t>
            </w:r>
          </w:p>
        </w:tc>
        <w:tc>
          <w:tcPr>
            <w:tcW w:w="1043" w:type="dxa"/>
            <w:tcBorders>
              <w:top w:val="single" w:sz="4" w:space="0" w:color="293F5B"/>
            </w:tcBorders>
          </w:tcPr>
          <w:p w14:paraId="7C374547" w14:textId="77777777" w:rsidR="00BB2CB4" w:rsidRPr="00222C32" w:rsidRDefault="00BB2CB4" w:rsidP="002E4C9D">
            <w:pPr>
              <w:pStyle w:val="AgencyName"/>
              <w:keepNext/>
            </w:pPr>
          </w:p>
        </w:tc>
        <w:tc>
          <w:tcPr>
            <w:tcW w:w="1043" w:type="dxa"/>
            <w:tcBorders>
              <w:top w:val="single" w:sz="4" w:space="0" w:color="293F5B"/>
            </w:tcBorders>
          </w:tcPr>
          <w:p w14:paraId="6F69AC3A" w14:textId="77777777" w:rsidR="00BB2CB4" w:rsidRPr="00222C32" w:rsidRDefault="00BB2CB4" w:rsidP="002E4C9D">
            <w:pPr>
              <w:pStyle w:val="AgencyName"/>
              <w:keepNext/>
            </w:pPr>
          </w:p>
        </w:tc>
        <w:tc>
          <w:tcPr>
            <w:tcW w:w="1043" w:type="dxa"/>
            <w:tcBorders>
              <w:top w:val="single" w:sz="4" w:space="0" w:color="293F5B"/>
            </w:tcBorders>
          </w:tcPr>
          <w:p w14:paraId="44011B97" w14:textId="77777777" w:rsidR="00BB2CB4" w:rsidRPr="00222C32" w:rsidRDefault="00BB2CB4" w:rsidP="002E4C9D">
            <w:pPr>
              <w:pStyle w:val="AgencyName"/>
              <w:keepNext/>
            </w:pPr>
          </w:p>
        </w:tc>
        <w:tc>
          <w:tcPr>
            <w:tcW w:w="1043" w:type="dxa"/>
            <w:tcBorders>
              <w:top w:val="single" w:sz="4" w:space="0" w:color="293F5B"/>
            </w:tcBorders>
          </w:tcPr>
          <w:p w14:paraId="798C46B2" w14:textId="77777777" w:rsidR="00BB2CB4" w:rsidRPr="00222C32" w:rsidRDefault="00BB2CB4" w:rsidP="002E4C9D">
            <w:pPr>
              <w:pStyle w:val="AgencyName"/>
              <w:keepNext/>
            </w:pPr>
          </w:p>
        </w:tc>
        <w:tc>
          <w:tcPr>
            <w:tcW w:w="1043" w:type="dxa"/>
            <w:tcBorders>
              <w:top w:val="single" w:sz="4" w:space="0" w:color="293F5B"/>
            </w:tcBorders>
          </w:tcPr>
          <w:p w14:paraId="15810883" w14:textId="77777777" w:rsidR="00BB2CB4" w:rsidRPr="00222C32" w:rsidRDefault="00BB2CB4" w:rsidP="002E4C9D">
            <w:pPr>
              <w:pStyle w:val="AgencyName"/>
              <w:keepNext/>
            </w:pPr>
          </w:p>
        </w:tc>
      </w:tr>
      <w:tr w:rsidR="00BB2CB4" w:rsidRPr="00222C32" w14:paraId="61532729" w14:textId="77777777" w:rsidTr="00825163">
        <w:tc>
          <w:tcPr>
            <w:tcW w:w="2500" w:type="dxa"/>
            <w:tcBorders>
              <w:bottom w:val="single" w:sz="4" w:space="0" w:color="293F5B"/>
            </w:tcBorders>
          </w:tcPr>
          <w:p w14:paraId="614CF3B5" w14:textId="77777777" w:rsidR="00BB2CB4" w:rsidRPr="00222C32" w:rsidRDefault="000674DA" w:rsidP="002E4C9D">
            <w:pPr>
              <w:pStyle w:val="AgencyNamewith2ptsspacing"/>
              <w:keepNext/>
            </w:pPr>
            <w:r w:rsidRPr="00222C32">
              <w:t>Department of Education</w:t>
            </w:r>
          </w:p>
        </w:tc>
        <w:tc>
          <w:tcPr>
            <w:tcW w:w="1043" w:type="dxa"/>
            <w:tcBorders>
              <w:bottom w:val="single" w:sz="4" w:space="0" w:color="293F5B"/>
            </w:tcBorders>
          </w:tcPr>
          <w:p w14:paraId="602E440A" w14:textId="77777777" w:rsidR="00BB2CB4" w:rsidRPr="00222C32" w:rsidRDefault="000674DA" w:rsidP="002E4C9D">
            <w:pPr>
              <w:pStyle w:val="Measuretabledatarightaligneditalics"/>
              <w:keepNext/>
            </w:pPr>
            <w:r w:rsidRPr="00222C32">
              <w:t>-</w:t>
            </w:r>
          </w:p>
        </w:tc>
        <w:tc>
          <w:tcPr>
            <w:tcW w:w="1043" w:type="dxa"/>
            <w:tcBorders>
              <w:bottom w:val="single" w:sz="4" w:space="0" w:color="293F5B"/>
            </w:tcBorders>
          </w:tcPr>
          <w:p w14:paraId="69F512F0" w14:textId="77777777" w:rsidR="00BB2CB4" w:rsidRPr="00222C32" w:rsidRDefault="000674DA" w:rsidP="002E4C9D">
            <w:pPr>
              <w:pStyle w:val="Measuretabledatarightaligneditalics"/>
              <w:keepNext/>
            </w:pPr>
            <w:r w:rsidRPr="00222C32">
              <w:t>..</w:t>
            </w:r>
          </w:p>
        </w:tc>
        <w:tc>
          <w:tcPr>
            <w:tcW w:w="1043" w:type="dxa"/>
            <w:tcBorders>
              <w:bottom w:val="single" w:sz="4" w:space="0" w:color="293F5B"/>
            </w:tcBorders>
          </w:tcPr>
          <w:p w14:paraId="79E4832F" w14:textId="77777777" w:rsidR="00BB2CB4" w:rsidRPr="00222C32" w:rsidRDefault="000674DA" w:rsidP="002E4C9D">
            <w:pPr>
              <w:pStyle w:val="Measuretabledatarightaligneditalics"/>
              <w:keepNext/>
            </w:pPr>
            <w:r w:rsidRPr="00222C32">
              <w:t>..</w:t>
            </w:r>
          </w:p>
        </w:tc>
        <w:tc>
          <w:tcPr>
            <w:tcW w:w="1043" w:type="dxa"/>
            <w:tcBorders>
              <w:bottom w:val="single" w:sz="4" w:space="0" w:color="293F5B"/>
            </w:tcBorders>
          </w:tcPr>
          <w:p w14:paraId="4E89A7E5" w14:textId="77777777" w:rsidR="00BB2CB4" w:rsidRPr="00222C32" w:rsidRDefault="000674DA" w:rsidP="002E4C9D">
            <w:pPr>
              <w:pStyle w:val="Measuretabledatarightaligneditalics"/>
              <w:keepNext/>
            </w:pPr>
            <w:r w:rsidRPr="00222C32">
              <w:t>..</w:t>
            </w:r>
          </w:p>
        </w:tc>
        <w:tc>
          <w:tcPr>
            <w:tcW w:w="1043" w:type="dxa"/>
            <w:tcBorders>
              <w:bottom w:val="single" w:sz="4" w:space="0" w:color="293F5B"/>
            </w:tcBorders>
          </w:tcPr>
          <w:p w14:paraId="11FAE5EB" w14:textId="77777777" w:rsidR="00BB2CB4" w:rsidRPr="00222C32" w:rsidRDefault="000674DA" w:rsidP="002E4C9D">
            <w:pPr>
              <w:pStyle w:val="Measuretabledatarightaligneditalics"/>
              <w:keepNext/>
            </w:pPr>
            <w:r w:rsidRPr="00222C32">
              <w:t>..</w:t>
            </w:r>
          </w:p>
        </w:tc>
      </w:tr>
    </w:tbl>
    <w:p w14:paraId="4E1231FA" w14:textId="77777777" w:rsidR="00BB2CB4" w:rsidRDefault="00BB2CB4" w:rsidP="002E4C9D">
      <w:pPr>
        <w:pStyle w:val="SingleParagraph"/>
        <w:keepNext/>
        <w:keepLines/>
      </w:pPr>
    </w:p>
    <w:p w14:paraId="2B1414BF" w14:textId="77777777" w:rsidR="00BB2CB4" w:rsidRDefault="000674DA">
      <w:pPr>
        <w:pStyle w:val="Normal2"/>
      </w:pPr>
      <w:r>
        <w:t>The Government will provide $141.3 million over four years from 2025–‍26 (and $0.3 million per year ongoing) to deliver on its election commitments to improve health and aged care support. Funding includes:</w:t>
      </w:r>
    </w:p>
    <w:p w14:paraId="3C6C9D75" w14:textId="77777777" w:rsidR="00BB2CB4" w:rsidRDefault="000674DA">
      <w:pPr>
        <w:pStyle w:val="Bullet"/>
      </w:pPr>
      <w:r>
        <w:t>$60.0 million over four years from 2025–‍26 to construct a new residential aged care home in Darwin</w:t>
      </w:r>
    </w:p>
    <w:p w14:paraId="2DE16294" w14:textId="73EAB89D" w:rsidR="00BB2CB4" w:rsidRDefault="000674DA">
      <w:pPr>
        <w:pStyle w:val="Bullet"/>
      </w:pPr>
      <w:r>
        <w:t>$32.7 million over four years from 2025–‍26 to support men</w:t>
      </w:r>
      <w:r w:rsidR="00222C32">
        <w:t>’</w:t>
      </w:r>
      <w:r>
        <w:t>s health and reduce stigma around seeking support</w:t>
      </w:r>
    </w:p>
    <w:p w14:paraId="3A8F8FC6" w14:textId="77777777" w:rsidR="00BB2CB4" w:rsidRDefault="000674DA">
      <w:pPr>
        <w:pStyle w:val="Bullet"/>
      </w:pPr>
      <w:r>
        <w:t>$12.7 million over four years from 2025–‍26 (and an additional $0.2 million in 2029–‍30) to make IT changes enabling designated registered nurses to prescribe Pharmaceutical Benefits Scheme medicines in partnership with authorised health practitioners with an active prescribing agreement</w:t>
      </w:r>
    </w:p>
    <w:p w14:paraId="308B67C3" w14:textId="3826436E" w:rsidR="00BB2CB4" w:rsidRDefault="000674DA">
      <w:pPr>
        <w:pStyle w:val="Bullet"/>
      </w:pPr>
      <w:r>
        <w:t>$10.1 million over three years from 2025–‍26 for a primary healthcare training and accreditation program to deliver a national network of LGBTIQ+ safe accredited primary care providers</w:t>
      </w:r>
    </w:p>
    <w:p w14:paraId="6F186C98" w14:textId="75A4BA37" w:rsidR="00BB2CB4" w:rsidRDefault="000674DA">
      <w:pPr>
        <w:pStyle w:val="Bullet"/>
      </w:pPr>
      <w:r>
        <w:t>$10.1 million in 2025–‍26 to increase CareFlight</w:t>
      </w:r>
      <w:r w:rsidR="00222C32">
        <w:t>’</w:t>
      </w:r>
      <w:r>
        <w:t>s capacity to deliver aeromedical services in the Northern Territory</w:t>
      </w:r>
    </w:p>
    <w:p w14:paraId="170AEB5F" w14:textId="77777777" w:rsidR="00BB2CB4" w:rsidRDefault="000674DA">
      <w:pPr>
        <w:pStyle w:val="Bullet"/>
      </w:pPr>
      <w:r>
        <w:t>$9.7 million in 2025–‍26 for a communication campaign to raise consumer awareness that patient co‑contributions for Pharmaceutical Benefits Scheme medicines will cost no more than $25 from 1 January 2026</w:t>
      </w:r>
    </w:p>
    <w:p w14:paraId="18F46193" w14:textId="77777777" w:rsidR="00BB2CB4" w:rsidRDefault="000674DA">
      <w:pPr>
        <w:pStyle w:val="Bullet"/>
      </w:pPr>
      <w:r>
        <w:t xml:space="preserve">$3.6 million over four years from 2025–‍26 (and $0.1 million per year ongoing) to develop a National Midwifery Workforce Strategy, appoint a Commonwealth Chief Midwife and amend the </w:t>
      </w:r>
      <w:r w:rsidRPr="000674DA">
        <w:rPr>
          <w:i/>
        </w:rPr>
        <w:t>National Health Act 1953</w:t>
      </w:r>
      <w:r>
        <w:t xml:space="preserve"> to recognise registered nurses as prescribers and enable registered nurses to prescribe Pharmaceutical Benefits Scheme medicines</w:t>
      </w:r>
    </w:p>
    <w:p w14:paraId="724FF182" w14:textId="77777777" w:rsidR="00BB2CB4" w:rsidRDefault="000674DA">
      <w:pPr>
        <w:pStyle w:val="Bullet"/>
      </w:pPr>
      <w:r>
        <w:t>$2.0 million in 2025–‍26 to strengthen preventive health and health promotion activities for communities in Cairns and Far North Queensland, including cancer screening and skin cancer checks</w:t>
      </w:r>
    </w:p>
    <w:p w14:paraId="7FF0EF66" w14:textId="77777777" w:rsidR="00BB2CB4" w:rsidRDefault="000674DA">
      <w:pPr>
        <w:pStyle w:val="Bullet"/>
      </w:pPr>
      <w:r>
        <w:t>$0.4 million over two years from 2025–‍26 to improve food for culturally and linguistically diverse aged care residents.</w:t>
      </w:r>
    </w:p>
    <w:p w14:paraId="591D20E7" w14:textId="5A6B0F9C" w:rsidR="00BB2CB4" w:rsidRDefault="000674DA">
      <w:pPr>
        <w:pStyle w:val="Normal2"/>
      </w:pPr>
      <w:r w:rsidRPr="69C11E82">
        <w:rPr>
          <w:lang w:val="en-US"/>
        </w:rPr>
        <w:t>The Government will also fund 20 new medical student places, each year from 2026, at the University of Tasmania</w:t>
      </w:r>
      <w:r w:rsidR="00222C32" w:rsidRPr="69C11E82">
        <w:rPr>
          <w:lang w:val="en-US"/>
        </w:rPr>
        <w:t>’</w:t>
      </w:r>
      <w:r w:rsidRPr="69C11E82">
        <w:rPr>
          <w:lang w:val="en-US"/>
        </w:rPr>
        <w:t>s Launceston campus.</w:t>
      </w:r>
    </w:p>
    <w:p w14:paraId="4D8419B4" w14:textId="77777777" w:rsidR="00BB2CB4" w:rsidRDefault="000674DA">
      <w:pPr>
        <w:pStyle w:val="Normal2"/>
      </w:pPr>
      <w:r w:rsidRPr="69C11E82">
        <w:rPr>
          <w:lang w:val="en-US"/>
        </w:rPr>
        <w:lastRenderedPageBreak/>
        <w:t>The Department of Health, Disability and Ageing will partially meet the cost of this measure from within existing resources.</w:t>
      </w:r>
    </w:p>
    <w:p w14:paraId="5FDAFBC9" w14:textId="77777777" w:rsidR="00BB2CB4" w:rsidRDefault="000674DA">
      <w:pPr>
        <w:pStyle w:val="Normal2"/>
      </w:pPr>
      <w:r>
        <w:t xml:space="preserve">This measure builds on the 2024–‍25 MYEFO measure titled </w:t>
      </w:r>
      <w:r w:rsidRPr="000674DA">
        <w:rPr>
          <w:i/>
        </w:rPr>
        <w:t>10‑Year National Action Plan for the Health and Wellbeing of LGBTIQA+ People</w:t>
      </w:r>
      <w:r>
        <w:t xml:space="preserve"> and the 2024–‍25 Budget measure titled</w:t>
      </w:r>
      <w:r w:rsidRPr="000674DA">
        <w:rPr>
          <w:i/>
        </w:rPr>
        <w:t xml:space="preserve"> Preventive Health</w:t>
      </w:r>
      <w:r>
        <w:t>.</w:t>
      </w:r>
    </w:p>
    <w:p w14:paraId="6EFA2F59" w14:textId="23D445F8"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0EF767AA" w14:textId="5E0A3EB8" w:rsidR="00BB2CB4" w:rsidRDefault="000674DA">
      <w:pPr>
        <w:pStyle w:val="MeasureTitle"/>
      </w:pPr>
      <w:r>
        <w:t>Delivering Funding Certainty for the Drug and Alcohol and Chronic Condition</w:t>
      </w:r>
      <w:r w:rsidR="00AF0C04">
        <w:t> </w:t>
      </w:r>
      <w:r>
        <w:t>Programs</w:t>
      </w:r>
    </w:p>
    <w:p w14:paraId="4450A1D3"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55DA47D" w14:textId="77777777" w:rsidTr="00825163">
        <w:trPr>
          <w:cantSplit/>
        </w:trPr>
        <w:tc>
          <w:tcPr>
            <w:tcW w:w="2501" w:type="dxa"/>
          </w:tcPr>
          <w:p w14:paraId="645CF6EA" w14:textId="77777777" w:rsidR="00BB2CB4" w:rsidRPr="00222C32" w:rsidRDefault="00BB2CB4">
            <w:pPr>
              <w:pStyle w:val="MeasureTableYearHeadings"/>
              <w:keepNext/>
            </w:pPr>
          </w:p>
        </w:tc>
        <w:tc>
          <w:tcPr>
            <w:tcW w:w="1044" w:type="dxa"/>
          </w:tcPr>
          <w:p w14:paraId="5D7951FD" w14:textId="77777777" w:rsidR="00BB2CB4" w:rsidRPr="00222C32" w:rsidRDefault="000674DA">
            <w:pPr>
              <w:pStyle w:val="MeasureTableYearHeadings"/>
              <w:keepNext/>
            </w:pPr>
            <w:r w:rsidRPr="00222C32">
              <w:t>2024-25</w:t>
            </w:r>
          </w:p>
        </w:tc>
        <w:tc>
          <w:tcPr>
            <w:tcW w:w="1044" w:type="dxa"/>
          </w:tcPr>
          <w:p w14:paraId="124B2EBB" w14:textId="77777777" w:rsidR="00BB2CB4" w:rsidRPr="00222C32" w:rsidRDefault="000674DA">
            <w:pPr>
              <w:pStyle w:val="MeasureTableYearHeadings"/>
              <w:keepNext/>
            </w:pPr>
            <w:r w:rsidRPr="00222C32">
              <w:t>2025-26</w:t>
            </w:r>
          </w:p>
        </w:tc>
        <w:tc>
          <w:tcPr>
            <w:tcW w:w="1044" w:type="dxa"/>
          </w:tcPr>
          <w:p w14:paraId="694C6AE9" w14:textId="77777777" w:rsidR="00BB2CB4" w:rsidRPr="00222C32" w:rsidRDefault="000674DA">
            <w:pPr>
              <w:pStyle w:val="MeasureTableYearHeadings"/>
              <w:keepNext/>
            </w:pPr>
            <w:r w:rsidRPr="00222C32">
              <w:t>2026-27</w:t>
            </w:r>
          </w:p>
        </w:tc>
        <w:tc>
          <w:tcPr>
            <w:tcW w:w="1044" w:type="dxa"/>
          </w:tcPr>
          <w:p w14:paraId="33AE6894" w14:textId="77777777" w:rsidR="00BB2CB4" w:rsidRPr="00222C32" w:rsidRDefault="000674DA">
            <w:pPr>
              <w:pStyle w:val="MeasureTableYearHeadings"/>
              <w:keepNext/>
            </w:pPr>
            <w:r w:rsidRPr="00222C32">
              <w:t>2027-28</w:t>
            </w:r>
          </w:p>
        </w:tc>
        <w:tc>
          <w:tcPr>
            <w:tcW w:w="1044" w:type="dxa"/>
          </w:tcPr>
          <w:p w14:paraId="44EEB9E0" w14:textId="77777777" w:rsidR="00BB2CB4" w:rsidRPr="00222C32" w:rsidRDefault="000674DA">
            <w:pPr>
              <w:pStyle w:val="MeasureTableYearHeadings"/>
              <w:keepNext/>
            </w:pPr>
            <w:r w:rsidRPr="00222C32">
              <w:t>2028-29</w:t>
            </w:r>
          </w:p>
        </w:tc>
      </w:tr>
      <w:tr w:rsidR="00BB2CB4" w:rsidRPr="00222C32" w14:paraId="200CD700" w14:textId="77777777" w:rsidTr="00825163">
        <w:trPr>
          <w:cantSplit/>
        </w:trPr>
        <w:tc>
          <w:tcPr>
            <w:tcW w:w="2501" w:type="dxa"/>
          </w:tcPr>
          <w:p w14:paraId="447C0848" w14:textId="77777777" w:rsidR="00BB2CB4" w:rsidRPr="00222C32" w:rsidRDefault="000674DA">
            <w:pPr>
              <w:pStyle w:val="MeasureTableHeadingleftalignedwith2ptsspacing"/>
              <w:keepNext/>
            </w:pPr>
            <w:r w:rsidRPr="00222C32">
              <w:t>Department of Health, Disability and Ageing</w:t>
            </w:r>
          </w:p>
        </w:tc>
        <w:tc>
          <w:tcPr>
            <w:tcW w:w="1044" w:type="dxa"/>
          </w:tcPr>
          <w:p w14:paraId="655686D3" w14:textId="77777777" w:rsidR="00BB2CB4" w:rsidRPr="00222C32" w:rsidRDefault="000674DA">
            <w:pPr>
              <w:pStyle w:val="MeasureTableDataRightAlignedwith2ptsspacing"/>
              <w:keepNext/>
            </w:pPr>
            <w:r w:rsidRPr="00222C32">
              <w:t>-</w:t>
            </w:r>
          </w:p>
        </w:tc>
        <w:tc>
          <w:tcPr>
            <w:tcW w:w="1044" w:type="dxa"/>
          </w:tcPr>
          <w:p w14:paraId="437F303B" w14:textId="77777777" w:rsidR="00BB2CB4" w:rsidRPr="00222C32" w:rsidRDefault="000674DA">
            <w:pPr>
              <w:pStyle w:val="MeasureTableDataRightAlignedwith2ptsspacing"/>
              <w:keepNext/>
            </w:pPr>
            <w:r w:rsidRPr="00222C32">
              <w:t>2.5</w:t>
            </w:r>
          </w:p>
        </w:tc>
        <w:tc>
          <w:tcPr>
            <w:tcW w:w="1044" w:type="dxa"/>
          </w:tcPr>
          <w:p w14:paraId="016A30A3" w14:textId="77777777" w:rsidR="00BB2CB4" w:rsidRPr="00222C32" w:rsidRDefault="000674DA">
            <w:pPr>
              <w:pStyle w:val="MeasureTableDataRightAlignedwith2ptsspacing"/>
              <w:keepNext/>
            </w:pPr>
            <w:r w:rsidRPr="00222C32">
              <w:t>97.9</w:t>
            </w:r>
          </w:p>
        </w:tc>
        <w:tc>
          <w:tcPr>
            <w:tcW w:w="1044" w:type="dxa"/>
          </w:tcPr>
          <w:p w14:paraId="61D89197" w14:textId="77777777" w:rsidR="00BB2CB4" w:rsidRPr="00222C32" w:rsidRDefault="000674DA">
            <w:pPr>
              <w:pStyle w:val="MeasureTableDataRightAlignedwith2ptsspacing"/>
              <w:keepNext/>
            </w:pPr>
            <w:r w:rsidRPr="00222C32">
              <w:t>93.6</w:t>
            </w:r>
          </w:p>
        </w:tc>
        <w:tc>
          <w:tcPr>
            <w:tcW w:w="1044" w:type="dxa"/>
          </w:tcPr>
          <w:p w14:paraId="4C56266C" w14:textId="77777777" w:rsidR="00BB2CB4" w:rsidRPr="00222C32" w:rsidRDefault="000674DA">
            <w:pPr>
              <w:pStyle w:val="MeasureTableDataRightAlignedwith2ptsspacing"/>
              <w:keepNext/>
            </w:pPr>
            <w:r w:rsidRPr="00222C32">
              <w:t>96.6</w:t>
            </w:r>
          </w:p>
        </w:tc>
      </w:tr>
    </w:tbl>
    <w:p w14:paraId="323FD460" w14:textId="77777777" w:rsidR="00C42C09" w:rsidRDefault="00C42C09" w:rsidP="00C42C09">
      <w:pPr>
        <w:pStyle w:val="SingleParagraph"/>
      </w:pPr>
    </w:p>
    <w:p w14:paraId="629907E6" w14:textId="77777777" w:rsidR="00BB2CB4" w:rsidRDefault="000674DA">
      <w:pPr>
        <w:pStyle w:val="Normal2"/>
      </w:pPr>
      <w:r w:rsidRPr="69C11E82">
        <w:rPr>
          <w:lang w:val="en-US"/>
        </w:rPr>
        <w:t>The Government will provide $292.7 million over four years from 2025–‍26 (and $97.0 million per year ongoing) to provide funding certainty for Community Sector Organisations supporting people with chronic conditions and working to reduce the harms of alcohol and other drugs. Funding includes:</w:t>
      </w:r>
    </w:p>
    <w:p w14:paraId="23D0F6C5" w14:textId="77777777" w:rsidR="00BB2CB4" w:rsidRDefault="000674DA">
      <w:pPr>
        <w:pStyle w:val="Bullet"/>
      </w:pPr>
      <w:r>
        <w:t>$172.9 million over three years from 2026–‍27 (and $59.7 million in 2029–‍30 and $58.6 million per year ongoing) to consolidate the existing Drug and Alcohol program into an ongoing and competitive grant program supporting prevention, harm reduction, withdrawal, treatment and recovery services. Existing grants will be extended for one year in 2026–‍27 prior to the consolidated program commencing</w:t>
      </w:r>
    </w:p>
    <w:p w14:paraId="2297B2D8" w14:textId="77777777" w:rsidR="00BB2CB4" w:rsidRDefault="000674DA">
      <w:pPr>
        <w:pStyle w:val="Bullet"/>
      </w:pPr>
      <w:r>
        <w:t>$119.8 million over four years from 2025–‍26 (and $38.7 million in 2029–‍30 and $38.3 million per year ongoing) to establish an ongoing, competitive grant program to improve health outcomes and quality of life for Australians with chronic conditions. The existing 31 grants associated with the prevention and management of chronic conditions will be extended in 2026–‍27 prior to the consolidated program commencing.</w:t>
      </w:r>
    </w:p>
    <w:p w14:paraId="30B4C2B0" w14:textId="77777777" w:rsidR="00BB2CB4" w:rsidRDefault="000674DA">
      <w:pPr>
        <w:pStyle w:val="Normal2"/>
      </w:pPr>
      <w:r w:rsidRPr="69C11E82">
        <w:rPr>
          <w:lang w:val="en-US"/>
        </w:rPr>
        <w:t>The Department of Health, Disability and Ageing will partially meet the cost of this measure from within existing resources.</w:t>
      </w:r>
    </w:p>
    <w:p w14:paraId="219DB8F3" w14:textId="77777777" w:rsidR="00BB2CB4" w:rsidRDefault="000674DA">
      <w:pPr>
        <w:pStyle w:val="Normal2"/>
      </w:pPr>
      <w:r>
        <w:t xml:space="preserve">This measure extends the 2024–‍25 MYEFO measure titled </w:t>
      </w:r>
      <w:r w:rsidRPr="000674DA">
        <w:rPr>
          <w:i/>
        </w:rPr>
        <w:t xml:space="preserve">Preventive Health </w:t>
      </w:r>
      <w:r>
        <w:t xml:space="preserve">and the 2025–‍26 Budget measure titled </w:t>
      </w:r>
      <w:r w:rsidRPr="000674DA">
        <w:rPr>
          <w:i/>
        </w:rPr>
        <w:t>Preventive Health, Wellbeing and Sport</w:t>
      </w:r>
      <w:r>
        <w:t>.</w:t>
      </w:r>
    </w:p>
    <w:p w14:paraId="3ACD020B" w14:textId="77777777" w:rsidR="00BB2CB4" w:rsidRDefault="000674DA" w:rsidP="001A6244">
      <w:pPr>
        <w:pStyle w:val="MeasureTitle"/>
        <w:keepLines/>
      </w:pPr>
      <w:r>
        <w:lastRenderedPageBreak/>
        <w:t>Equitable Healthcare for Men, Women and Families</w:t>
      </w:r>
    </w:p>
    <w:p w14:paraId="65D42993" w14:textId="77777777" w:rsidR="00BB2CB4" w:rsidRDefault="000674DA" w:rsidP="001A6244">
      <w:pPr>
        <w:pStyle w:val="MeasureTableHeading"/>
        <w:keepLines/>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2E861A6" w14:textId="77777777" w:rsidTr="00825163">
        <w:trPr>
          <w:cantSplit/>
        </w:trPr>
        <w:tc>
          <w:tcPr>
            <w:tcW w:w="2501" w:type="dxa"/>
          </w:tcPr>
          <w:p w14:paraId="174BD47B" w14:textId="77777777" w:rsidR="00BB2CB4" w:rsidRPr="00222C32" w:rsidRDefault="00BB2CB4" w:rsidP="001A6244">
            <w:pPr>
              <w:pStyle w:val="MeasureTableYearHeadings"/>
              <w:keepNext/>
            </w:pPr>
          </w:p>
        </w:tc>
        <w:tc>
          <w:tcPr>
            <w:tcW w:w="1044" w:type="dxa"/>
          </w:tcPr>
          <w:p w14:paraId="5323319F" w14:textId="77777777" w:rsidR="00BB2CB4" w:rsidRPr="00222C32" w:rsidRDefault="000674DA" w:rsidP="001A6244">
            <w:pPr>
              <w:pStyle w:val="MeasureTableYearHeadings"/>
              <w:keepNext/>
            </w:pPr>
            <w:r w:rsidRPr="00222C32">
              <w:t>2024-25</w:t>
            </w:r>
          </w:p>
        </w:tc>
        <w:tc>
          <w:tcPr>
            <w:tcW w:w="1044" w:type="dxa"/>
          </w:tcPr>
          <w:p w14:paraId="083390C9" w14:textId="77777777" w:rsidR="00BB2CB4" w:rsidRPr="00222C32" w:rsidRDefault="000674DA" w:rsidP="001A6244">
            <w:pPr>
              <w:pStyle w:val="MeasureTableYearHeadings"/>
              <w:keepNext/>
            </w:pPr>
            <w:r w:rsidRPr="00222C32">
              <w:t>2025-26</w:t>
            </w:r>
          </w:p>
        </w:tc>
        <w:tc>
          <w:tcPr>
            <w:tcW w:w="1044" w:type="dxa"/>
          </w:tcPr>
          <w:p w14:paraId="3D461156" w14:textId="77777777" w:rsidR="00BB2CB4" w:rsidRPr="00222C32" w:rsidRDefault="000674DA" w:rsidP="001A6244">
            <w:pPr>
              <w:pStyle w:val="MeasureTableYearHeadings"/>
              <w:keepNext/>
            </w:pPr>
            <w:r w:rsidRPr="00222C32">
              <w:t>2026-27</w:t>
            </w:r>
          </w:p>
        </w:tc>
        <w:tc>
          <w:tcPr>
            <w:tcW w:w="1044" w:type="dxa"/>
          </w:tcPr>
          <w:p w14:paraId="4413F16D" w14:textId="77777777" w:rsidR="00BB2CB4" w:rsidRPr="00222C32" w:rsidRDefault="000674DA" w:rsidP="001A6244">
            <w:pPr>
              <w:pStyle w:val="MeasureTableYearHeadings"/>
              <w:keepNext/>
            </w:pPr>
            <w:r w:rsidRPr="00222C32">
              <w:t>2027-28</w:t>
            </w:r>
          </w:p>
        </w:tc>
        <w:tc>
          <w:tcPr>
            <w:tcW w:w="1044" w:type="dxa"/>
          </w:tcPr>
          <w:p w14:paraId="4C21ACA0" w14:textId="77777777" w:rsidR="00BB2CB4" w:rsidRPr="00222C32" w:rsidRDefault="000674DA" w:rsidP="001A6244">
            <w:pPr>
              <w:pStyle w:val="MeasureTableYearHeadings"/>
              <w:keepNext/>
            </w:pPr>
            <w:r w:rsidRPr="00222C32">
              <w:t>2028-29</w:t>
            </w:r>
          </w:p>
        </w:tc>
      </w:tr>
      <w:tr w:rsidR="00BB2CB4" w:rsidRPr="00222C32" w14:paraId="44A51F43" w14:textId="77777777" w:rsidTr="00825163">
        <w:trPr>
          <w:cantSplit/>
        </w:trPr>
        <w:tc>
          <w:tcPr>
            <w:tcW w:w="2501" w:type="dxa"/>
          </w:tcPr>
          <w:p w14:paraId="67F6E9E1" w14:textId="77777777" w:rsidR="00BB2CB4" w:rsidRPr="00222C32" w:rsidRDefault="000674DA" w:rsidP="001A6244">
            <w:pPr>
              <w:pStyle w:val="MeasureTableHeadingleftalignedwith2ptsspacing"/>
              <w:keepNext/>
            </w:pPr>
            <w:r w:rsidRPr="00222C32">
              <w:t>Department of Health, Disability and Ageing</w:t>
            </w:r>
          </w:p>
        </w:tc>
        <w:tc>
          <w:tcPr>
            <w:tcW w:w="1044" w:type="dxa"/>
          </w:tcPr>
          <w:p w14:paraId="06774F02" w14:textId="77777777" w:rsidR="00BB2CB4" w:rsidRPr="00222C32" w:rsidRDefault="000674DA" w:rsidP="001A6244">
            <w:pPr>
              <w:pStyle w:val="MeasureTableDataRightAlignedwith2ptsspacing"/>
              <w:keepNext/>
            </w:pPr>
            <w:r w:rsidRPr="00222C32">
              <w:t>-</w:t>
            </w:r>
          </w:p>
        </w:tc>
        <w:tc>
          <w:tcPr>
            <w:tcW w:w="1044" w:type="dxa"/>
          </w:tcPr>
          <w:p w14:paraId="2A1EB347" w14:textId="77777777" w:rsidR="00BB2CB4" w:rsidRPr="00222C32" w:rsidRDefault="000674DA" w:rsidP="001A6244">
            <w:pPr>
              <w:pStyle w:val="MeasureTableDataRightAlignedwith2ptsspacing"/>
              <w:keepNext/>
            </w:pPr>
            <w:r w:rsidRPr="00222C32">
              <w:t>..</w:t>
            </w:r>
          </w:p>
        </w:tc>
        <w:tc>
          <w:tcPr>
            <w:tcW w:w="1044" w:type="dxa"/>
          </w:tcPr>
          <w:p w14:paraId="76D0836E" w14:textId="77777777" w:rsidR="00BB2CB4" w:rsidRPr="00222C32" w:rsidRDefault="000674DA" w:rsidP="001A6244">
            <w:pPr>
              <w:pStyle w:val="MeasureTableDataRightAlignedwith2ptsspacing"/>
              <w:keepNext/>
            </w:pPr>
            <w:r w:rsidRPr="00222C32">
              <w:t>24.9</w:t>
            </w:r>
          </w:p>
        </w:tc>
        <w:tc>
          <w:tcPr>
            <w:tcW w:w="1044" w:type="dxa"/>
          </w:tcPr>
          <w:p w14:paraId="384F0E98" w14:textId="77777777" w:rsidR="00BB2CB4" w:rsidRPr="00222C32" w:rsidRDefault="000674DA" w:rsidP="001A6244">
            <w:pPr>
              <w:pStyle w:val="MeasureTableDataRightAlignedwith2ptsspacing"/>
              <w:keepNext/>
            </w:pPr>
            <w:r w:rsidRPr="00222C32">
              <w:t>20.4</w:t>
            </w:r>
          </w:p>
        </w:tc>
        <w:tc>
          <w:tcPr>
            <w:tcW w:w="1044" w:type="dxa"/>
          </w:tcPr>
          <w:p w14:paraId="4BEFABF8" w14:textId="77777777" w:rsidR="00BB2CB4" w:rsidRPr="00222C32" w:rsidRDefault="000674DA" w:rsidP="001A6244">
            <w:pPr>
              <w:pStyle w:val="MeasureTableDataRightAlignedwith2ptsspacing"/>
              <w:keepNext/>
            </w:pPr>
            <w:r w:rsidRPr="00222C32">
              <w:t>3.9</w:t>
            </w:r>
          </w:p>
        </w:tc>
      </w:tr>
    </w:tbl>
    <w:p w14:paraId="5F1481F6" w14:textId="77777777" w:rsidR="001A6244" w:rsidRDefault="001A6244" w:rsidP="001A6244">
      <w:pPr>
        <w:pStyle w:val="SingleParagraph"/>
        <w:keepNext/>
        <w:keepLines/>
      </w:pPr>
    </w:p>
    <w:p w14:paraId="461E28E2" w14:textId="77777777" w:rsidR="00BB2CB4" w:rsidRDefault="000674DA" w:rsidP="001A6244">
      <w:pPr>
        <w:pStyle w:val="Normal2"/>
        <w:keepNext/>
        <w:keepLines/>
      </w:pPr>
      <w:r w:rsidRPr="69C11E82">
        <w:rPr>
          <w:lang w:val="en-US"/>
        </w:rPr>
        <w:t>The Government will provide $49.9 million over four years from 2025–‍26 (and $4.1 million per year ongoing) to continue essential health supports for men, women and families. Funding includes:</w:t>
      </w:r>
    </w:p>
    <w:p w14:paraId="0E134856" w14:textId="77777777" w:rsidR="00BB2CB4" w:rsidRDefault="000674DA">
      <w:pPr>
        <w:pStyle w:val="Bullet"/>
      </w:pPr>
      <w:r>
        <w:t>$8.9 million over four years from 2025–‍26 (and $2.7 million per year ongoing) for the National Breastfeeding Helpline and Livechat service to support parents to breastfeed</w:t>
      </w:r>
    </w:p>
    <w:p w14:paraId="14CAC3BE" w14:textId="4FB76638" w:rsidR="00BB2CB4" w:rsidRDefault="000674DA">
      <w:pPr>
        <w:pStyle w:val="Bullet"/>
      </w:pPr>
      <w:r>
        <w:t>$8.8 million over two years from 2026–‍27 to support Jean Hailes for Women</w:t>
      </w:r>
      <w:r w:rsidR="00222C32">
        <w:t>’</w:t>
      </w:r>
      <w:r>
        <w:t>s Health to undertake research and education on the prevention, early detection and management of diseases affecting women and girls</w:t>
      </w:r>
    </w:p>
    <w:p w14:paraId="41C401DA" w14:textId="77777777" w:rsidR="00BB2CB4" w:rsidRDefault="000674DA">
      <w:pPr>
        <w:pStyle w:val="Bullet"/>
      </w:pPr>
      <w:r>
        <w:t>$8.0 million over two years from 2026–‍27 to lower the rate of preterm and early birth by continuing the Preventing Preterm Birth program and monitoring and evaluation of the National Stillbirth Action and Implementation Plan</w:t>
      </w:r>
    </w:p>
    <w:p w14:paraId="1787DA05" w14:textId="77777777" w:rsidR="00BB2CB4" w:rsidRDefault="000674DA">
      <w:pPr>
        <w:pStyle w:val="Bullet"/>
      </w:pPr>
      <w:r>
        <w:t>$6.2 million over two years from 2026–‍27 to continue the delivery of Australian Red Cross Lifeblood donor human milk banks for vulnerable preterm infants</w:t>
      </w:r>
    </w:p>
    <w:p w14:paraId="51C3B2C7" w14:textId="77777777" w:rsidR="00BB2CB4" w:rsidRDefault="000674DA">
      <w:pPr>
        <w:pStyle w:val="Bullet"/>
      </w:pPr>
      <w:r>
        <w:t>$4.1 million over three years from 2026–‍27 (and $1.3 million per year ongoing) to provide in‑person and virtual bereavement care and support for people impacted by stillbirth and neonatal loss</w:t>
      </w:r>
    </w:p>
    <w:p w14:paraId="5BAE68A3" w14:textId="77777777" w:rsidR="00BB2CB4" w:rsidRDefault="000674DA">
      <w:pPr>
        <w:pStyle w:val="Bullet"/>
      </w:pPr>
      <w:r>
        <w:t>$3.5 million over two years from 2026–‍27 to increase awareness about key health issues for Australian men, including mental health, chronic conditions and sexual and reproductive health</w:t>
      </w:r>
    </w:p>
    <w:p w14:paraId="4CF12814" w14:textId="30C81330" w:rsidR="00BB2CB4" w:rsidRDefault="000674DA">
      <w:pPr>
        <w:pStyle w:val="Bullet"/>
      </w:pPr>
      <w:r>
        <w:t>$3.5 million in 2026–‍27 to extend support for Royal Far West</w:t>
      </w:r>
      <w:r w:rsidR="00222C32">
        <w:t>’</w:t>
      </w:r>
      <w:r>
        <w:t>s National Paediatric Telecare Service to support children with developmental delays in rural and remote regions of Australia</w:t>
      </w:r>
    </w:p>
    <w:p w14:paraId="5A9B7290" w14:textId="77777777" w:rsidR="00BB2CB4" w:rsidRDefault="000674DA">
      <w:pPr>
        <w:pStyle w:val="Bullet"/>
      </w:pPr>
      <w:r>
        <w:t>$2.7 million over two years from 2026–‍27 to deliver competitive grants to provide education, resources and support for women and families impacted by stillbirth and miscarriage</w:t>
      </w:r>
    </w:p>
    <w:p w14:paraId="1886DC5A" w14:textId="177EE93D" w:rsidR="00BB2CB4" w:rsidRDefault="000674DA">
      <w:pPr>
        <w:pStyle w:val="Bullet"/>
      </w:pPr>
      <w:r>
        <w:t>$2.0 million over two years from 2026–‍27 to continue Movember</w:t>
      </w:r>
      <w:r w:rsidR="00222C32">
        <w:t>’</w:t>
      </w:r>
      <w:r>
        <w:t>s training and resource hub to support health professionals to provide targeted care and support to men</w:t>
      </w:r>
    </w:p>
    <w:p w14:paraId="08C01A9A" w14:textId="2F993D7F" w:rsidR="00BB2CB4" w:rsidRDefault="000674DA">
      <w:pPr>
        <w:pStyle w:val="Bullet"/>
      </w:pPr>
      <w:r>
        <w:t>$1.6 million over two years from 2026–‍27 for regional coordinators to support Men</w:t>
      </w:r>
      <w:r w:rsidR="00222C32">
        <w:t>’</w:t>
      </w:r>
      <w:r>
        <w:t>s Sheds to host and participate in health and mental health related events</w:t>
      </w:r>
    </w:p>
    <w:p w14:paraId="4CC9385F" w14:textId="316AD9D4" w:rsidR="00BB2CB4" w:rsidRDefault="000674DA">
      <w:pPr>
        <w:pStyle w:val="Bullet"/>
      </w:pPr>
      <w:r>
        <w:t>$0.7 million over two years from 2026–‍27 to support health professionals to provide essential women</w:t>
      </w:r>
      <w:r w:rsidR="00222C32">
        <w:t>’</w:t>
      </w:r>
      <w:r>
        <w:t>s health care, including long‑acting reversible contraception and affordable medical termination of pregnancy.</w:t>
      </w:r>
    </w:p>
    <w:p w14:paraId="5E8477B7" w14:textId="77777777" w:rsidR="00BB2CB4" w:rsidRDefault="000674DA">
      <w:pPr>
        <w:pStyle w:val="Normal2"/>
      </w:pPr>
      <w:r w:rsidRPr="69C11E82">
        <w:rPr>
          <w:lang w:val="en-US"/>
        </w:rPr>
        <w:t>The Department of Health, Disability and Ageing will partially meet the cost of this measure from within existing resources.</w:t>
      </w:r>
    </w:p>
    <w:p w14:paraId="1AF19434" w14:textId="2BF11846" w:rsidR="00BB2CB4" w:rsidRDefault="000674DA">
      <w:pPr>
        <w:pStyle w:val="Normal2"/>
      </w:pPr>
      <w:r>
        <w:lastRenderedPageBreak/>
        <w:t xml:space="preserve">This measure builds on the 2023–‍24 Budget measure titled </w:t>
      </w:r>
      <w:r w:rsidRPr="000674DA">
        <w:rPr>
          <w:i/>
        </w:rPr>
        <w:t>Support for Children and New and Expecting Parents</w:t>
      </w:r>
      <w:r>
        <w:t xml:space="preserve">, the 2023–‍24 MYEFO measure titled </w:t>
      </w:r>
      <w:r w:rsidRPr="000674DA">
        <w:rPr>
          <w:i/>
        </w:rPr>
        <w:t xml:space="preserve">Achieving Better Health Outcomes, </w:t>
      </w:r>
      <w:r>
        <w:t xml:space="preserve">the 2024–‍25 Budget measures titled </w:t>
      </w:r>
      <w:r w:rsidRPr="000674DA">
        <w:rPr>
          <w:i/>
        </w:rPr>
        <w:t>Women</w:t>
      </w:r>
      <w:r w:rsidR="00222C32">
        <w:rPr>
          <w:i/>
        </w:rPr>
        <w:t>’</w:t>
      </w:r>
      <w:r w:rsidRPr="000674DA">
        <w:rPr>
          <w:i/>
        </w:rPr>
        <w:t xml:space="preserve">s Health </w:t>
      </w:r>
      <w:r>
        <w:t>and</w:t>
      </w:r>
      <w:r w:rsidRPr="000674DA">
        <w:rPr>
          <w:i/>
        </w:rPr>
        <w:t xml:space="preserve"> Preventive Health</w:t>
      </w:r>
      <w:r>
        <w:t xml:space="preserve">, and the 2024–‍25 MYEFO measures titled </w:t>
      </w:r>
      <w:r w:rsidRPr="000674DA">
        <w:rPr>
          <w:i/>
        </w:rPr>
        <w:t>Preventive Health</w:t>
      </w:r>
      <w:r>
        <w:t xml:space="preserve"> and </w:t>
      </w:r>
      <w:r w:rsidRPr="000674DA">
        <w:rPr>
          <w:i/>
        </w:rPr>
        <w:t>Strengthening Medicare</w:t>
      </w:r>
      <w:r>
        <w:t>.</w:t>
      </w:r>
    </w:p>
    <w:p w14:paraId="40CF57DF" w14:textId="77777777" w:rsidR="00BB2CB4" w:rsidRDefault="000674DA">
      <w:pPr>
        <w:pStyle w:val="MeasureTitle"/>
      </w:pPr>
      <w:r>
        <w:t>Health Protection</w:t>
      </w:r>
    </w:p>
    <w:p w14:paraId="6D6ADCB4"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5367184" w14:textId="77777777" w:rsidTr="00825163">
        <w:trPr>
          <w:cantSplit/>
        </w:trPr>
        <w:tc>
          <w:tcPr>
            <w:tcW w:w="2501" w:type="dxa"/>
          </w:tcPr>
          <w:p w14:paraId="37A1C54D" w14:textId="77777777" w:rsidR="00BB2CB4" w:rsidRPr="00222C32" w:rsidRDefault="00BB2CB4">
            <w:pPr>
              <w:pStyle w:val="MeasureTableYearHeadings"/>
              <w:keepNext/>
            </w:pPr>
          </w:p>
        </w:tc>
        <w:tc>
          <w:tcPr>
            <w:tcW w:w="1044" w:type="dxa"/>
          </w:tcPr>
          <w:p w14:paraId="541AE1A1" w14:textId="77777777" w:rsidR="00BB2CB4" w:rsidRPr="00222C32" w:rsidRDefault="000674DA">
            <w:pPr>
              <w:pStyle w:val="MeasureTableYearHeadings"/>
              <w:keepNext/>
            </w:pPr>
            <w:r w:rsidRPr="00222C32">
              <w:t>2024-25</w:t>
            </w:r>
          </w:p>
        </w:tc>
        <w:tc>
          <w:tcPr>
            <w:tcW w:w="1044" w:type="dxa"/>
          </w:tcPr>
          <w:p w14:paraId="264EC258" w14:textId="77777777" w:rsidR="00BB2CB4" w:rsidRPr="00222C32" w:rsidRDefault="000674DA">
            <w:pPr>
              <w:pStyle w:val="MeasureTableYearHeadings"/>
              <w:keepNext/>
            </w:pPr>
            <w:r w:rsidRPr="00222C32">
              <w:t>2025-26</w:t>
            </w:r>
          </w:p>
        </w:tc>
        <w:tc>
          <w:tcPr>
            <w:tcW w:w="1044" w:type="dxa"/>
          </w:tcPr>
          <w:p w14:paraId="3682702D" w14:textId="77777777" w:rsidR="00BB2CB4" w:rsidRPr="00222C32" w:rsidRDefault="000674DA">
            <w:pPr>
              <w:pStyle w:val="MeasureTableYearHeadings"/>
              <w:keepNext/>
            </w:pPr>
            <w:r w:rsidRPr="00222C32">
              <w:t>2026-27</w:t>
            </w:r>
          </w:p>
        </w:tc>
        <w:tc>
          <w:tcPr>
            <w:tcW w:w="1044" w:type="dxa"/>
          </w:tcPr>
          <w:p w14:paraId="45164FC1" w14:textId="77777777" w:rsidR="00BB2CB4" w:rsidRPr="00222C32" w:rsidRDefault="000674DA">
            <w:pPr>
              <w:pStyle w:val="MeasureTableYearHeadings"/>
              <w:keepNext/>
            </w:pPr>
            <w:r w:rsidRPr="00222C32">
              <w:t>2027-28</w:t>
            </w:r>
          </w:p>
        </w:tc>
        <w:tc>
          <w:tcPr>
            <w:tcW w:w="1044" w:type="dxa"/>
          </w:tcPr>
          <w:p w14:paraId="03FE7E0D" w14:textId="77777777" w:rsidR="00BB2CB4" w:rsidRPr="00222C32" w:rsidRDefault="000674DA">
            <w:pPr>
              <w:pStyle w:val="MeasureTableYearHeadings"/>
              <w:keepNext/>
            </w:pPr>
            <w:r w:rsidRPr="00222C32">
              <w:t>2028-29</w:t>
            </w:r>
          </w:p>
        </w:tc>
      </w:tr>
      <w:tr w:rsidR="00BB2CB4" w:rsidRPr="00222C32" w14:paraId="3A5B8C58" w14:textId="77777777" w:rsidTr="00825163">
        <w:trPr>
          <w:cantSplit/>
        </w:trPr>
        <w:tc>
          <w:tcPr>
            <w:tcW w:w="2501" w:type="dxa"/>
          </w:tcPr>
          <w:p w14:paraId="24ADC905" w14:textId="77777777" w:rsidR="00BB2CB4" w:rsidRPr="00222C32" w:rsidRDefault="000674DA">
            <w:pPr>
              <w:pStyle w:val="MeasureTableHeadingleftalignedwith2ptsspacing"/>
              <w:keepNext/>
            </w:pPr>
            <w:r w:rsidRPr="00222C32">
              <w:t>Department of Health, Disability and Ageing</w:t>
            </w:r>
          </w:p>
        </w:tc>
        <w:tc>
          <w:tcPr>
            <w:tcW w:w="1044" w:type="dxa"/>
          </w:tcPr>
          <w:p w14:paraId="3A058628" w14:textId="77777777" w:rsidR="00BB2CB4" w:rsidRPr="00222C32" w:rsidRDefault="000674DA">
            <w:pPr>
              <w:pStyle w:val="MeasureTableDataRightAlignedwith2ptsspacing"/>
              <w:keepNext/>
            </w:pPr>
            <w:r w:rsidRPr="00222C32">
              <w:t>-</w:t>
            </w:r>
          </w:p>
        </w:tc>
        <w:tc>
          <w:tcPr>
            <w:tcW w:w="1044" w:type="dxa"/>
          </w:tcPr>
          <w:p w14:paraId="00F86EFF" w14:textId="77777777" w:rsidR="00BB2CB4" w:rsidRPr="00222C32" w:rsidRDefault="000674DA">
            <w:pPr>
              <w:pStyle w:val="MeasureTableDataRightAlignedwith2ptsspacing"/>
              <w:keepNext/>
            </w:pPr>
            <w:r w:rsidRPr="00222C32">
              <w:t>2.3</w:t>
            </w:r>
          </w:p>
        </w:tc>
        <w:tc>
          <w:tcPr>
            <w:tcW w:w="1044" w:type="dxa"/>
          </w:tcPr>
          <w:p w14:paraId="55C6E488" w14:textId="77777777" w:rsidR="00BB2CB4" w:rsidRPr="00222C32" w:rsidRDefault="000674DA">
            <w:pPr>
              <w:pStyle w:val="MeasureTableDataRightAlignedwith2ptsspacing"/>
              <w:keepNext/>
            </w:pPr>
            <w:r w:rsidRPr="00222C32">
              <w:t>73.9</w:t>
            </w:r>
          </w:p>
        </w:tc>
        <w:tc>
          <w:tcPr>
            <w:tcW w:w="1044" w:type="dxa"/>
          </w:tcPr>
          <w:p w14:paraId="4A3A2294" w14:textId="77777777" w:rsidR="00BB2CB4" w:rsidRPr="00222C32" w:rsidRDefault="000674DA">
            <w:pPr>
              <w:pStyle w:val="MeasureTableDataRightAlignedwith2ptsspacing"/>
              <w:keepNext/>
            </w:pPr>
            <w:r w:rsidRPr="00222C32">
              <w:t>68.5</w:t>
            </w:r>
          </w:p>
        </w:tc>
        <w:tc>
          <w:tcPr>
            <w:tcW w:w="1044" w:type="dxa"/>
          </w:tcPr>
          <w:p w14:paraId="334D5FA8" w14:textId="77777777" w:rsidR="00BB2CB4" w:rsidRPr="00222C32" w:rsidRDefault="000674DA">
            <w:pPr>
              <w:pStyle w:val="MeasureTableDataRightAlignedwith2ptsspacing"/>
              <w:keepNext/>
            </w:pPr>
            <w:r w:rsidRPr="00222C32">
              <w:t>74.2</w:t>
            </w:r>
          </w:p>
        </w:tc>
      </w:tr>
      <w:tr w:rsidR="00BB2CB4" w:rsidRPr="00222C32" w14:paraId="383CD446" w14:textId="77777777" w:rsidTr="00825163">
        <w:trPr>
          <w:cantSplit/>
        </w:trPr>
        <w:tc>
          <w:tcPr>
            <w:tcW w:w="2501" w:type="dxa"/>
          </w:tcPr>
          <w:p w14:paraId="6523DD6A" w14:textId="77777777" w:rsidR="00BB2CB4" w:rsidRPr="00222C32" w:rsidRDefault="000674DA">
            <w:pPr>
              <w:pStyle w:val="MeasureTableHeadingleftalignedwith2ptsspacing"/>
              <w:keepNext/>
            </w:pPr>
            <w:r w:rsidRPr="00222C32">
              <w:t>Department of Finance</w:t>
            </w:r>
          </w:p>
        </w:tc>
        <w:tc>
          <w:tcPr>
            <w:tcW w:w="1044" w:type="dxa"/>
          </w:tcPr>
          <w:p w14:paraId="2BF2165B" w14:textId="77777777" w:rsidR="00BB2CB4" w:rsidRPr="00222C32" w:rsidRDefault="000674DA">
            <w:pPr>
              <w:pStyle w:val="MeasureTableDataRightAlignedwith2ptsspacing"/>
              <w:keepNext/>
            </w:pPr>
            <w:r w:rsidRPr="00222C32">
              <w:t>-</w:t>
            </w:r>
          </w:p>
        </w:tc>
        <w:tc>
          <w:tcPr>
            <w:tcW w:w="1044" w:type="dxa"/>
          </w:tcPr>
          <w:p w14:paraId="01507BA7" w14:textId="77777777" w:rsidR="00BB2CB4" w:rsidRPr="00222C32" w:rsidRDefault="000674DA">
            <w:pPr>
              <w:pStyle w:val="MeasureTableDataRightAlignedwith2ptsspacing"/>
              <w:keepNext/>
            </w:pPr>
            <w:r w:rsidRPr="00222C32">
              <w:t>-</w:t>
            </w:r>
          </w:p>
        </w:tc>
        <w:tc>
          <w:tcPr>
            <w:tcW w:w="1044" w:type="dxa"/>
          </w:tcPr>
          <w:p w14:paraId="07A459F0" w14:textId="77777777" w:rsidR="00BB2CB4" w:rsidRPr="00222C32" w:rsidRDefault="000674DA">
            <w:pPr>
              <w:pStyle w:val="MeasureTableDataRightAlignedwith2ptsspacing"/>
              <w:keepNext/>
            </w:pPr>
            <w:r w:rsidRPr="00222C32">
              <w:t>0.1</w:t>
            </w:r>
          </w:p>
        </w:tc>
        <w:tc>
          <w:tcPr>
            <w:tcW w:w="1044" w:type="dxa"/>
          </w:tcPr>
          <w:p w14:paraId="471AFC5E" w14:textId="77777777" w:rsidR="00BB2CB4" w:rsidRPr="00222C32" w:rsidRDefault="000674DA">
            <w:pPr>
              <w:pStyle w:val="MeasureTableDataRightAlignedwith2ptsspacing"/>
              <w:keepNext/>
            </w:pPr>
            <w:r w:rsidRPr="00222C32">
              <w:t>-</w:t>
            </w:r>
          </w:p>
        </w:tc>
        <w:tc>
          <w:tcPr>
            <w:tcW w:w="1044" w:type="dxa"/>
          </w:tcPr>
          <w:p w14:paraId="71507F9E" w14:textId="77777777" w:rsidR="00BB2CB4" w:rsidRPr="00222C32" w:rsidRDefault="000674DA">
            <w:pPr>
              <w:pStyle w:val="MeasureTableDataRightAlignedwith2ptsspacing"/>
              <w:keepNext/>
            </w:pPr>
            <w:r w:rsidRPr="00222C32">
              <w:t>-</w:t>
            </w:r>
          </w:p>
        </w:tc>
      </w:tr>
      <w:tr w:rsidR="00BB2CB4" w:rsidRPr="00222C32" w14:paraId="104CE946" w14:textId="77777777" w:rsidTr="00825163">
        <w:trPr>
          <w:cantSplit/>
        </w:trPr>
        <w:tc>
          <w:tcPr>
            <w:tcW w:w="2501" w:type="dxa"/>
          </w:tcPr>
          <w:p w14:paraId="10A84F49" w14:textId="77777777" w:rsidR="00BB2CB4" w:rsidRPr="00222C32" w:rsidRDefault="000674DA">
            <w:pPr>
              <w:pStyle w:val="Totalrowleftaligned"/>
              <w:keepNext/>
            </w:pPr>
            <w:r w:rsidRPr="00222C32">
              <w:t>Total – Payments</w:t>
            </w:r>
          </w:p>
        </w:tc>
        <w:tc>
          <w:tcPr>
            <w:tcW w:w="1044" w:type="dxa"/>
          </w:tcPr>
          <w:p w14:paraId="23F64C6F" w14:textId="77777777" w:rsidR="00BB2CB4" w:rsidRPr="00222C32" w:rsidRDefault="000674DA">
            <w:pPr>
              <w:pStyle w:val="Totaldatarowrightaligned"/>
              <w:keepNext/>
            </w:pPr>
            <w:r w:rsidRPr="00222C32">
              <w:t>-</w:t>
            </w:r>
          </w:p>
        </w:tc>
        <w:tc>
          <w:tcPr>
            <w:tcW w:w="1044" w:type="dxa"/>
          </w:tcPr>
          <w:p w14:paraId="3ADEF88B" w14:textId="77777777" w:rsidR="00BB2CB4" w:rsidRPr="00222C32" w:rsidRDefault="000674DA">
            <w:pPr>
              <w:pStyle w:val="Totaldatarowrightaligned"/>
              <w:keepNext/>
            </w:pPr>
            <w:r w:rsidRPr="00222C32">
              <w:t>2.3</w:t>
            </w:r>
          </w:p>
        </w:tc>
        <w:tc>
          <w:tcPr>
            <w:tcW w:w="1044" w:type="dxa"/>
          </w:tcPr>
          <w:p w14:paraId="16F1CB82" w14:textId="77777777" w:rsidR="00BB2CB4" w:rsidRPr="00222C32" w:rsidRDefault="000674DA">
            <w:pPr>
              <w:pStyle w:val="Totaldatarowrightaligned"/>
              <w:keepNext/>
            </w:pPr>
            <w:r w:rsidRPr="00222C32">
              <w:t>74.0</w:t>
            </w:r>
          </w:p>
        </w:tc>
        <w:tc>
          <w:tcPr>
            <w:tcW w:w="1044" w:type="dxa"/>
          </w:tcPr>
          <w:p w14:paraId="5518F9FD" w14:textId="77777777" w:rsidR="00BB2CB4" w:rsidRPr="00222C32" w:rsidRDefault="000674DA">
            <w:pPr>
              <w:pStyle w:val="Totaldatarowrightaligned"/>
              <w:keepNext/>
            </w:pPr>
            <w:r w:rsidRPr="00222C32">
              <w:t>68.5</w:t>
            </w:r>
          </w:p>
        </w:tc>
        <w:tc>
          <w:tcPr>
            <w:tcW w:w="1044" w:type="dxa"/>
          </w:tcPr>
          <w:p w14:paraId="3A3B4EDB" w14:textId="77777777" w:rsidR="00BB2CB4" w:rsidRPr="00222C32" w:rsidRDefault="000674DA">
            <w:pPr>
              <w:pStyle w:val="Totaldatarowrightaligned"/>
              <w:keepNext/>
            </w:pPr>
            <w:r w:rsidRPr="00222C32">
              <w:t>74.2</w:t>
            </w:r>
          </w:p>
        </w:tc>
      </w:tr>
    </w:tbl>
    <w:p w14:paraId="1B155FCB" w14:textId="77777777" w:rsidR="0022719D" w:rsidRDefault="0022719D" w:rsidP="0022719D">
      <w:pPr>
        <w:pStyle w:val="SingleParagraph"/>
      </w:pPr>
    </w:p>
    <w:p w14:paraId="50DBC32A" w14:textId="77777777" w:rsidR="00BB2CB4" w:rsidRDefault="000674DA">
      <w:pPr>
        <w:pStyle w:val="Normal2"/>
      </w:pPr>
      <w:r>
        <w:t>The Government will provide $220.5 million over four years from 2025–‍26 (and $25.7 million per year ongoing) for health protection initiatives. Funding includes:</w:t>
      </w:r>
    </w:p>
    <w:p w14:paraId="19DB1161" w14:textId="77777777" w:rsidR="00BB2CB4" w:rsidRDefault="000674DA">
      <w:pPr>
        <w:pStyle w:val="Bullet"/>
      </w:pPr>
      <w:r>
        <w:t>$116.8 million over four years from 2025–‍26 (and $25.7 million per year ongoing) to continue funding for programs that address blood borne viruses and sexually transmitted infections in priority populations</w:t>
      </w:r>
    </w:p>
    <w:p w14:paraId="04367808" w14:textId="77777777" w:rsidR="00BB2CB4" w:rsidRDefault="000674DA">
      <w:pPr>
        <w:pStyle w:val="Bullet"/>
      </w:pPr>
      <w:r>
        <w:t>$51.7 million over three years from 2026–‍27 to expand viral hepatitis testing, treatment, prevention, and harm reduction services for at risk populations</w:t>
      </w:r>
    </w:p>
    <w:p w14:paraId="38A76A74" w14:textId="77777777" w:rsidR="00BB2CB4" w:rsidRDefault="000674DA">
      <w:pPr>
        <w:pStyle w:val="Bullet"/>
      </w:pPr>
      <w:r>
        <w:t>$41.9 million over three years from 2026–‍27 to continue funding to reduce HIV transmission in priority populations and to progress the goal of achieving virtual elimination of HIV transmission by 2030</w:t>
      </w:r>
    </w:p>
    <w:p w14:paraId="09ABA9AD" w14:textId="77777777" w:rsidR="00BB2CB4" w:rsidRDefault="000674DA">
      <w:pPr>
        <w:pStyle w:val="Bullet"/>
      </w:pPr>
      <w:r>
        <w:t>$10.0 million over two years from 2025–‍26 to develop a proof of concept for the National Public Health Surveillance System for the Australian Centre for Disease Control.</w:t>
      </w:r>
    </w:p>
    <w:p w14:paraId="19991AE8" w14:textId="77777777" w:rsidR="00BB2CB4" w:rsidRDefault="000674DA">
      <w:pPr>
        <w:pStyle w:val="Normal2"/>
      </w:pPr>
      <w:r w:rsidRPr="69C11E82">
        <w:rPr>
          <w:lang w:val="en-US"/>
        </w:rPr>
        <w:t>The Department of Health, Disability and Ageing will partially meet the cost of this measure from within existing resources.</w:t>
      </w:r>
    </w:p>
    <w:p w14:paraId="21A9ED95" w14:textId="77777777" w:rsidR="00BB2CB4" w:rsidRDefault="000674DA">
      <w:pPr>
        <w:pStyle w:val="Normal2"/>
      </w:pPr>
      <w:r w:rsidRPr="69C11E82">
        <w:rPr>
          <w:lang w:val="en-US"/>
        </w:rPr>
        <w:t xml:space="preserve">This measure builds on the 2024–‍25 MYEFO measure titled </w:t>
      </w:r>
      <w:r w:rsidRPr="69C11E82">
        <w:rPr>
          <w:i/>
          <w:lang w:val="en-US"/>
        </w:rPr>
        <w:t>Establishment of the Australian Centre for Disease Control</w:t>
      </w:r>
      <w:r w:rsidRPr="69C11E82">
        <w:rPr>
          <w:lang w:val="en-US"/>
        </w:rPr>
        <w:t xml:space="preserve">, and the 2024–‍25 Budget measures titled </w:t>
      </w:r>
      <w:r w:rsidRPr="69C11E82">
        <w:rPr>
          <w:i/>
          <w:lang w:val="en-US"/>
        </w:rPr>
        <w:t>Response to HIV Taskforce Recommendations – eliminating HIV in Australia</w:t>
      </w:r>
      <w:r w:rsidRPr="69C11E82">
        <w:rPr>
          <w:lang w:val="en-US"/>
        </w:rPr>
        <w:t xml:space="preserve"> and </w:t>
      </w:r>
      <w:r w:rsidRPr="69C11E82">
        <w:rPr>
          <w:i/>
          <w:lang w:val="en-US"/>
        </w:rPr>
        <w:t>National Strategies for Bloodborne Viruses and Sexually Transmissible Infections – continuation and expansion</w:t>
      </w:r>
      <w:r w:rsidRPr="69C11E82">
        <w:rPr>
          <w:lang w:val="en-US"/>
        </w:rPr>
        <w:t>.</w:t>
      </w:r>
    </w:p>
    <w:p w14:paraId="0F0C228E" w14:textId="77777777" w:rsidR="00BB2CB4" w:rsidRDefault="000674DA">
      <w:pPr>
        <w:pStyle w:val="MeasureTitle"/>
      </w:pPr>
      <w:r>
        <w:lastRenderedPageBreak/>
        <w:t>Health Research, Systems and Data</w:t>
      </w:r>
    </w:p>
    <w:p w14:paraId="5F96689E"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48064CD" w14:textId="77777777" w:rsidTr="00825163">
        <w:trPr>
          <w:cantSplit/>
        </w:trPr>
        <w:tc>
          <w:tcPr>
            <w:tcW w:w="2501" w:type="dxa"/>
          </w:tcPr>
          <w:p w14:paraId="283856BB" w14:textId="77777777" w:rsidR="00BB2CB4" w:rsidRPr="00222C32" w:rsidRDefault="00BB2CB4">
            <w:pPr>
              <w:pStyle w:val="MeasureTableYearHeadings"/>
              <w:keepNext/>
            </w:pPr>
          </w:p>
        </w:tc>
        <w:tc>
          <w:tcPr>
            <w:tcW w:w="1044" w:type="dxa"/>
          </w:tcPr>
          <w:p w14:paraId="14641BE7" w14:textId="77777777" w:rsidR="00BB2CB4" w:rsidRPr="00222C32" w:rsidRDefault="000674DA">
            <w:pPr>
              <w:pStyle w:val="MeasureTableYearHeadings"/>
              <w:keepNext/>
            </w:pPr>
            <w:r w:rsidRPr="00222C32">
              <w:t>2024-25</w:t>
            </w:r>
          </w:p>
        </w:tc>
        <w:tc>
          <w:tcPr>
            <w:tcW w:w="1044" w:type="dxa"/>
          </w:tcPr>
          <w:p w14:paraId="5F8F29D5" w14:textId="77777777" w:rsidR="00BB2CB4" w:rsidRPr="00222C32" w:rsidRDefault="000674DA">
            <w:pPr>
              <w:pStyle w:val="MeasureTableYearHeadings"/>
              <w:keepNext/>
            </w:pPr>
            <w:r w:rsidRPr="00222C32">
              <w:t>2025-26</w:t>
            </w:r>
          </w:p>
        </w:tc>
        <w:tc>
          <w:tcPr>
            <w:tcW w:w="1044" w:type="dxa"/>
          </w:tcPr>
          <w:p w14:paraId="1244C412" w14:textId="77777777" w:rsidR="00BB2CB4" w:rsidRPr="00222C32" w:rsidRDefault="000674DA">
            <w:pPr>
              <w:pStyle w:val="MeasureTableYearHeadings"/>
              <w:keepNext/>
            </w:pPr>
            <w:r w:rsidRPr="00222C32">
              <w:t>2026-27</w:t>
            </w:r>
          </w:p>
        </w:tc>
        <w:tc>
          <w:tcPr>
            <w:tcW w:w="1044" w:type="dxa"/>
          </w:tcPr>
          <w:p w14:paraId="7322AB65" w14:textId="77777777" w:rsidR="00BB2CB4" w:rsidRPr="00222C32" w:rsidRDefault="000674DA">
            <w:pPr>
              <w:pStyle w:val="MeasureTableYearHeadings"/>
              <w:keepNext/>
            </w:pPr>
            <w:r w:rsidRPr="00222C32">
              <w:t>2027-28</w:t>
            </w:r>
          </w:p>
        </w:tc>
        <w:tc>
          <w:tcPr>
            <w:tcW w:w="1044" w:type="dxa"/>
          </w:tcPr>
          <w:p w14:paraId="14163F20" w14:textId="77777777" w:rsidR="00BB2CB4" w:rsidRPr="00222C32" w:rsidRDefault="000674DA">
            <w:pPr>
              <w:pStyle w:val="MeasureTableYearHeadings"/>
              <w:keepNext/>
            </w:pPr>
            <w:r w:rsidRPr="00222C32">
              <w:t>2028-29</w:t>
            </w:r>
          </w:p>
        </w:tc>
      </w:tr>
      <w:tr w:rsidR="00BB2CB4" w:rsidRPr="00222C32" w14:paraId="0BF290C6" w14:textId="77777777" w:rsidTr="00825163">
        <w:trPr>
          <w:cantSplit/>
        </w:trPr>
        <w:tc>
          <w:tcPr>
            <w:tcW w:w="2501" w:type="dxa"/>
          </w:tcPr>
          <w:p w14:paraId="3CA7CC76" w14:textId="77777777" w:rsidR="00BB2CB4" w:rsidRPr="00222C32" w:rsidRDefault="000674DA">
            <w:pPr>
              <w:pStyle w:val="MeasureTableHeadingleftalignedwith2ptsspacing"/>
              <w:keepNext/>
            </w:pPr>
            <w:r w:rsidRPr="00222C32">
              <w:t>Services Australia</w:t>
            </w:r>
          </w:p>
        </w:tc>
        <w:tc>
          <w:tcPr>
            <w:tcW w:w="1044" w:type="dxa"/>
          </w:tcPr>
          <w:p w14:paraId="0C5BA95B" w14:textId="77777777" w:rsidR="00BB2CB4" w:rsidRPr="00222C32" w:rsidRDefault="000674DA">
            <w:pPr>
              <w:pStyle w:val="MeasureTableDataRightAlignedwith2ptsspacing"/>
              <w:keepNext/>
            </w:pPr>
            <w:r w:rsidRPr="00222C32">
              <w:t>-</w:t>
            </w:r>
          </w:p>
        </w:tc>
        <w:tc>
          <w:tcPr>
            <w:tcW w:w="1044" w:type="dxa"/>
          </w:tcPr>
          <w:p w14:paraId="337CBD69" w14:textId="77777777" w:rsidR="00BB2CB4" w:rsidRPr="00222C32" w:rsidRDefault="000674DA">
            <w:pPr>
              <w:pStyle w:val="MeasureTableDataRightAlignedwith2ptsspacing"/>
              <w:keepNext/>
            </w:pPr>
            <w:r w:rsidRPr="00222C32">
              <w:t>6.5</w:t>
            </w:r>
          </w:p>
        </w:tc>
        <w:tc>
          <w:tcPr>
            <w:tcW w:w="1044" w:type="dxa"/>
          </w:tcPr>
          <w:p w14:paraId="537B2535" w14:textId="77777777" w:rsidR="00BB2CB4" w:rsidRPr="00222C32" w:rsidRDefault="000674DA">
            <w:pPr>
              <w:pStyle w:val="MeasureTableDataRightAlignedwith2ptsspacing"/>
              <w:keepNext/>
            </w:pPr>
            <w:r w:rsidRPr="00222C32">
              <w:t>12.0</w:t>
            </w:r>
          </w:p>
        </w:tc>
        <w:tc>
          <w:tcPr>
            <w:tcW w:w="1044" w:type="dxa"/>
          </w:tcPr>
          <w:p w14:paraId="364F47B5" w14:textId="77777777" w:rsidR="00BB2CB4" w:rsidRPr="00222C32" w:rsidRDefault="000674DA">
            <w:pPr>
              <w:pStyle w:val="MeasureTableDataRightAlignedwith2ptsspacing"/>
              <w:keepNext/>
            </w:pPr>
            <w:r w:rsidRPr="00222C32">
              <w:t>8.8</w:t>
            </w:r>
          </w:p>
        </w:tc>
        <w:tc>
          <w:tcPr>
            <w:tcW w:w="1044" w:type="dxa"/>
          </w:tcPr>
          <w:p w14:paraId="1A7EC259" w14:textId="77777777" w:rsidR="00BB2CB4" w:rsidRPr="00222C32" w:rsidRDefault="000674DA">
            <w:pPr>
              <w:pStyle w:val="MeasureTableDataRightAlignedwith2ptsspacing"/>
              <w:keepNext/>
            </w:pPr>
            <w:r w:rsidRPr="00222C32">
              <w:t>4.7</w:t>
            </w:r>
          </w:p>
        </w:tc>
      </w:tr>
      <w:tr w:rsidR="00BB2CB4" w:rsidRPr="00222C32" w14:paraId="00DB68D3" w14:textId="77777777" w:rsidTr="00825163">
        <w:trPr>
          <w:cantSplit/>
        </w:trPr>
        <w:tc>
          <w:tcPr>
            <w:tcW w:w="2501" w:type="dxa"/>
          </w:tcPr>
          <w:p w14:paraId="73A8B77F" w14:textId="77777777" w:rsidR="00BB2CB4" w:rsidRPr="00222C32" w:rsidRDefault="000674DA">
            <w:pPr>
              <w:pStyle w:val="MeasureTableHeadingleftalignedwith2ptsspacing"/>
              <w:keepNext/>
            </w:pPr>
            <w:r w:rsidRPr="00222C32">
              <w:t>National Health and Medical Research Council</w:t>
            </w:r>
          </w:p>
        </w:tc>
        <w:tc>
          <w:tcPr>
            <w:tcW w:w="1044" w:type="dxa"/>
          </w:tcPr>
          <w:p w14:paraId="2A946C7D" w14:textId="77777777" w:rsidR="00BB2CB4" w:rsidRPr="00222C32" w:rsidRDefault="000674DA">
            <w:pPr>
              <w:pStyle w:val="MeasureTableDataRightAlignedwith2ptsspacing"/>
              <w:keepNext/>
            </w:pPr>
            <w:r w:rsidRPr="00222C32">
              <w:t>-</w:t>
            </w:r>
          </w:p>
        </w:tc>
        <w:tc>
          <w:tcPr>
            <w:tcW w:w="1044" w:type="dxa"/>
          </w:tcPr>
          <w:p w14:paraId="1B12B9E0" w14:textId="77777777" w:rsidR="00BB2CB4" w:rsidRPr="00222C32" w:rsidRDefault="000674DA">
            <w:pPr>
              <w:pStyle w:val="MeasureTableDataRightAlignedwith2ptsspacing"/>
              <w:keepNext/>
            </w:pPr>
            <w:r w:rsidRPr="00222C32">
              <w:t>3.0</w:t>
            </w:r>
          </w:p>
        </w:tc>
        <w:tc>
          <w:tcPr>
            <w:tcW w:w="1044" w:type="dxa"/>
          </w:tcPr>
          <w:p w14:paraId="38717E46" w14:textId="77777777" w:rsidR="00BB2CB4" w:rsidRPr="00222C32" w:rsidRDefault="000674DA">
            <w:pPr>
              <w:pStyle w:val="MeasureTableDataRightAlignedwith2ptsspacing"/>
              <w:keepNext/>
            </w:pPr>
            <w:r w:rsidRPr="00222C32">
              <w:t>-</w:t>
            </w:r>
          </w:p>
        </w:tc>
        <w:tc>
          <w:tcPr>
            <w:tcW w:w="1044" w:type="dxa"/>
          </w:tcPr>
          <w:p w14:paraId="75060A3C" w14:textId="77777777" w:rsidR="00BB2CB4" w:rsidRPr="00222C32" w:rsidRDefault="000674DA">
            <w:pPr>
              <w:pStyle w:val="MeasureTableDataRightAlignedwith2ptsspacing"/>
              <w:keepNext/>
            </w:pPr>
            <w:r w:rsidRPr="00222C32">
              <w:t>-</w:t>
            </w:r>
          </w:p>
        </w:tc>
        <w:tc>
          <w:tcPr>
            <w:tcW w:w="1044" w:type="dxa"/>
          </w:tcPr>
          <w:p w14:paraId="03C39297" w14:textId="77777777" w:rsidR="00BB2CB4" w:rsidRPr="00222C32" w:rsidRDefault="000674DA">
            <w:pPr>
              <w:pStyle w:val="MeasureTableDataRightAlignedwith2ptsspacing"/>
              <w:keepNext/>
            </w:pPr>
            <w:r w:rsidRPr="00222C32">
              <w:t>-</w:t>
            </w:r>
          </w:p>
        </w:tc>
      </w:tr>
      <w:tr w:rsidR="00BB2CB4" w:rsidRPr="00222C32" w14:paraId="75801CCE" w14:textId="77777777" w:rsidTr="00825163">
        <w:trPr>
          <w:cantSplit/>
        </w:trPr>
        <w:tc>
          <w:tcPr>
            <w:tcW w:w="2501" w:type="dxa"/>
          </w:tcPr>
          <w:p w14:paraId="7C512271" w14:textId="77777777" w:rsidR="00BB2CB4" w:rsidRPr="00222C32" w:rsidRDefault="000674DA">
            <w:pPr>
              <w:pStyle w:val="MeasureTableHeadingleftalignedwith2ptsspacing"/>
              <w:keepNext/>
            </w:pPr>
            <w:r w:rsidRPr="00222C32">
              <w:t>Cancer Australia</w:t>
            </w:r>
          </w:p>
        </w:tc>
        <w:tc>
          <w:tcPr>
            <w:tcW w:w="1044" w:type="dxa"/>
          </w:tcPr>
          <w:p w14:paraId="4FA3474E" w14:textId="77777777" w:rsidR="00BB2CB4" w:rsidRPr="00222C32" w:rsidRDefault="000674DA">
            <w:pPr>
              <w:pStyle w:val="MeasureTableDataRightAlignedwith2ptsspacing"/>
              <w:keepNext/>
            </w:pPr>
            <w:r w:rsidRPr="00222C32">
              <w:t>-</w:t>
            </w:r>
          </w:p>
        </w:tc>
        <w:tc>
          <w:tcPr>
            <w:tcW w:w="1044" w:type="dxa"/>
          </w:tcPr>
          <w:p w14:paraId="45F36343" w14:textId="77777777" w:rsidR="00BB2CB4" w:rsidRPr="00222C32" w:rsidRDefault="000674DA">
            <w:pPr>
              <w:pStyle w:val="MeasureTableDataRightAlignedwith2ptsspacing"/>
              <w:keepNext/>
            </w:pPr>
            <w:r w:rsidRPr="00222C32">
              <w:t>1.2</w:t>
            </w:r>
          </w:p>
        </w:tc>
        <w:tc>
          <w:tcPr>
            <w:tcW w:w="1044" w:type="dxa"/>
          </w:tcPr>
          <w:p w14:paraId="2533D8B5" w14:textId="77777777" w:rsidR="00BB2CB4" w:rsidRPr="00222C32" w:rsidRDefault="000674DA">
            <w:pPr>
              <w:pStyle w:val="MeasureTableDataRightAlignedwith2ptsspacing"/>
              <w:keepNext/>
            </w:pPr>
            <w:r w:rsidRPr="00222C32">
              <w:t>1.2</w:t>
            </w:r>
          </w:p>
        </w:tc>
        <w:tc>
          <w:tcPr>
            <w:tcW w:w="1044" w:type="dxa"/>
          </w:tcPr>
          <w:p w14:paraId="510D69A6" w14:textId="77777777" w:rsidR="00BB2CB4" w:rsidRPr="00222C32" w:rsidRDefault="000674DA">
            <w:pPr>
              <w:pStyle w:val="MeasureTableDataRightAlignedwith2ptsspacing"/>
              <w:keepNext/>
            </w:pPr>
            <w:r w:rsidRPr="00222C32">
              <w:t>1.2</w:t>
            </w:r>
          </w:p>
        </w:tc>
        <w:tc>
          <w:tcPr>
            <w:tcW w:w="1044" w:type="dxa"/>
          </w:tcPr>
          <w:p w14:paraId="0A9AF39A" w14:textId="77777777" w:rsidR="00BB2CB4" w:rsidRPr="00222C32" w:rsidRDefault="000674DA">
            <w:pPr>
              <w:pStyle w:val="MeasureTableDataRightAlignedwith2ptsspacing"/>
              <w:keepNext/>
            </w:pPr>
            <w:r w:rsidRPr="00222C32">
              <w:t>1.2</w:t>
            </w:r>
          </w:p>
        </w:tc>
      </w:tr>
      <w:tr w:rsidR="00BB2CB4" w:rsidRPr="00222C32" w14:paraId="6072E750" w14:textId="77777777" w:rsidTr="00825163">
        <w:trPr>
          <w:cantSplit/>
        </w:trPr>
        <w:tc>
          <w:tcPr>
            <w:tcW w:w="2501" w:type="dxa"/>
          </w:tcPr>
          <w:p w14:paraId="4EDDFE13" w14:textId="77777777" w:rsidR="00BB2CB4" w:rsidRPr="00222C32" w:rsidRDefault="000674DA">
            <w:pPr>
              <w:pStyle w:val="MeasureTableHeadingleftalignedwith2ptsspacing"/>
              <w:keepNext/>
            </w:pPr>
            <w:r w:rsidRPr="00222C32">
              <w:t>Australian Digital Health Agency</w:t>
            </w:r>
          </w:p>
        </w:tc>
        <w:tc>
          <w:tcPr>
            <w:tcW w:w="1044" w:type="dxa"/>
          </w:tcPr>
          <w:p w14:paraId="356906D4" w14:textId="77777777" w:rsidR="00BB2CB4" w:rsidRPr="00222C32" w:rsidRDefault="000674DA">
            <w:pPr>
              <w:pStyle w:val="MeasureTableDataRightAlignedwith2ptsspacing"/>
              <w:keepNext/>
            </w:pPr>
            <w:r w:rsidRPr="00222C32">
              <w:t>-</w:t>
            </w:r>
          </w:p>
        </w:tc>
        <w:tc>
          <w:tcPr>
            <w:tcW w:w="1044" w:type="dxa"/>
          </w:tcPr>
          <w:p w14:paraId="1937CA62" w14:textId="77777777" w:rsidR="00BB2CB4" w:rsidRPr="00222C32" w:rsidRDefault="000674DA">
            <w:pPr>
              <w:pStyle w:val="MeasureTableDataRightAlignedwith2ptsspacing"/>
              <w:keepNext/>
            </w:pPr>
            <w:r w:rsidRPr="00222C32">
              <w:t>1.1</w:t>
            </w:r>
          </w:p>
        </w:tc>
        <w:tc>
          <w:tcPr>
            <w:tcW w:w="1044" w:type="dxa"/>
          </w:tcPr>
          <w:p w14:paraId="0C5BE380" w14:textId="77777777" w:rsidR="00BB2CB4" w:rsidRPr="00222C32" w:rsidRDefault="000674DA">
            <w:pPr>
              <w:pStyle w:val="MeasureTableDataRightAlignedwith2ptsspacing"/>
              <w:keepNext/>
            </w:pPr>
            <w:r w:rsidRPr="00222C32">
              <w:t>0.5</w:t>
            </w:r>
          </w:p>
        </w:tc>
        <w:tc>
          <w:tcPr>
            <w:tcW w:w="1044" w:type="dxa"/>
          </w:tcPr>
          <w:p w14:paraId="3C336D6F" w14:textId="77777777" w:rsidR="00BB2CB4" w:rsidRPr="00222C32" w:rsidRDefault="000674DA">
            <w:pPr>
              <w:pStyle w:val="MeasureTableDataRightAlignedwith2ptsspacing"/>
              <w:keepNext/>
            </w:pPr>
            <w:r w:rsidRPr="00222C32">
              <w:t>-</w:t>
            </w:r>
          </w:p>
        </w:tc>
        <w:tc>
          <w:tcPr>
            <w:tcW w:w="1044" w:type="dxa"/>
          </w:tcPr>
          <w:p w14:paraId="1BF9FD30" w14:textId="77777777" w:rsidR="00BB2CB4" w:rsidRPr="00222C32" w:rsidRDefault="000674DA">
            <w:pPr>
              <w:pStyle w:val="MeasureTableDataRightAlignedwith2ptsspacing"/>
              <w:keepNext/>
            </w:pPr>
            <w:r w:rsidRPr="00222C32">
              <w:t>-</w:t>
            </w:r>
          </w:p>
        </w:tc>
      </w:tr>
      <w:tr w:rsidR="00BB2CB4" w:rsidRPr="00222C32" w14:paraId="6237F82F" w14:textId="77777777" w:rsidTr="00825163">
        <w:trPr>
          <w:cantSplit/>
        </w:trPr>
        <w:tc>
          <w:tcPr>
            <w:tcW w:w="2501" w:type="dxa"/>
          </w:tcPr>
          <w:p w14:paraId="3320CFD7" w14:textId="77777777" w:rsidR="00BB2CB4" w:rsidRPr="00222C32" w:rsidRDefault="000674DA">
            <w:pPr>
              <w:pStyle w:val="MeasureTableHeadingleftalignedwith2ptsspacing"/>
              <w:keepNext/>
            </w:pPr>
            <w:r w:rsidRPr="00222C32">
              <w:t>Department of the Treasury</w:t>
            </w:r>
          </w:p>
        </w:tc>
        <w:tc>
          <w:tcPr>
            <w:tcW w:w="1044" w:type="dxa"/>
          </w:tcPr>
          <w:p w14:paraId="0CD2348A" w14:textId="77777777" w:rsidR="00BB2CB4" w:rsidRPr="00222C32" w:rsidRDefault="000674DA">
            <w:pPr>
              <w:pStyle w:val="MeasureTableDataRightAlignedwith2ptsspacing"/>
              <w:keepNext/>
            </w:pPr>
            <w:r w:rsidRPr="00222C32">
              <w:t>-</w:t>
            </w:r>
          </w:p>
        </w:tc>
        <w:tc>
          <w:tcPr>
            <w:tcW w:w="1044" w:type="dxa"/>
          </w:tcPr>
          <w:p w14:paraId="773645E8" w14:textId="77777777" w:rsidR="00BB2CB4" w:rsidRPr="00222C32" w:rsidRDefault="000674DA">
            <w:pPr>
              <w:pStyle w:val="MeasureTableDataRightAlignedwith2ptsspacing"/>
              <w:keepNext/>
            </w:pPr>
            <w:r w:rsidRPr="00222C32">
              <w:t>0.4</w:t>
            </w:r>
          </w:p>
        </w:tc>
        <w:tc>
          <w:tcPr>
            <w:tcW w:w="1044" w:type="dxa"/>
          </w:tcPr>
          <w:p w14:paraId="7824C2D3" w14:textId="77777777" w:rsidR="00BB2CB4" w:rsidRPr="00222C32" w:rsidRDefault="000674DA">
            <w:pPr>
              <w:pStyle w:val="MeasureTableDataRightAlignedwith2ptsspacing"/>
              <w:keepNext/>
            </w:pPr>
            <w:r w:rsidRPr="00222C32">
              <w:t>0.5</w:t>
            </w:r>
          </w:p>
        </w:tc>
        <w:tc>
          <w:tcPr>
            <w:tcW w:w="1044" w:type="dxa"/>
          </w:tcPr>
          <w:p w14:paraId="35530812" w14:textId="77777777" w:rsidR="00BB2CB4" w:rsidRPr="00222C32" w:rsidRDefault="000674DA">
            <w:pPr>
              <w:pStyle w:val="MeasureTableDataRightAlignedwith2ptsspacing"/>
              <w:keepNext/>
            </w:pPr>
            <w:r w:rsidRPr="00222C32">
              <w:t>0.5</w:t>
            </w:r>
          </w:p>
        </w:tc>
        <w:tc>
          <w:tcPr>
            <w:tcW w:w="1044" w:type="dxa"/>
          </w:tcPr>
          <w:p w14:paraId="4D697846" w14:textId="77777777" w:rsidR="00BB2CB4" w:rsidRPr="00222C32" w:rsidRDefault="000674DA">
            <w:pPr>
              <w:pStyle w:val="MeasureTableDataRightAlignedwith2ptsspacing"/>
              <w:keepNext/>
            </w:pPr>
            <w:r w:rsidRPr="00222C32">
              <w:t>0.5</w:t>
            </w:r>
          </w:p>
        </w:tc>
      </w:tr>
      <w:tr w:rsidR="00BB2CB4" w:rsidRPr="00222C32" w14:paraId="1BB34EB3" w14:textId="77777777" w:rsidTr="00825163">
        <w:trPr>
          <w:cantSplit/>
        </w:trPr>
        <w:tc>
          <w:tcPr>
            <w:tcW w:w="2501" w:type="dxa"/>
          </w:tcPr>
          <w:p w14:paraId="18390C5A" w14:textId="77777777" w:rsidR="00BB2CB4" w:rsidRPr="00222C32" w:rsidRDefault="000674DA">
            <w:pPr>
              <w:pStyle w:val="MeasureTableHeadingleftalignedwith2ptsspacing"/>
              <w:keepNext/>
            </w:pPr>
            <w:r w:rsidRPr="00222C32">
              <w:t>Department of Health, Disability and Ageing</w:t>
            </w:r>
          </w:p>
        </w:tc>
        <w:tc>
          <w:tcPr>
            <w:tcW w:w="1044" w:type="dxa"/>
          </w:tcPr>
          <w:p w14:paraId="5F9B9409" w14:textId="77777777" w:rsidR="00BB2CB4" w:rsidRPr="00222C32" w:rsidRDefault="000674DA">
            <w:pPr>
              <w:pStyle w:val="MeasureTableDataRightAlignedwith2ptsspacing"/>
              <w:keepNext/>
            </w:pPr>
            <w:r w:rsidRPr="00222C32">
              <w:t>-</w:t>
            </w:r>
          </w:p>
        </w:tc>
        <w:tc>
          <w:tcPr>
            <w:tcW w:w="1044" w:type="dxa"/>
          </w:tcPr>
          <w:p w14:paraId="6E8B1813" w14:textId="77777777" w:rsidR="00BB2CB4" w:rsidRPr="00222C32" w:rsidRDefault="000674DA">
            <w:pPr>
              <w:pStyle w:val="MeasureTableDataRightAlignedwith2ptsspacing"/>
              <w:keepNext/>
            </w:pPr>
            <w:r w:rsidRPr="00222C32">
              <w:t>-1.2</w:t>
            </w:r>
          </w:p>
        </w:tc>
        <w:tc>
          <w:tcPr>
            <w:tcW w:w="1044" w:type="dxa"/>
          </w:tcPr>
          <w:p w14:paraId="692785F0" w14:textId="77777777" w:rsidR="00BB2CB4" w:rsidRPr="00222C32" w:rsidRDefault="000674DA">
            <w:pPr>
              <w:pStyle w:val="MeasureTableDataRightAlignedwith2ptsspacing"/>
              <w:keepNext/>
            </w:pPr>
            <w:r w:rsidRPr="00222C32">
              <w:t>5.2</w:t>
            </w:r>
          </w:p>
        </w:tc>
        <w:tc>
          <w:tcPr>
            <w:tcW w:w="1044" w:type="dxa"/>
          </w:tcPr>
          <w:p w14:paraId="2C4A3DE7" w14:textId="77777777" w:rsidR="00BB2CB4" w:rsidRPr="00222C32" w:rsidRDefault="000674DA">
            <w:pPr>
              <w:pStyle w:val="MeasureTableDataRightAlignedwith2ptsspacing"/>
              <w:keepNext/>
            </w:pPr>
            <w:r w:rsidRPr="00222C32">
              <w:t>4.6</w:t>
            </w:r>
          </w:p>
        </w:tc>
        <w:tc>
          <w:tcPr>
            <w:tcW w:w="1044" w:type="dxa"/>
          </w:tcPr>
          <w:p w14:paraId="3735881B" w14:textId="77777777" w:rsidR="00BB2CB4" w:rsidRPr="00222C32" w:rsidRDefault="000674DA">
            <w:pPr>
              <w:pStyle w:val="MeasureTableDataRightAlignedwith2ptsspacing"/>
              <w:keepNext/>
            </w:pPr>
            <w:r w:rsidRPr="00222C32">
              <w:t>4.6</w:t>
            </w:r>
          </w:p>
        </w:tc>
      </w:tr>
      <w:tr w:rsidR="00BB2CB4" w:rsidRPr="00222C32" w14:paraId="66BDA4D6" w14:textId="77777777" w:rsidTr="00825163">
        <w:trPr>
          <w:cantSplit/>
        </w:trPr>
        <w:tc>
          <w:tcPr>
            <w:tcW w:w="2501" w:type="dxa"/>
          </w:tcPr>
          <w:p w14:paraId="48DEE92A" w14:textId="77777777" w:rsidR="00BB2CB4" w:rsidRPr="00222C32" w:rsidRDefault="000674DA">
            <w:pPr>
              <w:pStyle w:val="Totalrowleftaligned"/>
              <w:keepNext/>
            </w:pPr>
            <w:r w:rsidRPr="00222C32">
              <w:t>Total – Payments</w:t>
            </w:r>
          </w:p>
        </w:tc>
        <w:tc>
          <w:tcPr>
            <w:tcW w:w="1044" w:type="dxa"/>
          </w:tcPr>
          <w:p w14:paraId="2AA3DCAE" w14:textId="77777777" w:rsidR="00BB2CB4" w:rsidRPr="00222C32" w:rsidRDefault="000674DA">
            <w:pPr>
              <w:pStyle w:val="Totaldatarowrightaligned"/>
              <w:keepNext/>
            </w:pPr>
            <w:r w:rsidRPr="00222C32">
              <w:t>-</w:t>
            </w:r>
          </w:p>
        </w:tc>
        <w:tc>
          <w:tcPr>
            <w:tcW w:w="1044" w:type="dxa"/>
          </w:tcPr>
          <w:p w14:paraId="6B55D2AE" w14:textId="77777777" w:rsidR="00BB2CB4" w:rsidRPr="00222C32" w:rsidRDefault="000674DA">
            <w:pPr>
              <w:pStyle w:val="Totaldatarowrightaligned"/>
              <w:keepNext/>
            </w:pPr>
            <w:r w:rsidRPr="00222C32">
              <w:t>11.0</w:t>
            </w:r>
          </w:p>
        </w:tc>
        <w:tc>
          <w:tcPr>
            <w:tcW w:w="1044" w:type="dxa"/>
          </w:tcPr>
          <w:p w14:paraId="56804463" w14:textId="77777777" w:rsidR="00BB2CB4" w:rsidRPr="00222C32" w:rsidRDefault="000674DA">
            <w:pPr>
              <w:pStyle w:val="Totaldatarowrightaligned"/>
              <w:keepNext/>
            </w:pPr>
            <w:r w:rsidRPr="00222C32">
              <w:t>19.3</w:t>
            </w:r>
          </w:p>
        </w:tc>
        <w:tc>
          <w:tcPr>
            <w:tcW w:w="1044" w:type="dxa"/>
          </w:tcPr>
          <w:p w14:paraId="11CC6874" w14:textId="77777777" w:rsidR="00BB2CB4" w:rsidRPr="00222C32" w:rsidRDefault="000674DA">
            <w:pPr>
              <w:pStyle w:val="Totaldatarowrightaligned"/>
              <w:keepNext/>
            </w:pPr>
            <w:r w:rsidRPr="00222C32">
              <w:t>15.1</w:t>
            </w:r>
          </w:p>
        </w:tc>
        <w:tc>
          <w:tcPr>
            <w:tcW w:w="1044" w:type="dxa"/>
          </w:tcPr>
          <w:p w14:paraId="69CFDF7D" w14:textId="77777777" w:rsidR="00BB2CB4" w:rsidRPr="00222C32" w:rsidRDefault="000674DA">
            <w:pPr>
              <w:pStyle w:val="Totaldatarowrightaligned"/>
              <w:keepNext/>
            </w:pPr>
            <w:r w:rsidRPr="00222C32">
              <w:t>10.9</w:t>
            </w:r>
          </w:p>
        </w:tc>
      </w:tr>
    </w:tbl>
    <w:p w14:paraId="15D57E92" w14:textId="77777777" w:rsidR="0022719D" w:rsidRDefault="0022719D" w:rsidP="0022719D">
      <w:pPr>
        <w:pStyle w:val="SingleParagraph"/>
      </w:pPr>
    </w:p>
    <w:p w14:paraId="300DD4C2" w14:textId="3A167905" w:rsidR="00BB2CB4" w:rsidRDefault="000674DA">
      <w:pPr>
        <w:pStyle w:val="Normal2"/>
      </w:pPr>
      <w:r w:rsidRPr="69C11E82">
        <w:rPr>
          <w:lang w:val="en-US"/>
        </w:rPr>
        <w:t>The Government will provide $7</w:t>
      </w:r>
      <w:r w:rsidR="009A006B">
        <w:rPr>
          <w:lang w:val="en-US"/>
        </w:rPr>
        <w:t>9.4</w:t>
      </w:r>
      <w:r w:rsidRPr="69C11E82">
        <w:rPr>
          <w:lang w:val="en-US"/>
        </w:rPr>
        <w:t> million over five years from 2025–‍26 (and $7.0 million per year ongoing) to support medical research, continue longitudinal health data collection and maintain health IT infrastructure and systems</w:t>
      </w:r>
      <w:r w:rsidR="009A006B">
        <w:rPr>
          <w:lang w:val="en-US"/>
        </w:rPr>
        <w:t>, including:</w:t>
      </w:r>
    </w:p>
    <w:p w14:paraId="1DA7D6EB" w14:textId="77777777" w:rsidR="00BB2CB4" w:rsidRDefault="000674DA">
      <w:pPr>
        <w:pStyle w:val="Bullet"/>
      </w:pPr>
      <w:r>
        <w:t>$36.4 million over four years from 2025–‍26 to extend funding arrangements for the National Authentication Service for Health to support healthcare providers to authenticate and securely access digital health services</w:t>
      </w:r>
    </w:p>
    <w:p w14:paraId="4AECB0F0" w14:textId="77777777" w:rsidR="00BB2CB4" w:rsidRDefault="000674DA">
      <w:pPr>
        <w:pStyle w:val="Bullet"/>
      </w:pPr>
      <w:r>
        <w:t>$16.0 million over four years from 2026–‍27 (and $4.5 million per year ongoing) for the Australian Longitudinal Study on Male Health (Ten to Men) to continue data gathering and reporting on the health needs of Australian men and boys</w:t>
      </w:r>
    </w:p>
    <w:p w14:paraId="754CD089" w14:textId="77777777" w:rsidR="00BB2CB4" w:rsidRDefault="000674DA">
      <w:pPr>
        <w:pStyle w:val="Bullet"/>
      </w:pPr>
      <w:r>
        <w:t>$5.4 million over three years from 2026–‍27 (and $2.0 million per year ongoing) for the Australian Burden of Disease Study to continue data gathering and reporting to inform health service planning</w:t>
      </w:r>
    </w:p>
    <w:p w14:paraId="1EE90072" w14:textId="4C18CE6F" w:rsidR="00BB2CB4" w:rsidRDefault="000674DA">
      <w:pPr>
        <w:pStyle w:val="Bullet"/>
      </w:pPr>
      <w:r>
        <w:t>$4.7 million over four years from 2025–‍26 (and an additional $1.2 million in 2029–‍30) for Chris O</w:t>
      </w:r>
      <w:r w:rsidR="00222C32">
        <w:t>’</w:t>
      </w:r>
      <w:r>
        <w:t>Brien Lifehouse to establish the Richard Scolyer Chair in Brain Cancer Research to accelerate research, expand clinical trials and transform outcomes for brain cancer patients</w:t>
      </w:r>
    </w:p>
    <w:p w14:paraId="6BC2E5CF" w14:textId="77777777" w:rsidR="00BB2CB4" w:rsidRDefault="000674DA">
      <w:pPr>
        <w:pStyle w:val="Bullet"/>
      </w:pPr>
      <w:r>
        <w:t>$4.4 million over two years from 2025–‍26 to establish a national medicines record for patients to provide a comprehensive, real‑time view of all prescribed and dispensed medicines to support safer clinical care and reduce medication errors</w:t>
      </w:r>
    </w:p>
    <w:p w14:paraId="2EF73295" w14:textId="77777777" w:rsidR="00BB2CB4" w:rsidRDefault="000674DA">
      <w:pPr>
        <w:pStyle w:val="Bullet"/>
      </w:pPr>
      <w:r>
        <w:t>$3.4 million over four years from 2025–‍26 to continue supporting national laboratory capacity and capability</w:t>
      </w:r>
    </w:p>
    <w:p w14:paraId="5C5C45AF" w14:textId="77777777" w:rsidR="00BB2CB4" w:rsidRDefault="000674DA">
      <w:pPr>
        <w:pStyle w:val="Bullet"/>
      </w:pPr>
      <w:r>
        <w:t>$3.0 million in 2025–‍26 to provide an uplift in operating resources for the National Health and Medical Research Council to continue to fund high quality health and medical research and build research capacity</w:t>
      </w:r>
    </w:p>
    <w:p w14:paraId="5AEA3652" w14:textId="77777777" w:rsidR="00BB2CB4" w:rsidRDefault="000674DA">
      <w:pPr>
        <w:pStyle w:val="Bullet"/>
      </w:pPr>
      <w:r>
        <w:t>$1.8 million over four years from 2025–‍26 (and $0.5 million per year ongoing) to maintain the National Coronial Information System data repository</w:t>
      </w:r>
    </w:p>
    <w:p w14:paraId="6632C945" w14:textId="77777777" w:rsidR="00BB2CB4" w:rsidRDefault="000674DA">
      <w:pPr>
        <w:pStyle w:val="Bullet"/>
      </w:pPr>
      <w:r>
        <w:t>$0.6 million in 2026–‍27 for the Australian Health Biobank to maintain infrastructure and sample storage.</w:t>
      </w:r>
    </w:p>
    <w:p w14:paraId="456041F8" w14:textId="77777777" w:rsidR="00BB2CB4" w:rsidRDefault="000674DA">
      <w:pPr>
        <w:pStyle w:val="Normal2"/>
      </w:pPr>
      <w:r>
        <w:lastRenderedPageBreak/>
        <w:t>The Department of Health, Disability and Ageing and the Australian Digital Health Agency will partially meet the cost of this measure from within existing resources.</w:t>
      </w:r>
    </w:p>
    <w:p w14:paraId="18CFA222" w14:textId="77777777" w:rsidR="00BB2CB4" w:rsidRDefault="000674DA">
      <w:pPr>
        <w:pStyle w:val="Normal2"/>
      </w:pPr>
      <w:r>
        <w:t>The Treasury manages Commonwealth payments to the states and territories.</w:t>
      </w:r>
    </w:p>
    <w:p w14:paraId="708BC06D" w14:textId="77777777" w:rsidR="00BB2CB4" w:rsidRDefault="000674DA">
      <w:pPr>
        <w:pStyle w:val="Normal2"/>
      </w:pPr>
      <w:r>
        <w:t xml:space="preserve">This measure extends the 2023–‍24 Budget measure titled </w:t>
      </w:r>
      <w:r w:rsidRPr="000674DA">
        <w:rPr>
          <w:i/>
        </w:rPr>
        <w:t xml:space="preserve">Preventive Health Reform, </w:t>
      </w:r>
      <w:r>
        <w:t xml:space="preserve">the 2024–‍25 MYEFO measure titled </w:t>
      </w:r>
      <w:r w:rsidRPr="000674DA">
        <w:rPr>
          <w:i/>
        </w:rPr>
        <w:t xml:space="preserve">Preventive Health </w:t>
      </w:r>
      <w:r>
        <w:t>and the 2025–‍26 Budget measure titled</w:t>
      </w:r>
      <w:r w:rsidRPr="000674DA">
        <w:rPr>
          <w:i/>
        </w:rPr>
        <w:t xml:space="preserve"> Medical Research and Clinical Trials</w:t>
      </w:r>
      <w:r>
        <w:t>.</w:t>
      </w:r>
    </w:p>
    <w:p w14:paraId="3C61F9C7" w14:textId="77777777" w:rsidR="00BB2CB4" w:rsidRDefault="000674DA">
      <w:pPr>
        <w:pStyle w:val="MeasureTitle"/>
      </w:pPr>
      <w:r>
        <w:t>Health Workforce</w:t>
      </w:r>
    </w:p>
    <w:p w14:paraId="15B81B97"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44BC66E3" w14:textId="77777777" w:rsidTr="00825163">
        <w:trPr>
          <w:cantSplit/>
        </w:trPr>
        <w:tc>
          <w:tcPr>
            <w:tcW w:w="2499" w:type="dxa"/>
          </w:tcPr>
          <w:p w14:paraId="53073098" w14:textId="77777777" w:rsidR="00BB2CB4" w:rsidRPr="00222C32" w:rsidRDefault="00BB2CB4">
            <w:pPr>
              <w:pStyle w:val="MeasureTableYearHeadings"/>
              <w:keepNext/>
            </w:pPr>
          </w:p>
        </w:tc>
        <w:tc>
          <w:tcPr>
            <w:tcW w:w="1043" w:type="dxa"/>
          </w:tcPr>
          <w:p w14:paraId="55E00EA9" w14:textId="77777777" w:rsidR="00BB2CB4" w:rsidRPr="00222C32" w:rsidRDefault="000674DA">
            <w:pPr>
              <w:pStyle w:val="MeasureTableYearHeadings"/>
              <w:keepNext/>
            </w:pPr>
            <w:r w:rsidRPr="00222C32">
              <w:t>2024-25</w:t>
            </w:r>
          </w:p>
        </w:tc>
        <w:tc>
          <w:tcPr>
            <w:tcW w:w="1042" w:type="dxa"/>
          </w:tcPr>
          <w:p w14:paraId="0F9F4243" w14:textId="77777777" w:rsidR="00BB2CB4" w:rsidRPr="00222C32" w:rsidRDefault="000674DA">
            <w:pPr>
              <w:pStyle w:val="MeasureTableYearHeadings"/>
              <w:keepNext/>
            </w:pPr>
            <w:r w:rsidRPr="00222C32">
              <w:t>2025-26</w:t>
            </w:r>
          </w:p>
        </w:tc>
        <w:tc>
          <w:tcPr>
            <w:tcW w:w="1042" w:type="dxa"/>
          </w:tcPr>
          <w:p w14:paraId="6BBDC826" w14:textId="77777777" w:rsidR="00BB2CB4" w:rsidRPr="00222C32" w:rsidRDefault="000674DA">
            <w:pPr>
              <w:pStyle w:val="MeasureTableYearHeadings"/>
              <w:keepNext/>
            </w:pPr>
            <w:r w:rsidRPr="00222C32">
              <w:t>2026-27</w:t>
            </w:r>
          </w:p>
        </w:tc>
        <w:tc>
          <w:tcPr>
            <w:tcW w:w="1042" w:type="dxa"/>
          </w:tcPr>
          <w:p w14:paraId="6AB44267" w14:textId="77777777" w:rsidR="00BB2CB4" w:rsidRPr="00222C32" w:rsidRDefault="000674DA">
            <w:pPr>
              <w:pStyle w:val="MeasureTableYearHeadings"/>
              <w:keepNext/>
            </w:pPr>
            <w:r w:rsidRPr="00222C32">
              <w:t>2027-28</w:t>
            </w:r>
          </w:p>
        </w:tc>
        <w:tc>
          <w:tcPr>
            <w:tcW w:w="1042" w:type="dxa"/>
          </w:tcPr>
          <w:p w14:paraId="20645923" w14:textId="77777777" w:rsidR="00BB2CB4" w:rsidRPr="00222C32" w:rsidRDefault="000674DA">
            <w:pPr>
              <w:pStyle w:val="MeasureTableYearHeadings"/>
              <w:keepNext/>
            </w:pPr>
            <w:r w:rsidRPr="00222C32">
              <w:t>2028-29</w:t>
            </w:r>
          </w:p>
        </w:tc>
      </w:tr>
      <w:tr w:rsidR="00BB2CB4" w:rsidRPr="00222C32" w14:paraId="0FC0DDE7" w14:textId="77777777" w:rsidTr="00825163">
        <w:trPr>
          <w:cantSplit/>
        </w:trPr>
        <w:tc>
          <w:tcPr>
            <w:tcW w:w="2499" w:type="dxa"/>
          </w:tcPr>
          <w:p w14:paraId="0AC3DDC5" w14:textId="77777777" w:rsidR="00BB2CB4" w:rsidRPr="00222C32" w:rsidRDefault="000674DA">
            <w:pPr>
              <w:pStyle w:val="MeasureTableHeadingleftalignedwith2ptsspacing"/>
              <w:keepNext/>
            </w:pPr>
            <w:r w:rsidRPr="00222C32">
              <w:t>Department of Health, Disability and Ageing</w:t>
            </w:r>
          </w:p>
        </w:tc>
        <w:tc>
          <w:tcPr>
            <w:tcW w:w="1043" w:type="dxa"/>
          </w:tcPr>
          <w:p w14:paraId="171F971A" w14:textId="77777777" w:rsidR="00BB2CB4" w:rsidRPr="00222C32" w:rsidRDefault="000674DA">
            <w:pPr>
              <w:pStyle w:val="MeasureTableDataRightAlignedwith2ptsspacing"/>
              <w:keepNext/>
            </w:pPr>
            <w:r w:rsidRPr="00222C32">
              <w:t>-</w:t>
            </w:r>
          </w:p>
        </w:tc>
        <w:tc>
          <w:tcPr>
            <w:tcW w:w="1042" w:type="dxa"/>
          </w:tcPr>
          <w:p w14:paraId="31F46D54" w14:textId="77777777" w:rsidR="00BB2CB4" w:rsidRPr="00222C32" w:rsidRDefault="000674DA">
            <w:pPr>
              <w:pStyle w:val="MeasureTableDataRightAlignedwith2ptsspacing"/>
              <w:keepNext/>
            </w:pPr>
            <w:r w:rsidRPr="00222C32">
              <w:t>6.9</w:t>
            </w:r>
          </w:p>
        </w:tc>
        <w:tc>
          <w:tcPr>
            <w:tcW w:w="1042" w:type="dxa"/>
          </w:tcPr>
          <w:p w14:paraId="091301CA" w14:textId="77777777" w:rsidR="00BB2CB4" w:rsidRPr="00222C32" w:rsidRDefault="000674DA">
            <w:pPr>
              <w:pStyle w:val="MeasureTableDataRightAlignedwith2ptsspacing"/>
              <w:keepNext/>
            </w:pPr>
            <w:r w:rsidRPr="00222C32">
              <w:t>69.1</w:t>
            </w:r>
          </w:p>
        </w:tc>
        <w:tc>
          <w:tcPr>
            <w:tcW w:w="1042" w:type="dxa"/>
          </w:tcPr>
          <w:p w14:paraId="393866CB" w14:textId="77777777" w:rsidR="00BB2CB4" w:rsidRPr="00222C32" w:rsidRDefault="000674DA">
            <w:pPr>
              <w:pStyle w:val="MeasureTableDataRightAlignedwith2ptsspacing"/>
              <w:keepNext/>
            </w:pPr>
            <w:r w:rsidRPr="00222C32">
              <w:t>5.8</w:t>
            </w:r>
          </w:p>
        </w:tc>
        <w:tc>
          <w:tcPr>
            <w:tcW w:w="1042" w:type="dxa"/>
          </w:tcPr>
          <w:p w14:paraId="43CC4D5E" w14:textId="77777777" w:rsidR="00BB2CB4" w:rsidRPr="00222C32" w:rsidRDefault="000674DA">
            <w:pPr>
              <w:pStyle w:val="MeasureTableDataRightAlignedwith2ptsspacing"/>
              <w:keepNext/>
            </w:pPr>
            <w:r w:rsidRPr="00222C32">
              <w:t>-26.6</w:t>
            </w:r>
          </w:p>
        </w:tc>
      </w:tr>
      <w:tr w:rsidR="00BB2CB4" w:rsidRPr="00222C32" w14:paraId="51BA3BE9" w14:textId="77777777" w:rsidTr="00825163">
        <w:trPr>
          <w:cantSplit/>
        </w:trPr>
        <w:tc>
          <w:tcPr>
            <w:tcW w:w="2499" w:type="dxa"/>
          </w:tcPr>
          <w:p w14:paraId="750D96B8" w14:textId="218D00A1"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3" w:type="dxa"/>
          </w:tcPr>
          <w:p w14:paraId="255C0CB4" w14:textId="77777777" w:rsidR="00BB2CB4" w:rsidRPr="00222C32" w:rsidRDefault="000674DA">
            <w:pPr>
              <w:pStyle w:val="MeasureTableDataRightAlignedwith2ptsspacing"/>
              <w:keepNext/>
            </w:pPr>
            <w:r w:rsidRPr="00222C32">
              <w:t>-</w:t>
            </w:r>
          </w:p>
        </w:tc>
        <w:tc>
          <w:tcPr>
            <w:tcW w:w="1042" w:type="dxa"/>
          </w:tcPr>
          <w:p w14:paraId="5760129B" w14:textId="77777777" w:rsidR="00BB2CB4" w:rsidRPr="00222C32" w:rsidRDefault="000674DA">
            <w:pPr>
              <w:pStyle w:val="MeasureTableDataRightAlignedwith2ptsspacing"/>
              <w:keepNext/>
            </w:pPr>
            <w:r w:rsidRPr="00222C32">
              <w:t>-</w:t>
            </w:r>
          </w:p>
        </w:tc>
        <w:tc>
          <w:tcPr>
            <w:tcW w:w="1042" w:type="dxa"/>
          </w:tcPr>
          <w:p w14:paraId="1BB6AD83" w14:textId="77777777" w:rsidR="00BB2CB4" w:rsidRPr="00222C32" w:rsidRDefault="000674DA">
            <w:pPr>
              <w:pStyle w:val="MeasureTableDataRightAlignedwith2ptsspacing"/>
              <w:keepNext/>
            </w:pPr>
            <w:r w:rsidRPr="00222C32">
              <w:t>..</w:t>
            </w:r>
          </w:p>
        </w:tc>
        <w:tc>
          <w:tcPr>
            <w:tcW w:w="1042" w:type="dxa"/>
          </w:tcPr>
          <w:p w14:paraId="4A2B2EF7" w14:textId="77777777" w:rsidR="00BB2CB4" w:rsidRPr="00222C32" w:rsidRDefault="000674DA">
            <w:pPr>
              <w:pStyle w:val="MeasureTableDataRightAlignedwith2ptsspacing"/>
              <w:keepNext/>
            </w:pPr>
            <w:r w:rsidRPr="00222C32">
              <w:t>0.1</w:t>
            </w:r>
          </w:p>
        </w:tc>
        <w:tc>
          <w:tcPr>
            <w:tcW w:w="1042" w:type="dxa"/>
          </w:tcPr>
          <w:p w14:paraId="75B5924B" w14:textId="77777777" w:rsidR="00BB2CB4" w:rsidRPr="00222C32" w:rsidRDefault="000674DA">
            <w:pPr>
              <w:pStyle w:val="MeasureTableDataRightAlignedwith2ptsspacing"/>
              <w:keepNext/>
            </w:pPr>
            <w:r w:rsidRPr="00222C32">
              <w:t>0.1</w:t>
            </w:r>
          </w:p>
        </w:tc>
      </w:tr>
      <w:tr w:rsidR="00BB2CB4" w:rsidRPr="00222C32" w14:paraId="026B40D7" w14:textId="77777777" w:rsidTr="00825163">
        <w:trPr>
          <w:cantSplit/>
        </w:trPr>
        <w:tc>
          <w:tcPr>
            <w:tcW w:w="2499" w:type="dxa"/>
          </w:tcPr>
          <w:p w14:paraId="70992C70" w14:textId="77777777" w:rsidR="00BB2CB4" w:rsidRPr="00222C32" w:rsidRDefault="000674DA">
            <w:pPr>
              <w:pStyle w:val="MeasureTableHeadingleftalignedwith2ptsspacing"/>
              <w:keepNext/>
            </w:pPr>
            <w:r w:rsidRPr="00222C32">
              <w:t>Services Australia</w:t>
            </w:r>
          </w:p>
        </w:tc>
        <w:tc>
          <w:tcPr>
            <w:tcW w:w="1043" w:type="dxa"/>
          </w:tcPr>
          <w:p w14:paraId="3F4AB9E0" w14:textId="77777777" w:rsidR="00BB2CB4" w:rsidRPr="00222C32" w:rsidRDefault="000674DA">
            <w:pPr>
              <w:pStyle w:val="MeasureTableDataRightAlignedwith2ptsspacing"/>
              <w:keepNext/>
            </w:pPr>
            <w:r w:rsidRPr="00222C32">
              <w:t>-</w:t>
            </w:r>
          </w:p>
        </w:tc>
        <w:tc>
          <w:tcPr>
            <w:tcW w:w="1042" w:type="dxa"/>
          </w:tcPr>
          <w:p w14:paraId="30C9A383" w14:textId="77777777" w:rsidR="00BB2CB4" w:rsidRPr="00222C32" w:rsidRDefault="000674DA">
            <w:pPr>
              <w:pStyle w:val="MeasureTableDataRightAlignedwith2ptsspacing"/>
              <w:keepNext/>
            </w:pPr>
            <w:r w:rsidRPr="00222C32">
              <w:t>-</w:t>
            </w:r>
          </w:p>
        </w:tc>
        <w:tc>
          <w:tcPr>
            <w:tcW w:w="1042" w:type="dxa"/>
          </w:tcPr>
          <w:p w14:paraId="4292A9F6" w14:textId="77777777" w:rsidR="00BB2CB4" w:rsidRPr="00222C32" w:rsidRDefault="000674DA">
            <w:pPr>
              <w:pStyle w:val="MeasureTableDataRightAlignedwith2ptsspacing"/>
              <w:keepNext/>
            </w:pPr>
            <w:r w:rsidRPr="00222C32">
              <w:t>-</w:t>
            </w:r>
          </w:p>
        </w:tc>
        <w:tc>
          <w:tcPr>
            <w:tcW w:w="1042" w:type="dxa"/>
          </w:tcPr>
          <w:p w14:paraId="0F8F2640" w14:textId="77777777" w:rsidR="00BB2CB4" w:rsidRPr="00222C32" w:rsidRDefault="000674DA">
            <w:pPr>
              <w:pStyle w:val="MeasureTableDataRightAlignedwith2ptsspacing"/>
              <w:keepNext/>
            </w:pPr>
            <w:r w:rsidRPr="00222C32">
              <w:t>-</w:t>
            </w:r>
          </w:p>
        </w:tc>
        <w:tc>
          <w:tcPr>
            <w:tcW w:w="1042" w:type="dxa"/>
          </w:tcPr>
          <w:p w14:paraId="01BB1D9A" w14:textId="77777777" w:rsidR="00BB2CB4" w:rsidRPr="00222C32" w:rsidRDefault="000674DA">
            <w:pPr>
              <w:pStyle w:val="MeasureTableDataRightAlignedwith2ptsspacing"/>
              <w:keepNext/>
            </w:pPr>
            <w:r w:rsidRPr="00222C32">
              <w:t>-</w:t>
            </w:r>
          </w:p>
        </w:tc>
      </w:tr>
      <w:tr w:rsidR="00BB2CB4" w:rsidRPr="00222C32" w14:paraId="1FFC9A2E" w14:textId="77777777" w:rsidTr="00825163">
        <w:trPr>
          <w:cantSplit/>
        </w:trPr>
        <w:tc>
          <w:tcPr>
            <w:tcW w:w="2499" w:type="dxa"/>
          </w:tcPr>
          <w:p w14:paraId="67A32BCE" w14:textId="77777777" w:rsidR="00BB2CB4" w:rsidRPr="00222C32" w:rsidRDefault="000674DA">
            <w:pPr>
              <w:pStyle w:val="Totalrowleftaligned"/>
              <w:keepNext/>
            </w:pPr>
            <w:r w:rsidRPr="00222C32">
              <w:t>Total – Payments</w:t>
            </w:r>
          </w:p>
        </w:tc>
        <w:tc>
          <w:tcPr>
            <w:tcW w:w="1043" w:type="dxa"/>
          </w:tcPr>
          <w:p w14:paraId="79D47B68" w14:textId="77777777" w:rsidR="00BB2CB4" w:rsidRPr="00222C32" w:rsidRDefault="000674DA">
            <w:pPr>
              <w:pStyle w:val="Totaldatarowrightaligned"/>
              <w:keepNext/>
            </w:pPr>
            <w:r w:rsidRPr="00222C32">
              <w:t>-</w:t>
            </w:r>
          </w:p>
        </w:tc>
        <w:tc>
          <w:tcPr>
            <w:tcW w:w="1042" w:type="dxa"/>
          </w:tcPr>
          <w:p w14:paraId="678F4DD3" w14:textId="77777777" w:rsidR="00BB2CB4" w:rsidRPr="00222C32" w:rsidRDefault="000674DA">
            <w:pPr>
              <w:pStyle w:val="Totaldatarowrightaligned"/>
              <w:keepNext/>
            </w:pPr>
            <w:r w:rsidRPr="00222C32">
              <w:t>6.9</w:t>
            </w:r>
          </w:p>
        </w:tc>
        <w:tc>
          <w:tcPr>
            <w:tcW w:w="1042" w:type="dxa"/>
          </w:tcPr>
          <w:p w14:paraId="7FA97A08" w14:textId="77777777" w:rsidR="00BB2CB4" w:rsidRPr="00222C32" w:rsidRDefault="000674DA">
            <w:pPr>
              <w:pStyle w:val="Totaldatarowrightaligned"/>
              <w:keepNext/>
            </w:pPr>
            <w:r w:rsidRPr="00222C32">
              <w:t>69.2</w:t>
            </w:r>
          </w:p>
        </w:tc>
        <w:tc>
          <w:tcPr>
            <w:tcW w:w="1042" w:type="dxa"/>
          </w:tcPr>
          <w:p w14:paraId="23BB71B4" w14:textId="77777777" w:rsidR="00BB2CB4" w:rsidRPr="00222C32" w:rsidRDefault="000674DA">
            <w:pPr>
              <w:pStyle w:val="Totaldatarowrightaligned"/>
              <w:keepNext/>
            </w:pPr>
            <w:r w:rsidRPr="00222C32">
              <w:t>5.8</w:t>
            </w:r>
          </w:p>
        </w:tc>
        <w:tc>
          <w:tcPr>
            <w:tcW w:w="1042" w:type="dxa"/>
          </w:tcPr>
          <w:p w14:paraId="6905D656" w14:textId="77777777" w:rsidR="00BB2CB4" w:rsidRPr="00222C32" w:rsidRDefault="000674DA">
            <w:pPr>
              <w:pStyle w:val="Totaldatarowrightaligned"/>
              <w:keepNext/>
            </w:pPr>
            <w:r w:rsidRPr="00222C32">
              <w:t>-26.5</w:t>
            </w:r>
          </w:p>
        </w:tc>
      </w:tr>
    </w:tbl>
    <w:p w14:paraId="0B094A45" w14:textId="77777777" w:rsidR="00C968DB" w:rsidRDefault="00C968DB" w:rsidP="00C968DB">
      <w:pPr>
        <w:pStyle w:val="SingleParagraph"/>
      </w:pPr>
    </w:p>
    <w:p w14:paraId="5BC059FC" w14:textId="1750A077" w:rsidR="00BB2CB4" w:rsidRDefault="000674DA">
      <w:pPr>
        <w:pStyle w:val="Normal2"/>
      </w:pPr>
      <w:r>
        <w:t>The Government will provide $87.9 million over four years from 2025–‍26 (and $2.1 million in 2029–‍30) to strengthen and support Australia</w:t>
      </w:r>
      <w:r w:rsidR="00222C32">
        <w:t>’</w:t>
      </w:r>
      <w:r>
        <w:t>s health workforce. Funding includes:</w:t>
      </w:r>
    </w:p>
    <w:p w14:paraId="7D490F28" w14:textId="77777777" w:rsidR="00BB2CB4" w:rsidRDefault="000674DA">
      <w:pPr>
        <w:pStyle w:val="Bullet"/>
      </w:pPr>
      <w:r>
        <w:t>$18.7 million over two years from 2026–‍27 to extend the Pre‑Fellowship program to 30 October 2027 to continue to support non‑vocationally registered doctors to gain general practice experience and increase access to primary care in areas of need</w:t>
      </w:r>
    </w:p>
    <w:p w14:paraId="76D75FF9" w14:textId="77777777" w:rsidR="00BB2CB4" w:rsidRDefault="000674DA">
      <w:pPr>
        <w:pStyle w:val="Bullet"/>
      </w:pPr>
      <w:r>
        <w:t>$17.1 million in 2026–‍27 to extend the Rural Locum Assistance program for Aged Care and the Northern Territory Locum program to continue service delivery for rural and remote aged care services and health services in the Northern Territory</w:t>
      </w:r>
    </w:p>
    <w:p w14:paraId="3F89C9C5" w14:textId="77777777" w:rsidR="00BB2CB4" w:rsidRDefault="000674DA">
      <w:pPr>
        <w:pStyle w:val="Bullet"/>
      </w:pPr>
      <w:r>
        <w:t>$17.0 million in 2026–‍27 to extend the Workforce Incentive Program Rural Advanced Skills Stream to continue to provide financial incentives to doctors providing emergency and advanced skills in regional, rural and remote areas</w:t>
      </w:r>
    </w:p>
    <w:p w14:paraId="240E5D37" w14:textId="77777777" w:rsidR="00BB2CB4" w:rsidRDefault="000674DA">
      <w:pPr>
        <w:pStyle w:val="Bullet"/>
      </w:pPr>
      <w:r>
        <w:t>$14.5 million in 2025–‍26 to deliver an additional 306 new general practitioner training places in 2026 through the Australian General Practice Training program</w:t>
      </w:r>
    </w:p>
    <w:p w14:paraId="561AC7DE" w14:textId="77777777" w:rsidR="00BB2CB4" w:rsidRDefault="000674DA">
      <w:pPr>
        <w:pStyle w:val="Bullet"/>
      </w:pPr>
      <w:r>
        <w:t>$8.8 million in 2026–‍27 to extend the Workforce Incentive Program Practice Stream to allow continued rural loadings and additional eligible allied health practitioners service delivery by general practices</w:t>
      </w:r>
    </w:p>
    <w:p w14:paraId="5C727506" w14:textId="77777777" w:rsidR="00BB2CB4" w:rsidRDefault="000674DA">
      <w:pPr>
        <w:pStyle w:val="Bullet"/>
      </w:pPr>
      <w:r>
        <w:t>$6.0 million over three years from 2026–‍27 (and $2.1 million in 2029–‍30) to extend the Other Medical Practitioners programs, to enable eligible non‑vocationally recognised doctors to access higher Medicare Benefits Schedule rebates when delivering services in approved locations, including rural and remote areas</w:t>
      </w:r>
    </w:p>
    <w:p w14:paraId="2E005E2B" w14:textId="77777777" w:rsidR="00BB2CB4" w:rsidRDefault="000674DA">
      <w:pPr>
        <w:pStyle w:val="Bullet"/>
      </w:pPr>
      <w:r>
        <w:t>$4.4 million in 2026–‍27 to extend funding to Heart of Australia to continue to provide specialist medical support in regional and remote Queensland</w:t>
      </w:r>
    </w:p>
    <w:p w14:paraId="5F295C2E" w14:textId="77777777" w:rsidR="00BB2CB4" w:rsidRDefault="000674DA">
      <w:pPr>
        <w:pStyle w:val="Bullet"/>
      </w:pPr>
      <w:r>
        <w:lastRenderedPageBreak/>
        <w:t>$1.4 million over two years from 2025–‍26 to extend the Obstetrics and Gynaecology Education and Training program to 28 February 2027 to provide training for a range of medical professionals who assist in the provision of maternity or maternity‑related services in rural and remote communities.</w:t>
      </w:r>
    </w:p>
    <w:p w14:paraId="50C23244" w14:textId="5CC99AF2" w:rsidR="00BB2CB4" w:rsidRDefault="000674DA">
      <w:pPr>
        <w:pStyle w:val="Normal2"/>
      </w:pPr>
      <w:r>
        <w:t xml:space="preserve">The Government will also extend the current Specialist Training </w:t>
      </w:r>
      <w:r w:rsidR="00F80F3E">
        <w:t>p</w:t>
      </w:r>
      <w:r>
        <w:t>rogram grant agreements with specialist medical colleges by one year from February 2026.</w:t>
      </w:r>
    </w:p>
    <w:p w14:paraId="450F4793" w14:textId="77777777" w:rsidR="00BB2CB4" w:rsidRDefault="000674DA">
      <w:pPr>
        <w:pStyle w:val="Normal2"/>
      </w:pPr>
      <w:r>
        <w:t>The Government will also achieve efficiencies of $18.0 million over four years from 2025–‍26 (and $0.5 million per year ongoing). Savings include:</w:t>
      </w:r>
    </w:p>
    <w:p w14:paraId="7639A951" w14:textId="77777777" w:rsidR="00BB2CB4" w:rsidRDefault="000674DA">
      <w:pPr>
        <w:pStyle w:val="Bullet"/>
      </w:pPr>
      <w:r>
        <w:t>$15.9 million over three years from 2025–‍26 by ceasing outsourcing arrangements for the provision of independent advice on the distribution and allocation of training places under the Australian General Practice Training program, with workforce planning and prioritisation assessments to be undertaken by the Department of Health, Disability and Ageing</w:t>
      </w:r>
    </w:p>
    <w:p w14:paraId="1D217D3E" w14:textId="77777777" w:rsidR="00BB2CB4" w:rsidRDefault="000674DA">
      <w:pPr>
        <w:pStyle w:val="Bullet"/>
      </w:pPr>
      <w:r>
        <w:t>$2.1 million over four years from 2025–‍26 (and $0.5 million per year ongoing) by consolidating the Murray‑Darling Medical Schools Network and two Rural Health Multidisciplinary Training sub‑programs into a single revitalised Rural Multidisciplinary Training program to improve program delivery and reduce the administrative burden and reporting requirements of participating universities.</w:t>
      </w:r>
    </w:p>
    <w:p w14:paraId="28CE6DE5" w14:textId="77777777" w:rsidR="00BB2CB4" w:rsidRDefault="000674DA">
      <w:pPr>
        <w:pStyle w:val="Normal2"/>
      </w:pPr>
      <w:r w:rsidRPr="69C11E82">
        <w:rPr>
          <w:lang w:val="en-US"/>
        </w:rPr>
        <w:t>The Department of Health, Disability and Ageing will partially meet the cost of this measure from within existing resources.</w:t>
      </w:r>
    </w:p>
    <w:p w14:paraId="125AB0C7" w14:textId="77777777" w:rsidR="00BB2CB4" w:rsidRDefault="000674DA">
      <w:pPr>
        <w:pStyle w:val="Normal2"/>
      </w:pPr>
      <w:r>
        <w:t>This measure builds on the 2024–‍25 MYEFO measure titled </w:t>
      </w:r>
      <w:r w:rsidRPr="000674DA">
        <w:rPr>
          <w:i/>
        </w:rPr>
        <w:t>Strengthening Medicare</w:t>
      </w:r>
      <w:r>
        <w:t>.</w:t>
      </w:r>
    </w:p>
    <w:p w14:paraId="3C3C79D1" w14:textId="77777777" w:rsidR="00BB2CB4" w:rsidRDefault="000674DA">
      <w:pPr>
        <w:pStyle w:val="MeasureTitle"/>
      </w:pPr>
      <w:r>
        <w:t>Improving Access and Uptake of Medicines and Vaccines</w:t>
      </w:r>
    </w:p>
    <w:p w14:paraId="771A1140"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0BEAC950" w14:textId="77777777" w:rsidTr="00825163">
        <w:trPr>
          <w:cantSplit/>
        </w:trPr>
        <w:tc>
          <w:tcPr>
            <w:tcW w:w="2499" w:type="dxa"/>
          </w:tcPr>
          <w:p w14:paraId="3E14CBA5" w14:textId="77777777" w:rsidR="00BB2CB4" w:rsidRPr="00222C32" w:rsidRDefault="00BB2CB4">
            <w:pPr>
              <w:pStyle w:val="MeasureTableYearHeadings"/>
              <w:keepNext/>
            </w:pPr>
          </w:p>
        </w:tc>
        <w:tc>
          <w:tcPr>
            <w:tcW w:w="1043" w:type="dxa"/>
          </w:tcPr>
          <w:p w14:paraId="3ED55B79" w14:textId="77777777" w:rsidR="00BB2CB4" w:rsidRPr="00222C32" w:rsidRDefault="000674DA">
            <w:pPr>
              <w:pStyle w:val="MeasureTableYearHeadings"/>
              <w:keepNext/>
            </w:pPr>
            <w:r w:rsidRPr="00222C32">
              <w:t>2024-25</w:t>
            </w:r>
          </w:p>
        </w:tc>
        <w:tc>
          <w:tcPr>
            <w:tcW w:w="1042" w:type="dxa"/>
          </w:tcPr>
          <w:p w14:paraId="1A230554" w14:textId="77777777" w:rsidR="00BB2CB4" w:rsidRPr="00222C32" w:rsidRDefault="000674DA">
            <w:pPr>
              <w:pStyle w:val="MeasureTableYearHeadings"/>
              <w:keepNext/>
            </w:pPr>
            <w:r w:rsidRPr="00222C32">
              <w:t>2025-26</w:t>
            </w:r>
          </w:p>
        </w:tc>
        <w:tc>
          <w:tcPr>
            <w:tcW w:w="1042" w:type="dxa"/>
          </w:tcPr>
          <w:p w14:paraId="4C902F39" w14:textId="77777777" w:rsidR="00BB2CB4" w:rsidRPr="00222C32" w:rsidRDefault="000674DA">
            <w:pPr>
              <w:pStyle w:val="MeasureTableYearHeadings"/>
              <w:keepNext/>
            </w:pPr>
            <w:r w:rsidRPr="00222C32">
              <w:t>2026-27</w:t>
            </w:r>
          </w:p>
        </w:tc>
        <w:tc>
          <w:tcPr>
            <w:tcW w:w="1042" w:type="dxa"/>
          </w:tcPr>
          <w:p w14:paraId="52707107" w14:textId="77777777" w:rsidR="00BB2CB4" w:rsidRPr="00222C32" w:rsidRDefault="000674DA">
            <w:pPr>
              <w:pStyle w:val="MeasureTableYearHeadings"/>
              <w:keepNext/>
            </w:pPr>
            <w:r w:rsidRPr="00222C32">
              <w:t>2027-28</w:t>
            </w:r>
          </w:p>
        </w:tc>
        <w:tc>
          <w:tcPr>
            <w:tcW w:w="1042" w:type="dxa"/>
          </w:tcPr>
          <w:p w14:paraId="3EACF2C8" w14:textId="77777777" w:rsidR="00BB2CB4" w:rsidRPr="00222C32" w:rsidRDefault="000674DA">
            <w:pPr>
              <w:pStyle w:val="MeasureTableYearHeadings"/>
              <w:keepNext/>
            </w:pPr>
            <w:r w:rsidRPr="00222C32">
              <w:t>2028-29</w:t>
            </w:r>
          </w:p>
        </w:tc>
      </w:tr>
      <w:tr w:rsidR="00BB2CB4" w:rsidRPr="00222C32" w14:paraId="5AE50A54" w14:textId="77777777" w:rsidTr="00825163">
        <w:trPr>
          <w:cantSplit/>
        </w:trPr>
        <w:tc>
          <w:tcPr>
            <w:tcW w:w="2499" w:type="dxa"/>
          </w:tcPr>
          <w:p w14:paraId="4939AFB2" w14:textId="77777777" w:rsidR="00BB2CB4" w:rsidRPr="00222C32" w:rsidRDefault="000674DA">
            <w:pPr>
              <w:pStyle w:val="MeasureTableHeadingleftalignedwith2ptsspacing"/>
              <w:keepNext/>
            </w:pPr>
            <w:r w:rsidRPr="00222C32">
              <w:t>Department of Health, Disability and Ageing</w:t>
            </w:r>
          </w:p>
        </w:tc>
        <w:tc>
          <w:tcPr>
            <w:tcW w:w="1043" w:type="dxa"/>
          </w:tcPr>
          <w:p w14:paraId="45160AE4" w14:textId="77777777" w:rsidR="00BB2CB4" w:rsidRPr="00222C32" w:rsidRDefault="000674DA">
            <w:pPr>
              <w:pStyle w:val="MeasureTableDataRightAlignedwith2ptsspacing"/>
              <w:keepNext/>
            </w:pPr>
            <w:r w:rsidRPr="00222C32">
              <w:t>-</w:t>
            </w:r>
          </w:p>
        </w:tc>
        <w:tc>
          <w:tcPr>
            <w:tcW w:w="1042" w:type="dxa"/>
          </w:tcPr>
          <w:p w14:paraId="79ACB4C0" w14:textId="77777777" w:rsidR="00BB2CB4" w:rsidRPr="00222C32" w:rsidRDefault="000674DA">
            <w:pPr>
              <w:pStyle w:val="MeasureTableDataRightAlignedwith2ptsspacing"/>
              <w:keepNext/>
            </w:pPr>
            <w:r w:rsidRPr="00222C32">
              <w:t>6.0</w:t>
            </w:r>
          </w:p>
        </w:tc>
        <w:tc>
          <w:tcPr>
            <w:tcW w:w="1042" w:type="dxa"/>
          </w:tcPr>
          <w:p w14:paraId="719F277A" w14:textId="77777777" w:rsidR="00BB2CB4" w:rsidRPr="00222C32" w:rsidRDefault="000674DA">
            <w:pPr>
              <w:pStyle w:val="MeasureTableDataRightAlignedwith2ptsspacing"/>
              <w:keepNext/>
            </w:pPr>
            <w:r w:rsidRPr="00222C32">
              <w:t>21.8</w:t>
            </w:r>
          </w:p>
        </w:tc>
        <w:tc>
          <w:tcPr>
            <w:tcW w:w="1042" w:type="dxa"/>
          </w:tcPr>
          <w:p w14:paraId="01BA6BBC" w14:textId="77777777" w:rsidR="00BB2CB4" w:rsidRPr="00222C32" w:rsidRDefault="000674DA">
            <w:pPr>
              <w:pStyle w:val="MeasureTableDataRightAlignedwith2ptsspacing"/>
              <w:keepNext/>
            </w:pPr>
            <w:r w:rsidRPr="00222C32">
              <w:t>-</w:t>
            </w:r>
          </w:p>
        </w:tc>
        <w:tc>
          <w:tcPr>
            <w:tcW w:w="1042" w:type="dxa"/>
          </w:tcPr>
          <w:p w14:paraId="67C3BAE0" w14:textId="77777777" w:rsidR="00BB2CB4" w:rsidRPr="00222C32" w:rsidRDefault="000674DA">
            <w:pPr>
              <w:pStyle w:val="MeasureTableDataRightAlignedwith2ptsspacing"/>
              <w:keepNext/>
            </w:pPr>
            <w:r w:rsidRPr="00222C32">
              <w:t>-</w:t>
            </w:r>
          </w:p>
        </w:tc>
      </w:tr>
    </w:tbl>
    <w:p w14:paraId="5D58F817" w14:textId="77777777" w:rsidR="006E3A7B" w:rsidRDefault="006E3A7B" w:rsidP="006E3A7B">
      <w:pPr>
        <w:pStyle w:val="SingleParagraph"/>
      </w:pPr>
    </w:p>
    <w:p w14:paraId="272ED339" w14:textId="77777777" w:rsidR="00BB2CB4" w:rsidRDefault="000674DA">
      <w:pPr>
        <w:pStyle w:val="Normal2"/>
      </w:pPr>
      <w:r>
        <w:t>The Government will provide $34.0 million over two years from 2025–‍26 to fund vaccination programs and improve medicines policies. Funding includes:</w:t>
      </w:r>
    </w:p>
    <w:p w14:paraId="4A69F597" w14:textId="77777777" w:rsidR="00BB2CB4" w:rsidRDefault="000674DA">
      <w:pPr>
        <w:pStyle w:val="Bullet"/>
      </w:pPr>
      <w:r>
        <w:t>$21.3 million in 2026–‍27 to transition the National COVID‑19 Vaccination Program to the National Immunisation Program (NIP)</w:t>
      </w:r>
    </w:p>
    <w:p w14:paraId="5DFF916C" w14:textId="77777777" w:rsidR="00BB2CB4" w:rsidRDefault="000674DA">
      <w:pPr>
        <w:pStyle w:val="Bullet"/>
      </w:pPr>
      <w:r>
        <w:t>$7.0 million in 2025–‍26 to continue communications activities to address the decline in childhood immunisation rates</w:t>
      </w:r>
    </w:p>
    <w:p w14:paraId="307AC7D5" w14:textId="77777777" w:rsidR="00BB2CB4" w:rsidRDefault="000674DA">
      <w:pPr>
        <w:pStyle w:val="Bullet"/>
      </w:pPr>
      <w:r>
        <w:t>$5.3 million over two years from 2025–‍26 to implement initial reform actions of the Health Technology Assessment Policy and Methods Review, including consultation with stakeholders regarding future cost recovery arrangements</w:t>
      </w:r>
    </w:p>
    <w:p w14:paraId="715109EC" w14:textId="77777777" w:rsidR="00BB2CB4" w:rsidRDefault="000674DA">
      <w:pPr>
        <w:pStyle w:val="Bullet"/>
      </w:pPr>
      <w:r>
        <w:t>$0.5 million in 2026–‍27 to continue the expansion of the NIP Vaccinations in Pharmacy program, which allows pharmacists to administer vaccines in residential aged care homes and residential disability services.</w:t>
      </w:r>
    </w:p>
    <w:p w14:paraId="4CF690E1" w14:textId="77777777" w:rsidR="00BB2CB4" w:rsidRDefault="000674DA">
      <w:pPr>
        <w:pStyle w:val="Normal2"/>
      </w:pPr>
      <w:r w:rsidRPr="69C11E82">
        <w:rPr>
          <w:lang w:val="en-US"/>
        </w:rPr>
        <w:lastRenderedPageBreak/>
        <w:t>The Government will also ensure that long‑standing NIP vaccines remain accessible to Australians.</w:t>
      </w:r>
    </w:p>
    <w:p w14:paraId="2A20E22E" w14:textId="77777777" w:rsidR="00BB2CB4" w:rsidRDefault="000674DA">
      <w:pPr>
        <w:pStyle w:val="Normal2"/>
      </w:pPr>
      <w:r w:rsidRPr="69C11E82">
        <w:rPr>
          <w:lang w:val="en-US"/>
        </w:rPr>
        <w:t>The Department of Health, Disability and Ageing will partially meet the cost of this measure from within existing resources.</w:t>
      </w:r>
    </w:p>
    <w:p w14:paraId="4A91BB67" w14:textId="19D3CB6C" w:rsidR="00BB2CB4" w:rsidRDefault="000674DA">
      <w:pPr>
        <w:pStyle w:val="Normal2"/>
      </w:pPr>
      <w:r>
        <w:t xml:space="preserve">This measure extends the 2023–‍24 Budget measure titled </w:t>
      </w:r>
      <w:r w:rsidRPr="000674DA">
        <w:rPr>
          <w:i/>
        </w:rPr>
        <w:t>Support for Children and New and Expecting Parents</w:t>
      </w:r>
      <w:r>
        <w:t xml:space="preserve"> and the 2024–‍25 Budget measure titled </w:t>
      </w:r>
      <w:r w:rsidRPr="000674DA">
        <w:rPr>
          <w:i/>
        </w:rPr>
        <w:t>Supporting Ongoing Access to</w:t>
      </w:r>
      <w:r w:rsidR="001E734B">
        <w:rPr>
          <w:i/>
        </w:rPr>
        <w:t> </w:t>
      </w:r>
      <w:r w:rsidRPr="000674DA">
        <w:rPr>
          <w:i/>
        </w:rPr>
        <w:t>Vaccines</w:t>
      </w:r>
      <w:r>
        <w:t>.</w:t>
      </w:r>
    </w:p>
    <w:p w14:paraId="53CF3D34" w14:textId="77777777" w:rsidR="00BB2CB4" w:rsidRDefault="000674DA">
      <w:pPr>
        <w:pStyle w:val="MeasureTitle"/>
      </w:pPr>
      <w:r>
        <w:t>Improving In‑Home Aged Care Support</w:t>
      </w:r>
    </w:p>
    <w:p w14:paraId="506BC51D"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4FBA1497" w14:textId="77777777" w:rsidTr="00825163">
        <w:trPr>
          <w:cantSplit/>
        </w:trPr>
        <w:tc>
          <w:tcPr>
            <w:tcW w:w="2499" w:type="dxa"/>
          </w:tcPr>
          <w:p w14:paraId="5175BF7A" w14:textId="77777777" w:rsidR="00BB2CB4" w:rsidRPr="00222C32" w:rsidRDefault="00BB2CB4">
            <w:pPr>
              <w:pStyle w:val="MeasureTableYearHeadings"/>
              <w:keepNext/>
            </w:pPr>
          </w:p>
        </w:tc>
        <w:tc>
          <w:tcPr>
            <w:tcW w:w="1043" w:type="dxa"/>
          </w:tcPr>
          <w:p w14:paraId="2D3F9246" w14:textId="77777777" w:rsidR="00BB2CB4" w:rsidRPr="00222C32" w:rsidRDefault="000674DA">
            <w:pPr>
              <w:pStyle w:val="MeasureTableYearHeadings"/>
              <w:keepNext/>
            </w:pPr>
            <w:r w:rsidRPr="00222C32">
              <w:t>2024-25</w:t>
            </w:r>
          </w:p>
        </w:tc>
        <w:tc>
          <w:tcPr>
            <w:tcW w:w="1042" w:type="dxa"/>
          </w:tcPr>
          <w:p w14:paraId="7ADB50EE" w14:textId="77777777" w:rsidR="00BB2CB4" w:rsidRPr="00222C32" w:rsidRDefault="000674DA">
            <w:pPr>
              <w:pStyle w:val="MeasureTableYearHeadings"/>
              <w:keepNext/>
            </w:pPr>
            <w:r w:rsidRPr="00222C32">
              <w:t>2025-26</w:t>
            </w:r>
          </w:p>
        </w:tc>
        <w:tc>
          <w:tcPr>
            <w:tcW w:w="1042" w:type="dxa"/>
          </w:tcPr>
          <w:p w14:paraId="4ABCC1EE" w14:textId="77777777" w:rsidR="00BB2CB4" w:rsidRPr="00222C32" w:rsidRDefault="000674DA">
            <w:pPr>
              <w:pStyle w:val="MeasureTableYearHeadings"/>
              <w:keepNext/>
            </w:pPr>
            <w:r w:rsidRPr="00222C32">
              <w:t>2026-27</w:t>
            </w:r>
          </w:p>
        </w:tc>
        <w:tc>
          <w:tcPr>
            <w:tcW w:w="1042" w:type="dxa"/>
          </w:tcPr>
          <w:p w14:paraId="4668B0E3" w14:textId="77777777" w:rsidR="00BB2CB4" w:rsidRPr="00222C32" w:rsidRDefault="000674DA">
            <w:pPr>
              <w:pStyle w:val="MeasureTableYearHeadings"/>
              <w:keepNext/>
            </w:pPr>
            <w:r w:rsidRPr="00222C32">
              <w:t>2027-28</w:t>
            </w:r>
          </w:p>
        </w:tc>
        <w:tc>
          <w:tcPr>
            <w:tcW w:w="1042" w:type="dxa"/>
          </w:tcPr>
          <w:p w14:paraId="3956BDBF" w14:textId="77777777" w:rsidR="00BB2CB4" w:rsidRPr="00222C32" w:rsidRDefault="000674DA">
            <w:pPr>
              <w:pStyle w:val="MeasureTableYearHeadings"/>
              <w:keepNext/>
            </w:pPr>
            <w:r w:rsidRPr="00222C32">
              <w:t>2028-29</w:t>
            </w:r>
          </w:p>
        </w:tc>
      </w:tr>
      <w:tr w:rsidR="00BB2CB4" w:rsidRPr="00222C32" w14:paraId="5E9FF228" w14:textId="77777777" w:rsidTr="00825163">
        <w:trPr>
          <w:cantSplit/>
        </w:trPr>
        <w:tc>
          <w:tcPr>
            <w:tcW w:w="2499" w:type="dxa"/>
          </w:tcPr>
          <w:p w14:paraId="30B4B448" w14:textId="77777777" w:rsidR="00BB2CB4" w:rsidRPr="00222C32" w:rsidRDefault="000674DA">
            <w:pPr>
              <w:pStyle w:val="MeasureTableHeadingleftalignedwith2ptsspacing"/>
              <w:keepNext/>
            </w:pPr>
            <w:r w:rsidRPr="00222C32">
              <w:t>Department of Health, Disability and Ageing</w:t>
            </w:r>
          </w:p>
        </w:tc>
        <w:tc>
          <w:tcPr>
            <w:tcW w:w="1043" w:type="dxa"/>
          </w:tcPr>
          <w:p w14:paraId="1F74F651" w14:textId="77777777" w:rsidR="00BB2CB4" w:rsidRPr="00222C32" w:rsidRDefault="000674DA">
            <w:pPr>
              <w:pStyle w:val="MeasureTableDataRightAlignedwith2ptsspacing"/>
              <w:keepNext/>
            </w:pPr>
            <w:r w:rsidRPr="00222C32">
              <w:t>-</w:t>
            </w:r>
          </w:p>
        </w:tc>
        <w:tc>
          <w:tcPr>
            <w:tcW w:w="1042" w:type="dxa"/>
          </w:tcPr>
          <w:p w14:paraId="651A31D4" w14:textId="77777777" w:rsidR="00BB2CB4" w:rsidRPr="00222C32" w:rsidRDefault="000674DA">
            <w:pPr>
              <w:pStyle w:val="MeasureTableDataRightAlignedwith2ptsspacing"/>
              <w:keepNext/>
            </w:pPr>
            <w:r w:rsidRPr="00222C32">
              <w:t>494.0</w:t>
            </w:r>
          </w:p>
        </w:tc>
        <w:tc>
          <w:tcPr>
            <w:tcW w:w="1042" w:type="dxa"/>
          </w:tcPr>
          <w:p w14:paraId="38F678E5" w14:textId="77777777" w:rsidR="00BB2CB4" w:rsidRPr="00222C32" w:rsidRDefault="000674DA">
            <w:pPr>
              <w:pStyle w:val="MeasureTableDataRightAlignedwith2ptsspacing"/>
              <w:keepNext/>
            </w:pPr>
            <w:r w:rsidRPr="00222C32">
              <w:t>240.5</w:t>
            </w:r>
          </w:p>
        </w:tc>
        <w:tc>
          <w:tcPr>
            <w:tcW w:w="1042" w:type="dxa"/>
          </w:tcPr>
          <w:p w14:paraId="6288ABBA" w14:textId="77777777" w:rsidR="00BB2CB4" w:rsidRPr="00222C32" w:rsidRDefault="000674DA">
            <w:pPr>
              <w:pStyle w:val="MeasureTableDataRightAlignedwith2ptsspacing"/>
              <w:keepNext/>
            </w:pPr>
            <w:r w:rsidRPr="00222C32">
              <w:t>-20.9</w:t>
            </w:r>
          </w:p>
        </w:tc>
        <w:tc>
          <w:tcPr>
            <w:tcW w:w="1042" w:type="dxa"/>
          </w:tcPr>
          <w:p w14:paraId="3030E3CD" w14:textId="77777777" w:rsidR="00BB2CB4" w:rsidRPr="00222C32" w:rsidRDefault="000674DA">
            <w:pPr>
              <w:pStyle w:val="MeasureTableDataRightAlignedwith2ptsspacing"/>
              <w:keepNext/>
            </w:pPr>
            <w:r w:rsidRPr="00222C32">
              <w:t>-21.4</w:t>
            </w:r>
          </w:p>
        </w:tc>
      </w:tr>
    </w:tbl>
    <w:p w14:paraId="71FAEC1C" w14:textId="77777777" w:rsidR="006E3A7B" w:rsidRDefault="006E3A7B" w:rsidP="006E3A7B">
      <w:pPr>
        <w:pStyle w:val="SingleParagraph"/>
      </w:pPr>
    </w:p>
    <w:p w14:paraId="300E1C79" w14:textId="77777777" w:rsidR="00BB2CB4" w:rsidRDefault="000674DA">
      <w:pPr>
        <w:pStyle w:val="Normal2"/>
      </w:pPr>
      <w:r>
        <w:t>The Government will provide $956.6 million over three years from 2025–‍26 to ensure the viability and quality of aged care and support a growing number of older Australians to remain in their homes as they age. Funding includes:</w:t>
      </w:r>
    </w:p>
    <w:p w14:paraId="28671B82" w14:textId="77777777" w:rsidR="00BB2CB4" w:rsidRDefault="000674DA">
      <w:pPr>
        <w:pStyle w:val="Bullet"/>
      </w:pPr>
      <w:r>
        <w:t>$947.8 million over two years from 2025–‍26 to release 20,000 additional Home Care Packages by 31 October 2025 and bring forward the release of a further 63,000 Support at Home program places by 30 June 2026</w:t>
      </w:r>
    </w:p>
    <w:p w14:paraId="169723FE" w14:textId="77777777" w:rsidR="00BB2CB4" w:rsidRDefault="000674DA">
      <w:pPr>
        <w:pStyle w:val="Bullet"/>
      </w:pPr>
      <w:r>
        <w:t>$8.9 million over three years from 2025–‍26 to Aged Care Research and Industry Innovation Australia to continue to improve sector innovation.</w:t>
      </w:r>
    </w:p>
    <w:p w14:paraId="3F4C91FA" w14:textId="77777777" w:rsidR="00BB2CB4" w:rsidRDefault="000674DA">
      <w:pPr>
        <w:pStyle w:val="Normal2"/>
      </w:pPr>
      <w:r>
        <w:t>The Government will achieve savings of $255.7 million over four years from 2025–‍26 (and $21.9 million per year ongoing) through more targeted and streamlined aged care funding. Savings will be reinvested into new or expanded aged care programs and include:</w:t>
      </w:r>
    </w:p>
    <w:p w14:paraId="77890154" w14:textId="77777777" w:rsidR="00BB2CB4" w:rsidRDefault="000674DA">
      <w:pPr>
        <w:pStyle w:val="Bullet"/>
      </w:pPr>
      <w:r>
        <w:t>$112.8 million in 2025–‍26 through reprioritising unspent funds from the Support at Home program thin markets grants to other aged care services, with the Support at Home program thin markets grants to continue to have a demand‑driven selection process</w:t>
      </w:r>
    </w:p>
    <w:p w14:paraId="5E04E7BA" w14:textId="2DEA1F1B" w:rsidR="00BB2CB4" w:rsidRDefault="000674DA">
      <w:pPr>
        <w:pStyle w:val="Bullet"/>
      </w:pPr>
      <w:r>
        <w:t xml:space="preserve">$80.0 million over two years from 2025–‍26 through reprioritising unspent funds in the Commonwealth Home Support </w:t>
      </w:r>
      <w:r w:rsidR="00586C51">
        <w:t>p</w:t>
      </w:r>
      <w:r>
        <w:t>rogram growth funding grant opportunity to other aged care services</w:t>
      </w:r>
    </w:p>
    <w:p w14:paraId="7D3AC047" w14:textId="77777777" w:rsidR="00BB2CB4" w:rsidRDefault="000674DA">
      <w:pPr>
        <w:pStyle w:val="Bullet"/>
      </w:pPr>
      <w:r>
        <w:t>$62.8 million over three years from 2026–‍27 (and $21.9 million per year ongoing) by consolidating the Aged Care Program Support Fund into the Dementia and Aged Care Support Fund.</w:t>
      </w:r>
    </w:p>
    <w:p w14:paraId="51EF71B5" w14:textId="2D443C44" w:rsidR="00BB2CB4" w:rsidRDefault="000674DA">
      <w:pPr>
        <w:pStyle w:val="Normal2"/>
      </w:pPr>
      <w:r>
        <w:t xml:space="preserve">The Government has expanded the eligibility of the Market Adjustment </w:t>
      </w:r>
      <w:r w:rsidR="00586C51">
        <w:t>p</w:t>
      </w:r>
      <w:r>
        <w:t>rogram to include home care providers.</w:t>
      </w:r>
    </w:p>
    <w:p w14:paraId="69EA07CA" w14:textId="77777777" w:rsidR="00BB2CB4" w:rsidRDefault="000674DA">
      <w:pPr>
        <w:pStyle w:val="Normal2"/>
      </w:pPr>
      <w:r w:rsidRPr="69C11E82">
        <w:rPr>
          <w:lang w:val="en-US"/>
        </w:rPr>
        <w:t>The Department of Health, Disability and Ageing will partially meet the cost of this measure from within existing resources.</w:t>
      </w:r>
    </w:p>
    <w:p w14:paraId="5239C4D2" w14:textId="77777777" w:rsidR="00BB2CB4" w:rsidRDefault="000674DA">
      <w:pPr>
        <w:pStyle w:val="Normal2"/>
      </w:pPr>
      <w:r>
        <w:t xml:space="preserve">This measure builds on the 2024–‍25 MYEFO measures titled </w:t>
      </w:r>
      <w:r w:rsidRPr="000674DA">
        <w:rPr>
          <w:i/>
        </w:rPr>
        <w:t>Improving Aged Care Support</w:t>
      </w:r>
      <w:r>
        <w:t xml:space="preserve"> and </w:t>
      </w:r>
      <w:r w:rsidRPr="000674DA">
        <w:rPr>
          <w:i/>
        </w:rPr>
        <w:t>Ensuring the Viability and Quality of Aged Care</w:t>
      </w:r>
      <w:r>
        <w:t>.</w:t>
      </w:r>
    </w:p>
    <w:p w14:paraId="0D409079" w14:textId="77777777" w:rsidR="00BB2CB4" w:rsidRDefault="000674DA">
      <w:pPr>
        <w:pStyle w:val="MeasureTitle"/>
      </w:pPr>
      <w:r>
        <w:lastRenderedPageBreak/>
        <w:t>Improving Residential Aged Care</w:t>
      </w:r>
    </w:p>
    <w:p w14:paraId="00F31FD1"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326F2286" w14:textId="77777777" w:rsidTr="00825163">
        <w:trPr>
          <w:cantSplit/>
        </w:trPr>
        <w:tc>
          <w:tcPr>
            <w:tcW w:w="2499" w:type="dxa"/>
          </w:tcPr>
          <w:p w14:paraId="0A184EB3" w14:textId="77777777" w:rsidR="00BB2CB4" w:rsidRPr="00222C32" w:rsidRDefault="00BB2CB4">
            <w:pPr>
              <w:pStyle w:val="MeasureTableYearHeadings"/>
              <w:keepNext/>
            </w:pPr>
          </w:p>
        </w:tc>
        <w:tc>
          <w:tcPr>
            <w:tcW w:w="1043" w:type="dxa"/>
          </w:tcPr>
          <w:p w14:paraId="618FDE3A" w14:textId="77777777" w:rsidR="00BB2CB4" w:rsidRPr="00222C32" w:rsidRDefault="000674DA">
            <w:pPr>
              <w:pStyle w:val="MeasureTableYearHeadings"/>
              <w:keepNext/>
            </w:pPr>
            <w:r w:rsidRPr="00222C32">
              <w:t>2024-25</w:t>
            </w:r>
          </w:p>
        </w:tc>
        <w:tc>
          <w:tcPr>
            <w:tcW w:w="1042" w:type="dxa"/>
          </w:tcPr>
          <w:p w14:paraId="674D3B0F" w14:textId="77777777" w:rsidR="00BB2CB4" w:rsidRPr="00222C32" w:rsidRDefault="000674DA">
            <w:pPr>
              <w:pStyle w:val="MeasureTableYearHeadings"/>
              <w:keepNext/>
            </w:pPr>
            <w:r w:rsidRPr="00222C32">
              <w:t>2025-26</w:t>
            </w:r>
          </w:p>
        </w:tc>
        <w:tc>
          <w:tcPr>
            <w:tcW w:w="1042" w:type="dxa"/>
          </w:tcPr>
          <w:p w14:paraId="18DFAAD5" w14:textId="77777777" w:rsidR="00BB2CB4" w:rsidRPr="00222C32" w:rsidRDefault="000674DA">
            <w:pPr>
              <w:pStyle w:val="MeasureTableYearHeadings"/>
              <w:keepNext/>
            </w:pPr>
            <w:r w:rsidRPr="00222C32">
              <w:t>2026-27</w:t>
            </w:r>
          </w:p>
        </w:tc>
        <w:tc>
          <w:tcPr>
            <w:tcW w:w="1042" w:type="dxa"/>
          </w:tcPr>
          <w:p w14:paraId="57A974EF" w14:textId="77777777" w:rsidR="00BB2CB4" w:rsidRPr="00222C32" w:rsidRDefault="000674DA">
            <w:pPr>
              <w:pStyle w:val="MeasureTableYearHeadings"/>
              <w:keepNext/>
            </w:pPr>
            <w:r w:rsidRPr="00222C32">
              <w:t>2027-28</w:t>
            </w:r>
          </w:p>
        </w:tc>
        <w:tc>
          <w:tcPr>
            <w:tcW w:w="1042" w:type="dxa"/>
          </w:tcPr>
          <w:p w14:paraId="1AF7E093" w14:textId="77777777" w:rsidR="00BB2CB4" w:rsidRPr="00222C32" w:rsidRDefault="000674DA">
            <w:pPr>
              <w:pStyle w:val="MeasureTableYearHeadings"/>
              <w:keepNext/>
            </w:pPr>
            <w:r w:rsidRPr="00222C32">
              <w:t>2028-29</w:t>
            </w:r>
          </w:p>
        </w:tc>
      </w:tr>
      <w:tr w:rsidR="00BB2CB4" w:rsidRPr="00222C32" w14:paraId="2EB88E64" w14:textId="77777777" w:rsidTr="00825163">
        <w:trPr>
          <w:cantSplit/>
        </w:trPr>
        <w:tc>
          <w:tcPr>
            <w:tcW w:w="2499" w:type="dxa"/>
          </w:tcPr>
          <w:p w14:paraId="6C8C2E37" w14:textId="77777777" w:rsidR="00BB2CB4" w:rsidRPr="00222C32" w:rsidRDefault="000674DA">
            <w:pPr>
              <w:pStyle w:val="MeasureTableHeadingleftalignedwith2ptsspacing"/>
              <w:keepNext/>
            </w:pPr>
            <w:r w:rsidRPr="00222C32">
              <w:t>Department of Health, Disability and Ageing</w:t>
            </w:r>
          </w:p>
        </w:tc>
        <w:tc>
          <w:tcPr>
            <w:tcW w:w="1043" w:type="dxa"/>
          </w:tcPr>
          <w:p w14:paraId="58D5F561" w14:textId="77777777" w:rsidR="00BB2CB4" w:rsidRPr="00222C32" w:rsidRDefault="000674DA">
            <w:pPr>
              <w:pStyle w:val="MeasureTableDataRightAlignedwith2ptsspacing"/>
              <w:keepNext/>
            </w:pPr>
            <w:r w:rsidRPr="00222C32">
              <w:t>-</w:t>
            </w:r>
          </w:p>
        </w:tc>
        <w:tc>
          <w:tcPr>
            <w:tcW w:w="1042" w:type="dxa"/>
          </w:tcPr>
          <w:p w14:paraId="23337EC1" w14:textId="77777777" w:rsidR="00BB2CB4" w:rsidRPr="00222C32" w:rsidRDefault="000674DA">
            <w:pPr>
              <w:pStyle w:val="MeasureTableDataRightAlignedwith2ptsspacing"/>
              <w:keepNext/>
            </w:pPr>
            <w:r w:rsidRPr="00222C32">
              <w:t>10.8</w:t>
            </w:r>
          </w:p>
        </w:tc>
        <w:tc>
          <w:tcPr>
            <w:tcW w:w="1042" w:type="dxa"/>
          </w:tcPr>
          <w:p w14:paraId="099276E7" w14:textId="77777777" w:rsidR="00BB2CB4" w:rsidRPr="00222C32" w:rsidRDefault="000674DA">
            <w:pPr>
              <w:pStyle w:val="MeasureTableDataRightAlignedwith2ptsspacing"/>
              <w:keepNext/>
            </w:pPr>
            <w:r w:rsidRPr="00222C32">
              <w:t>16.4</w:t>
            </w:r>
          </w:p>
        </w:tc>
        <w:tc>
          <w:tcPr>
            <w:tcW w:w="1042" w:type="dxa"/>
          </w:tcPr>
          <w:p w14:paraId="52E825A7" w14:textId="77777777" w:rsidR="00BB2CB4" w:rsidRPr="00222C32" w:rsidRDefault="000674DA">
            <w:pPr>
              <w:pStyle w:val="MeasureTableDataRightAlignedwith2ptsspacing"/>
              <w:keepNext/>
            </w:pPr>
            <w:r w:rsidRPr="00222C32">
              <w:t>2.7</w:t>
            </w:r>
          </w:p>
        </w:tc>
        <w:tc>
          <w:tcPr>
            <w:tcW w:w="1042" w:type="dxa"/>
          </w:tcPr>
          <w:p w14:paraId="2EF9582D" w14:textId="77777777" w:rsidR="00BB2CB4" w:rsidRPr="00222C32" w:rsidRDefault="000674DA">
            <w:pPr>
              <w:pStyle w:val="MeasureTableDataRightAlignedwith2ptsspacing"/>
              <w:keepNext/>
            </w:pPr>
            <w:r w:rsidRPr="00222C32">
              <w:t>2.8</w:t>
            </w:r>
          </w:p>
        </w:tc>
      </w:tr>
      <w:tr w:rsidR="00BB2CB4" w:rsidRPr="00222C32" w14:paraId="6C07C2D5" w14:textId="77777777" w:rsidTr="00825163">
        <w:trPr>
          <w:cantSplit/>
        </w:trPr>
        <w:tc>
          <w:tcPr>
            <w:tcW w:w="2499" w:type="dxa"/>
          </w:tcPr>
          <w:p w14:paraId="793B5636" w14:textId="77777777" w:rsidR="00BB2CB4" w:rsidRPr="00222C32" w:rsidRDefault="000674DA">
            <w:pPr>
              <w:pStyle w:val="MeasureTableHeadingleftalignedwith2ptsspacing"/>
              <w:keepNext/>
            </w:pPr>
            <w:r w:rsidRPr="00222C32">
              <w:t>Aged Care Quality and Safety Commission</w:t>
            </w:r>
          </w:p>
        </w:tc>
        <w:tc>
          <w:tcPr>
            <w:tcW w:w="1043" w:type="dxa"/>
          </w:tcPr>
          <w:p w14:paraId="7467452F" w14:textId="77777777" w:rsidR="00BB2CB4" w:rsidRPr="00222C32" w:rsidRDefault="000674DA">
            <w:pPr>
              <w:pStyle w:val="MeasureTableDataRightAlignedwith2ptsspacing"/>
              <w:keepNext/>
            </w:pPr>
            <w:r w:rsidRPr="00222C32">
              <w:t>-</w:t>
            </w:r>
          </w:p>
        </w:tc>
        <w:tc>
          <w:tcPr>
            <w:tcW w:w="1042" w:type="dxa"/>
          </w:tcPr>
          <w:p w14:paraId="38D607BF" w14:textId="77777777" w:rsidR="00BB2CB4" w:rsidRPr="00222C32" w:rsidRDefault="000674DA">
            <w:pPr>
              <w:pStyle w:val="MeasureTableDataRightAlignedwith2ptsspacing"/>
              <w:keepNext/>
            </w:pPr>
            <w:r w:rsidRPr="00222C32">
              <w:t>2.7</w:t>
            </w:r>
          </w:p>
        </w:tc>
        <w:tc>
          <w:tcPr>
            <w:tcW w:w="1042" w:type="dxa"/>
          </w:tcPr>
          <w:p w14:paraId="05F404FB" w14:textId="77777777" w:rsidR="00BB2CB4" w:rsidRPr="00222C32" w:rsidRDefault="000674DA">
            <w:pPr>
              <w:pStyle w:val="MeasureTableDataRightAlignedwith2ptsspacing"/>
              <w:keepNext/>
            </w:pPr>
            <w:r w:rsidRPr="00222C32">
              <w:t>-</w:t>
            </w:r>
          </w:p>
        </w:tc>
        <w:tc>
          <w:tcPr>
            <w:tcW w:w="1042" w:type="dxa"/>
          </w:tcPr>
          <w:p w14:paraId="7D6FB572" w14:textId="77777777" w:rsidR="00BB2CB4" w:rsidRPr="00222C32" w:rsidRDefault="000674DA">
            <w:pPr>
              <w:pStyle w:val="MeasureTableDataRightAlignedwith2ptsspacing"/>
              <w:keepNext/>
            </w:pPr>
            <w:r w:rsidRPr="00222C32">
              <w:t>-</w:t>
            </w:r>
          </w:p>
        </w:tc>
        <w:tc>
          <w:tcPr>
            <w:tcW w:w="1042" w:type="dxa"/>
          </w:tcPr>
          <w:p w14:paraId="4190D352" w14:textId="77777777" w:rsidR="00BB2CB4" w:rsidRPr="00222C32" w:rsidRDefault="000674DA">
            <w:pPr>
              <w:pStyle w:val="MeasureTableDataRightAlignedwith2ptsspacing"/>
              <w:keepNext/>
            </w:pPr>
            <w:r w:rsidRPr="00222C32">
              <w:t>-</w:t>
            </w:r>
          </w:p>
        </w:tc>
      </w:tr>
      <w:tr w:rsidR="00BB2CB4" w:rsidRPr="00222C32" w14:paraId="45F200A6" w14:textId="77777777" w:rsidTr="00825163">
        <w:trPr>
          <w:cantSplit/>
        </w:trPr>
        <w:tc>
          <w:tcPr>
            <w:tcW w:w="2499" w:type="dxa"/>
          </w:tcPr>
          <w:p w14:paraId="00CA619D" w14:textId="77777777" w:rsidR="00BB2CB4" w:rsidRPr="00222C32" w:rsidRDefault="000674DA">
            <w:pPr>
              <w:pStyle w:val="Totalrowleftaligned"/>
              <w:keepNext/>
            </w:pPr>
            <w:r w:rsidRPr="00222C32">
              <w:t>Total – Payments</w:t>
            </w:r>
          </w:p>
        </w:tc>
        <w:tc>
          <w:tcPr>
            <w:tcW w:w="1043" w:type="dxa"/>
          </w:tcPr>
          <w:p w14:paraId="6F0F7DCD" w14:textId="77777777" w:rsidR="00BB2CB4" w:rsidRPr="00222C32" w:rsidRDefault="000674DA">
            <w:pPr>
              <w:pStyle w:val="Totaldatarowrightaligned"/>
              <w:keepNext/>
            </w:pPr>
            <w:r w:rsidRPr="00222C32">
              <w:t>-</w:t>
            </w:r>
          </w:p>
        </w:tc>
        <w:tc>
          <w:tcPr>
            <w:tcW w:w="1042" w:type="dxa"/>
          </w:tcPr>
          <w:p w14:paraId="405A2366" w14:textId="77777777" w:rsidR="00BB2CB4" w:rsidRPr="00222C32" w:rsidRDefault="000674DA">
            <w:pPr>
              <w:pStyle w:val="Totaldatarowrightaligned"/>
              <w:keepNext/>
            </w:pPr>
            <w:r w:rsidRPr="00222C32">
              <w:t>13.5</w:t>
            </w:r>
          </w:p>
        </w:tc>
        <w:tc>
          <w:tcPr>
            <w:tcW w:w="1042" w:type="dxa"/>
          </w:tcPr>
          <w:p w14:paraId="5D0CE415" w14:textId="77777777" w:rsidR="00BB2CB4" w:rsidRPr="00222C32" w:rsidRDefault="000674DA">
            <w:pPr>
              <w:pStyle w:val="Totaldatarowrightaligned"/>
              <w:keepNext/>
            </w:pPr>
            <w:r w:rsidRPr="00222C32">
              <w:t>16.4</w:t>
            </w:r>
          </w:p>
        </w:tc>
        <w:tc>
          <w:tcPr>
            <w:tcW w:w="1042" w:type="dxa"/>
          </w:tcPr>
          <w:p w14:paraId="5296E646" w14:textId="77777777" w:rsidR="00BB2CB4" w:rsidRPr="00222C32" w:rsidRDefault="000674DA">
            <w:pPr>
              <w:pStyle w:val="Totaldatarowrightaligned"/>
              <w:keepNext/>
            </w:pPr>
            <w:r w:rsidRPr="00222C32">
              <w:t>2.7</w:t>
            </w:r>
          </w:p>
        </w:tc>
        <w:tc>
          <w:tcPr>
            <w:tcW w:w="1042" w:type="dxa"/>
          </w:tcPr>
          <w:p w14:paraId="020CF3CF" w14:textId="77777777" w:rsidR="00BB2CB4" w:rsidRPr="00222C32" w:rsidRDefault="000674DA">
            <w:pPr>
              <w:pStyle w:val="Totaldatarowrightaligned"/>
              <w:keepNext/>
            </w:pPr>
            <w:r w:rsidRPr="00222C32">
              <w:t>2.8</w:t>
            </w:r>
          </w:p>
        </w:tc>
      </w:tr>
    </w:tbl>
    <w:p w14:paraId="5587C725" w14:textId="77777777" w:rsidR="006E3A7B" w:rsidRDefault="006E3A7B" w:rsidP="006E3A7B">
      <w:pPr>
        <w:pStyle w:val="SingleParagraph"/>
      </w:pPr>
    </w:p>
    <w:p w14:paraId="273F7C4A" w14:textId="77777777" w:rsidR="00BB2CB4" w:rsidRDefault="000674DA">
      <w:pPr>
        <w:pStyle w:val="Normal2"/>
      </w:pPr>
      <w:r w:rsidRPr="69C11E82">
        <w:rPr>
          <w:lang w:val="en-US"/>
        </w:rPr>
        <w:t>The Government will provide $46.5 million over four years from 2025–‍26 (and $5.8 million per year ongoing) to deliver additional support for residential aged care. Funding includes:</w:t>
      </w:r>
    </w:p>
    <w:p w14:paraId="498FECFD" w14:textId="77777777" w:rsidR="00BB2CB4" w:rsidRDefault="000674DA">
      <w:pPr>
        <w:pStyle w:val="Bullet"/>
      </w:pPr>
      <w:r>
        <w:t>$18.3 million over four years from 2025–‍26 (and $5.4 million per year ongoing) to incorporate outbreak management funding into the Transition Care program and Multi‑Purpose Services program</w:t>
      </w:r>
    </w:p>
    <w:p w14:paraId="3183720A" w14:textId="77777777" w:rsidR="00BB2CB4" w:rsidRDefault="000674DA">
      <w:pPr>
        <w:pStyle w:val="Bullet"/>
      </w:pPr>
      <w:r>
        <w:t>$9.4 million in 2026–‍27 to extend the Dementia Training program to improve the capability of the health and aged care workforce to support dementia diagnosis and care</w:t>
      </w:r>
    </w:p>
    <w:p w14:paraId="1ABAB217" w14:textId="77777777" w:rsidR="00BB2CB4" w:rsidRDefault="000674DA">
      <w:pPr>
        <w:pStyle w:val="Bullet"/>
      </w:pPr>
      <w:r>
        <w:t>$6.4 million over two years from 2025–‍26 to extend support for younger people to move to age‑appropriate accommodation and supports through the Younger People in Residential Aged Care program</w:t>
      </w:r>
    </w:p>
    <w:p w14:paraId="074EE8A3" w14:textId="77777777" w:rsidR="00BB2CB4" w:rsidRDefault="000674DA">
      <w:pPr>
        <w:pStyle w:val="Bullet"/>
      </w:pPr>
      <w:r>
        <w:t>$5.8 million over two years from 2025–‍26 to extend the Australian National Aged Care Classification transition fund to support aged care providers in thin markets</w:t>
      </w:r>
    </w:p>
    <w:p w14:paraId="793F653E" w14:textId="77777777" w:rsidR="00BB2CB4" w:rsidRDefault="000674DA">
      <w:pPr>
        <w:pStyle w:val="Bullet"/>
      </w:pPr>
      <w:r>
        <w:t>$4.6 million in 2025–‍26 to continue improving food and nutrition in aged care</w:t>
      </w:r>
    </w:p>
    <w:p w14:paraId="101BE5ED" w14:textId="3569508F" w:rsidR="00BB2CB4" w:rsidRDefault="000674DA">
      <w:pPr>
        <w:pStyle w:val="Bullet"/>
      </w:pPr>
      <w:r>
        <w:t>$2.0 million over four years from 2025–‍26 (and $0.4 million per year ongoing) to implement changes to the Independent Health and Aged Care Pricing Authority</w:t>
      </w:r>
      <w:r w:rsidR="00222C32">
        <w:t>’</w:t>
      </w:r>
      <w:r>
        <w:t>s quality assurance function and pricing advice.</w:t>
      </w:r>
    </w:p>
    <w:p w14:paraId="195065E1" w14:textId="77777777" w:rsidR="00BB2CB4" w:rsidRDefault="000674DA">
      <w:pPr>
        <w:pStyle w:val="Normal2"/>
      </w:pPr>
      <w:r w:rsidRPr="69C11E82">
        <w:rPr>
          <w:lang w:val="en-US"/>
        </w:rPr>
        <w:t>The Department of Health, Disability and Ageing will partially meet the cost of this measure from within existing resources.</w:t>
      </w:r>
    </w:p>
    <w:p w14:paraId="3C6125BB" w14:textId="77777777" w:rsidR="00BB2CB4" w:rsidRDefault="000674DA">
      <w:pPr>
        <w:pStyle w:val="Normal2"/>
      </w:pPr>
      <w:r>
        <w:t xml:space="preserve">This measure builds on the 2024–‍25 MYEFO measures titled </w:t>
      </w:r>
      <w:r w:rsidRPr="000674DA">
        <w:rPr>
          <w:i/>
        </w:rPr>
        <w:t>Improving Aged Care Support</w:t>
      </w:r>
      <w:r>
        <w:t xml:space="preserve"> and </w:t>
      </w:r>
      <w:r w:rsidRPr="000674DA">
        <w:rPr>
          <w:i/>
        </w:rPr>
        <w:t>Ensuring the Viability and Quality of Aged Care</w:t>
      </w:r>
      <w:r>
        <w:t xml:space="preserve">, the 2024–‍25 Budget measure titled </w:t>
      </w:r>
      <w:r w:rsidRPr="000674DA">
        <w:rPr>
          <w:i/>
        </w:rPr>
        <w:t>Improving Aged Care Support,</w:t>
      </w:r>
      <w:r>
        <w:t xml:space="preserve"> the 2023–‍24 Budget measure titled </w:t>
      </w:r>
      <w:r w:rsidRPr="000674DA">
        <w:rPr>
          <w:i/>
        </w:rPr>
        <w:t>Younger People in Residential Aged Care</w:t>
      </w:r>
      <w:r>
        <w:t xml:space="preserve"> and the 2022–‍23 October Budget measure titled </w:t>
      </w:r>
      <w:r w:rsidRPr="000674DA">
        <w:rPr>
          <w:i/>
        </w:rPr>
        <w:t>Fixing the Aged Care Crisis</w:t>
      </w:r>
      <w:r>
        <w:t>.</w:t>
      </w:r>
    </w:p>
    <w:p w14:paraId="75F14B3A" w14:textId="77777777" w:rsidR="00BB2CB4" w:rsidRDefault="000674DA">
      <w:pPr>
        <w:pStyle w:val="MeasureTitle"/>
      </w:pPr>
      <w:r>
        <w:t>Mental Health</w:t>
      </w:r>
    </w:p>
    <w:p w14:paraId="44DFD72C" w14:textId="77777777" w:rsidR="00BB2CB4" w:rsidRDefault="000674DA">
      <w:pPr>
        <w:pStyle w:val="MeasureTableHeading"/>
      </w:pPr>
      <w:r>
        <w:t>Payments ($m)</w:t>
      </w:r>
    </w:p>
    <w:tbl>
      <w:tblPr>
        <w:tblOverlap w:val="never"/>
        <w:tblW w:w="7721" w:type="dxa"/>
        <w:tblBorders>
          <w:top w:val="single" w:sz="4" w:space="0" w:color="000000"/>
          <w:bottom w:val="single" w:sz="4" w:space="0" w:color="293F5B"/>
          <w:insideH w:val="single" w:sz="4" w:space="0" w:color="000000"/>
        </w:tblBorders>
        <w:tblLayout w:type="fixed"/>
        <w:tblLook w:val="04A0" w:firstRow="1" w:lastRow="0" w:firstColumn="1" w:lastColumn="0" w:noHBand="0" w:noVBand="1"/>
      </w:tblPr>
      <w:tblGrid>
        <w:gridCol w:w="2501"/>
        <w:gridCol w:w="1044"/>
        <w:gridCol w:w="1044"/>
        <w:gridCol w:w="1044"/>
        <w:gridCol w:w="1044"/>
        <w:gridCol w:w="1044"/>
      </w:tblGrid>
      <w:tr w:rsidR="00BB2CB4" w:rsidRPr="00222C32" w14:paraId="3AF1340F" w14:textId="77777777" w:rsidTr="00825163">
        <w:trPr>
          <w:cantSplit/>
        </w:trPr>
        <w:tc>
          <w:tcPr>
            <w:tcW w:w="2501" w:type="dxa"/>
            <w:tcBorders>
              <w:top w:val="single" w:sz="4" w:space="0" w:color="293F5B"/>
              <w:bottom w:val="single" w:sz="4" w:space="0" w:color="293F5B"/>
            </w:tcBorders>
          </w:tcPr>
          <w:p w14:paraId="5A4E8A6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2215077"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318A90B"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419CD3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CE3402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520EB56" w14:textId="77777777" w:rsidR="00BB2CB4" w:rsidRPr="00222C32" w:rsidRDefault="000674DA">
            <w:pPr>
              <w:pStyle w:val="MeasureTableYearHeadings"/>
              <w:keepNext/>
            </w:pPr>
            <w:r w:rsidRPr="00222C32">
              <w:t>2028-29</w:t>
            </w:r>
          </w:p>
        </w:tc>
      </w:tr>
      <w:tr w:rsidR="00BB2CB4" w:rsidRPr="00222C32" w14:paraId="527A1D85" w14:textId="77777777" w:rsidTr="00825163">
        <w:trPr>
          <w:cantSplit/>
        </w:trPr>
        <w:tc>
          <w:tcPr>
            <w:tcW w:w="2501" w:type="dxa"/>
            <w:tcBorders>
              <w:top w:val="single" w:sz="4" w:space="0" w:color="293F5B"/>
            </w:tcBorders>
          </w:tcPr>
          <w:p w14:paraId="5266F9EA"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tcBorders>
          </w:tcPr>
          <w:p w14:paraId="538E7760" w14:textId="77777777" w:rsidR="00BB2CB4" w:rsidRPr="00222C32" w:rsidRDefault="000674DA">
            <w:pPr>
              <w:pStyle w:val="MeasureTableDataRightAlignedwith2ptsspacing"/>
              <w:keepNext/>
            </w:pPr>
            <w:r w:rsidRPr="00222C32">
              <w:t>-</w:t>
            </w:r>
          </w:p>
        </w:tc>
        <w:tc>
          <w:tcPr>
            <w:tcW w:w="1044" w:type="dxa"/>
            <w:tcBorders>
              <w:top w:val="single" w:sz="4" w:space="0" w:color="293F5B"/>
            </w:tcBorders>
          </w:tcPr>
          <w:p w14:paraId="1B8670E6" w14:textId="77777777" w:rsidR="00BB2CB4" w:rsidRPr="00222C32" w:rsidRDefault="000674DA">
            <w:pPr>
              <w:pStyle w:val="MeasureTableDataRightAlignedwith2ptsspacing"/>
              <w:keepNext/>
            </w:pPr>
            <w:r w:rsidRPr="00222C32">
              <w:t>3.4</w:t>
            </w:r>
          </w:p>
        </w:tc>
        <w:tc>
          <w:tcPr>
            <w:tcW w:w="1044" w:type="dxa"/>
            <w:tcBorders>
              <w:top w:val="single" w:sz="4" w:space="0" w:color="293F5B"/>
            </w:tcBorders>
          </w:tcPr>
          <w:p w14:paraId="0FA5E4ED" w14:textId="77777777" w:rsidR="00BB2CB4" w:rsidRPr="00222C32" w:rsidRDefault="000674DA">
            <w:pPr>
              <w:pStyle w:val="MeasureTableDataRightAlignedwith2ptsspacing"/>
              <w:keepNext/>
            </w:pPr>
            <w:r w:rsidRPr="00222C32">
              <w:t>72.4</w:t>
            </w:r>
          </w:p>
        </w:tc>
        <w:tc>
          <w:tcPr>
            <w:tcW w:w="1044" w:type="dxa"/>
            <w:tcBorders>
              <w:top w:val="single" w:sz="4" w:space="0" w:color="293F5B"/>
            </w:tcBorders>
          </w:tcPr>
          <w:p w14:paraId="6A4C0281" w14:textId="77777777" w:rsidR="00BB2CB4" w:rsidRPr="00222C32" w:rsidRDefault="000674DA">
            <w:pPr>
              <w:pStyle w:val="MeasureTableDataRightAlignedwith2ptsspacing"/>
              <w:keepNext/>
            </w:pPr>
            <w:r w:rsidRPr="00222C32">
              <w:t>51.6</w:t>
            </w:r>
          </w:p>
        </w:tc>
        <w:tc>
          <w:tcPr>
            <w:tcW w:w="1044" w:type="dxa"/>
            <w:tcBorders>
              <w:top w:val="single" w:sz="4" w:space="0" w:color="293F5B"/>
            </w:tcBorders>
          </w:tcPr>
          <w:p w14:paraId="010907BA" w14:textId="77777777" w:rsidR="00BB2CB4" w:rsidRPr="00222C32" w:rsidRDefault="000674DA">
            <w:pPr>
              <w:pStyle w:val="MeasureTableDataRightAlignedwith2ptsspacing"/>
              <w:keepNext/>
            </w:pPr>
            <w:r w:rsidRPr="00222C32">
              <w:t>-10.6</w:t>
            </w:r>
          </w:p>
        </w:tc>
      </w:tr>
    </w:tbl>
    <w:p w14:paraId="5CFFF679" w14:textId="77777777" w:rsidR="006E3A7B" w:rsidRDefault="006E3A7B" w:rsidP="006E3A7B">
      <w:pPr>
        <w:pStyle w:val="SingleParagraph"/>
      </w:pPr>
    </w:p>
    <w:p w14:paraId="62EC2686" w14:textId="6D27EF35" w:rsidR="00BB2CB4" w:rsidRDefault="000674DA">
      <w:pPr>
        <w:pStyle w:val="Normal2"/>
      </w:pPr>
      <w:r>
        <w:t>The Government will provide $158.0 million over three years from 2025–‍26 to continue to strengthen Australia</w:t>
      </w:r>
      <w:r w:rsidR="00222C32">
        <w:t>’</w:t>
      </w:r>
      <w:r>
        <w:t>s mental health and suicide prevention system. Funding includes:</w:t>
      </w:r>
    </w:p>
    <w:p w14:paraId="188ECCA2" w14:textId="77777777" w:rsidR="00BB2CB4" w:rsidRDefault="000674DA" w:rsidP="009C4A6A">
      <w:pPr>
        <w:pStyle w:val="Bullet"/>
        <w:spacing w:before="100" w:after="100"/>
      </w:pPr>
      <w:r>
        <w:lastRenderedPageBreak/>
        <w:t>$65.1 million over three years from 2025–‍26 to continue delivery of mental health supports, treatment and services for Australians, including:</w:t>
      </w:r>
    </w:p>
    <w:p w14:paraId="394D102F" w14:textId="77777777" w:rsidR="00BB2CB4" w:rsidRDefault="000674DA" w:rsidP="009C4A6A">
      <w:pPr>
        <w:pStyle w:val="Dash"/>
        <w:spacing w:before="100" w:after="100"/>
      </w:pPr>
      <w:r>
        <w:t>$35.5 million over two years from 2026–‍27 to extend a pilot on a model of care for improved coordination and access to specialised trauma‑informed mental health recovery care for victim‑survivors of family, domestic and sexual violence</w:t>
      </w:r>
    </w:p>
    <w:p w14:paraId="5C72B0CA" w14:textId="77777777" w:rsidR="00BB2CB4" w:rsidRDefault="000674DA" w:rsidP="009C4A6A">
      <w:pPr>
        <w:pStyle w:val="Dash"/>
        <w:spacing w:before="100" w:after="100"/>
      </w:pPr>
      <w:r>
        <w:t>$13.5 million in 2025–‍26 of additional funding to deliver the Medicare Mental Health Check In, a new free digital mental health service</w:t>
      </w:r>
    </w:p>
    <w:p w14:paraId="36F52DCB" w14:textId="0C25A716" w:rsidR="00BB2CB4" w:rsidRDefault="000674DA" w:rsidP="009C4A6A">
      <w:pPr>
        <w:pStyle w:val="Dash"/>
        <w:spacing w:before="100" w:after="100"/>
      </w:pPr>
      <w:r>
        <w:t>$4.7 million over two years from 2026–‍27 to support continued operation of the Government</w:t>
      </w:r>
      <w:r w:rsidR="00222C32">
        <w:t>’</w:t>
      </w:r>
      <w:r>
        <w:t>s Medicare Mental Health website and navigation services</w:t>
      </w:r>
    </w:p>
    <w:p w14:paraId="76EA9A9C" w14:textId="77777777" w:rsidR="00BB2CB4" w:rsidRDefault="000674DA" w:rsidP="009C4A6A">
      <w:pPr>
        <w:pStyle w:val="Dash"/>
        <w:spacing w:before="100" w:after="100"/>
      </w:pPr>
      <w:r>
        <w:t>$3.2 million over two years from 2026–‍27 in reprofiled funding for co‑design work and delivery of culturally appropriate multidisciplinary services for people with severe and complex mental health needs in the Northern Territory</w:t>
      </w:r>
    </w:p>
    <w:p w14:paraId="213A5905" w14:textId="77777777" w:rsidR="00BB2CB4" w:rsidRDefault="000674DA" w:rsidP="009C4A6A">
      <w:pPr>
        <w:pStyle w:val="Dash"/>
        <w:spacing w:before="100" w:after="100"/>
      </w:pPr>
      <w:r>
        <w:t>$2.8 million over two years from 2026–‍27 to continue supporting culturally and linguistically diverse communities and service providers by providing access to resources, services and information through an online accessible platform</w:t>
      </w:r>
    </w:p>
    <w:p w14:paraId="5675E284" w14:textId="77777777" w:rsidR="00BB2CB4" w:rsidRPr="009C4A6A" w:rsidRDefault="000674DA" w:rsidP="009C4A6A">
      <w:pPr>
        <w:pStyle w:val="Dash"/>
        <w:spacing w:before="100" w:after="100"/>
        <w:rPr>
          <w:spacing w:val="-2"/>
        </w:rPr>
      </w:pPr>
      <w:r w:rsidRPr="009C4A6A">
        <w:rPr>
          <w:spacing w:val="-2"/>
        </w:rPr>
        <w:t>$2.7 million over two years from 2026–‍27 to continue the Translating and Interpreting Service to support the mental health needs of multicultural communities</w:t>
      </w:r>
    </w:p>
    <w:p w14:paraId="037FC9A8" w14:textId="77777777" w:rsidR="00BB2CB4" w:rsidRDefault="000674DA" w:rsidP="009C4A6A">
      <w:pPr>
        <w:pStyle w:val="Dash"/>
        <w:spacing w:before="100" w:after="100"/>
      </w:pPr>
      <w:r>
        <w:t>$1.6 million in 2026–‍27 to continue mental health supports and services for Australians impacted by the conflict in the Middle East</w:t>
      </w:r>
    </w:p>
    <w:p w14:paraId="5867F47E" w14:textId="77777777" w:rsidR="00BB2CB4" w:rsidRDefault="000674DA" w:rsidP="009C4A6A">
      <w:pPr>
        <w:pStyle w:val="Dash"/>
        <w:spacing w:before="100" w:after="100"/>
      </w:pPr>
      <w:r>
        <w:t>$0.7 million over two years from 2025–‍26 to improve the physical health of people with mental illness</w:t>
      </w:r>
    </w:p>
    <w:p w14:paraId="271B6409" w14:textId="77777777" w:rsidR="00BB2CB4" w:rsidRDefault="000674DA" w:rsidP="009C4A6A">
      <w:pPr>
        <w:pStyle w:val="Dash"/>
        <w:spacing w:before="100" w:after="100"/>
      </w:pPr>
      <w:r>
        <w:t>$0.4 million in 2026–‍27 to continue delivering mental health services to young people in remote communities</w:t>
      </w:r>
    </w:p>
    <w:p w14:paraId="60D97413" w14:textId="77777777" w:rsidR="00BB2CB4" w:rsidRDefault="000674DA" w:rsidP="009C4A6A">
      <w:pPr>
        <w:pStyle w:val="Bullet"/>
        <w:spacing w:before="100" w:after="100"/>
      </w:pPr>
      <w:r>
        <w:t>$30.1 million over three years from 2025–‍26 to support Australians through prevention and early intervention activities, including:</w:t>
      </w:r>
    </w:p>
    <w:p w14:paraId="1146EFB2" w14:textId="77777777" w:rsidR="00BB2CB4" w:rsidRDefault="000674DA" w:rsidP="009C4A6A">
      <w:pPr>
        <w:pStyle w:val="Dash"/>
        <w:spacing w:before="100" w:after="100"/>
      </w:pPr>
      <w:r>
        <w:t>$22.2 million over two years from 2026–‍27 to continue supporting child mental health and social and emotional wellbeing through universal access to evidence‑based parenting education</w:t>
      </w:r>
    </w:p>
    <w:p w14:paraId="69663DA1" w14:textId="77777777" w:rsidR="00BB2CB4" w:rsidRDefault="000674DA" w:rsidP="009C4A6A">
      <w:pPr>
        <w:pStyle w:val="Dash"/>
        <w:spacing w:before="100" w:after="100"/>
      </w:pPr>
      <w:r>
        <w:t>$7.2 million in 2025–‍26 to promote and raise awareness of Medicare Mental Health services through a national communication campaign</w:t>
      </w:r>
    </w:p>
    <w:p w14:paraId="12572BA6" w14:textId="77777777" w:rsidR="00BB2CB4" w:rsidRDefault="000674DA" w:rsidP="009C4A6A">
      <w:pPr>
        <w:pStyle w:val="Dash"/>
        <w:spacing w:before="100" w:after="100"/>
      </w:pPr>
      <w:r>
        <w:t>$0.6 million in 2026–‍27 to continue supporting perinatal mental health screening across public antenatal and postnatal care settings</w:t>
      </w:r>
    </w:p>
    <w:p w14:paraId="353230D5" w14:textId="77777777" w:rsidR="00BB2CB4" w:rsidRDefault="000674DA" w:rsidP="009C4A6A">
      <w:pPr>
        <w:pStyle w:val="Bullet"/>
        <w:spacing w:before="100" w:after="100"/>
      </w:pPr>
      <w:r>
        <w:t>$26.6 million over three years from 2025–‍26 to strengthen and support the mental health workforce, including:</w:t>
      </w:r>
    </w:p>
    <w:p w14:paraId="618837B0" w14:textId="77777777" w:rsidR="00BB2CB4" w:rsidRDefault="000674DA" w:rsidP="009C4A6A">
      <w:pPr>
        <w:pStyle w:val="Dash"/>
        <w:keepLines w:val="0"/>
        <w:spacing w:before="100" w:after="100"/>
        <w:ind w:left="568"/>
      </w:pPr>
      <w:r>
        <w:t>$9.4 million over two years from 2026–‍27 to continue enhancing mental health capabilities of the broader health workforce through training, resources and professional development materials</w:t>
      </w:r>
    </w:p>
    <w:p w14:paraId="41CD52C0" w14:textId="1D02488E" w:rsidR="00BB2CB4" w:rsidRDefault="000674DA" w:rsidP="009C4A6A">
      <w:pPr>
        <w:pStyle w:val="Dash"/>
        <w:keepLines w:val="0"/>
        <w:spacing w:before="100" w:after="100"/>
        <w:ind w:left="568"/>
      </w:pPr>
      <w:r>
        <w:t>$5.3 million over two years from 2026–‍27 to raise awareness and the knowledge of health practitioners about digital mental health services, and support a digital‑first mental health solution for Australian healthcare workers through e‑Mental Health in</w:t>
      </w:r>
      <w:r w:rsidR="009C4A6A">
        <w:t> </w:t>
      </w:r>
      <w:r>
        <w:t>Practice</w:t>
      </w:r>
    </w:p>
    <w:p w14:paraId="7CEC543B" w14:textId="77777777" w:rsidR="00BB2CB4" w:rsidRDefault="000674DA">
      <w:pPr>
        <w:pStyle w:val="Dash"/>
      </w:pPr>
      <w:r>
        <w:lastRenderedPageBreak/>
        <w:t>$2.9 million over two years from 2025–‍26 to continue supporting two independent national mental health lived experience peak bodies to advise on mental health policies and programs and to support lived experience research</w:t>
      </w:r>
    </w:p>
    <w:p w14:paraId="11685C63" w14:textId="77777777" w:rsidR="00BB2CB4" w:rsidRDefault="000674DA">
      <w:pPr>
        <w:pStyle w:val="Dash"/>
      </w:pPr>
      <w:r>
        <w:t>$2.4 million in 2026–‍27 to continue supporting general practitioners (GP) to link with psychiatrists who provide telehealth consultations through the national GP Psychiatry Support Line</w:t>
      </w:r>
    </w:p>
    <w:p w14:paraId="6BAD0CAA" w14:textId="77777777" w:rsidR="00BB2CB4" w:rsidRDefault="000674DA">
      <w:pPr>
        <w:pStyle w:val="Dash"/>
      </w:pPr>
      <w:r>
        <w:t>$2.4 million over two years from 2025–‍26 to Mental Health Australia to continue its activities as the mental health peak body</w:t>
      </w:r>
    </w:p>
    <w:p w14:paraId="68CBD9A1" w14:textId="77777777" w:rsidR="00BB2CB4" w:rsidRDefault="000674DA">
      <w:pPr>
        <w:pStyle w:val="Dash"/>
      </w:pPr>
      <w:r>
        <w:t>$2.0 million over two years from 2026–‍27 to continue supporting a digital‑first mental health solution for Australian healthcare professionals through The Essential Network</w:t>
      </w:r>
    </w:p>
    <w:p w14:paraId="6F68E9B3" w14:textId="77777777" w:rsidR="00BB2CB4" w:rsidRDefault="000674DA">
      <w:pPr>
        <w:pStyle w:val="Dash"/>
      </w:pPr>
      <w:r>
        <w:t>$0.6 million over two years from 2026–‍27 to continue delivery of confidential mental health support services for doctors and medical students in Australia through Drs4Drs</w:t>
      </w:r>
    </w:p>
    <w:p w14:paraId="26DA6DAB" w14:textId="77777777" w:rsidR="00BB2CB4" w:rsidRDefault="000674DA">
      <w:pPr>
        <w:pStyle w:val="Dash"/>
      </w:pPr>
      <w:r>
        <w:t>$0.6 million over two years from 2026–‍27 to continue supporting confidential peer support for health professionals from peers in similar disciplines</w:t>
      </w:r>
    </w:p>
    <w:p w14:paraId="24ADF37E" w14:textId="77777777" w:rsidR="00BB2CB4" w:rsidRDefault="000674DA">
      <w:pPr>
        <w:pStyle w:val="Dash"/>
      </w:pPr>
      <w:r>
        <w:t>$0.5 million in 2026–‍27 to continue supporting lived experience capacity building and research through mental health consumer and carer advocacy activities</w:t>
      </w:r>
    </w:p>
    <w:p w14:paraId="4062EF5B" w14:textId="77777777" w:rsidR="00BB2CB4" w:rsidRDefault="000674DA">
      <w:pPr>
        <w:pStyle w:val="Dash"/>
      </w:pPr>
      <w:r>
        <w:t>$0.4 million over two years from 2026–‍27 to continue supporting the annual mental health services conference</w:t>
      </w:r>
    </w:p>
    <w:p w14:paraId="2E8553F2" w14:textId="77777777" w:rsidR="00BB2CB4" w:rsidRDefault="000674DA">
      <w:pPr>
        <w:pStyle w:val="Bullet"/>
      </w:pPr>
      <w:r>
        <w:t>$26.0 million over three years from 2025–‍26 to support the needs of people with eating disorders and their carers, including:</w:t>
      </w:r>
    </w:p>
    <w:p w14:paraId="4BF2353E" w14:textId="77777777" w:rsidR="00BB2CB4" w:rsidRDefault="000674DA">
      <w:pPr>
        <w:pStyle w:val="Dash"/>
      </w:pPr>
      <w:r>
        <w:t>$13.1 million over two years from 2026–‍27 to extend a pilot program to identify innovative and evidence‑based models of care to best address the needs of people with eating disorders in community‑based settings</w:t>
      </w:r>
    </w:p>
    <w:p w14:paraId="25F16C8F" w14:textId="77777777" w:rsidR="00BB2CB4" w:rsidRDefault="000674DA">
      <w:pPr>
        <w:pStyle w:val="Dash"/>
      </w:pPr>
      <w:r>
        <w:t>$9.3 million over two years from 2026–‍27 to continue upskilling the mental health workforce in evidence‑based eating disorder interventions, and support the Australian Eating Disorders Research and Translation Centre</w:t>
      </w:r>
    </w:p>
    <w:p w14:paraId="39DE660B" w14:textId="77777777" w:rsidR="00BB2CB4" w:rsidRDefault="000674DA">
      <w:pPr>
        <w:pStyle w:val="Dash"/>
      </w:pPr>
      <w:r>
        <w:t>$2.2 million over two years from 2026–‍27 to the National Eating Disorders Collaboration to continue supporting a national platform which brings together information and resources that establish standards for the prevention and treatment of eating disorders</w:t>
      </w:r>
    </w:p>
    <w:p w14:paraId="23FD8166" w14:textId="77777777" w:rsidR="00BB2CB4" w:rsidRDefault="000674DA">
      <w:pPr>
        <w:pStyle w:val="Dash"/>
      </w:pPr>
      <w:r>
        <w:t>$0.8 million over two years from 2025–‍26 to enable the Australia &amp; New Zealand Academy for Eating Disorders to deliver the eating disorder credentialing system and a targeted public awareness campaign</w:t>
      </w:r>
    </w:p>
    <w:p w14:paraId="4F59F1E2" w14:textId="77777777" w:rsidR="00BB2CB4" w:rsidRDefault="000674DA">
      <w:pPr>
        <w:pStyle w:val="Dash"/>
      </w:pPr>
      <w:r>
        <w:t>$0.4 million over two years from 2026–‍27 to continue supporting school‑led programs to support positive body image in Australian primary schools</w:t>
      </w:r>
    </w:p>
    <w:p w14:paraId="48A13E0C" w14:textId="77777777" w:rsidR="00BB2CB4" w:rsidRDefault="000674DA">
      <w:pPr>
        <w:pStyle w:val="Dash"/>
      </w:pPr>
      <w:r>
        <w:t>$0.4 million over two years from 2026–‍27 to continue in‑person, phone and online services for unpaid carers of people with eating disorders across Australia</w:t>
      </w:r>
    </w:p>
    <w:p w14:paraId="6CD62F1E" w14:textId="77777777" w:rsidR="00BB2CB4" w:rsidRDefault="000674DA">
      <w:pPr>
        <w:pStyle w:val="Bullet"/>
      </w:pPr>
      <w:r>
        <w:lastRenderedPageBreak/>
        <w:t>$10.2 million over two years from 2026–‍27 to support the delivery of suicide prevention services, including:</w:t>
      </w:r>
    </w:p>
    <w:p w14:paraId="6FDA8D27" w14:textId="62D55728" w:rsidR="00BB2CB4" w:rsidRDefault="000674DA">
      <w:pPr>
        <w:pStyle w:val="Dash"/>
      </w:pPr>
      <w:r>
        <w:t xml:space="preserve">$6.4 million over two years from 2026–‍27 to continue supporting workplace‑based suicide prevention programs for </w:t>
      </w:r>
      <w:r w:rsidR="00222C32">
        <w:t>‘</w:t>
      </w:r>
      <w:r>
        <w:t xml:space="preserve">Fly </w:t>
      </w:r>
      <w:r w:rsidR="00E675EC">
        <w:t>I</w:t>
      </w:r>
      <w:r>
        <w:t>n Fly Out</w:t>
      </w:r>
      <w:r w:rsidR="00222C32">
        <w:t>’</w:t>
      </w:r>
      <w:r>
        <w:t xml:space="preserve"> and </w:t>
      </w:r>
      <w:r w:rsidR="00222C32">
        <w:t>‘</w:t>
      </w:r>
      <w:r>
        <w:t xml:space="preserve">Drive </w:t>
      </w:r>
      <w:r w:rsidR="00E675EC">
        <w:t>I</w:t>
      </w:r>
      <w:r>
        <w:t>n Drive Out</w:t>
      </w:r>
      <w:r w:rsidR="00222C32">
        <w:t>’</w:t>
      </w:r>
      <w:r>
        <w:t xml:space="preserve"> workers</w:t>
      </w:r>
    </w:p>
    <w:p w14:paraId="2E6609BB" w14:textId="77777777" w:rsidR="00BB2CB4" w:rsidRDefault="000674DA">
      <w:pPr>
        <w:pStyle w:val="Dash"/>
      </w:pPr>
      <w:r>
        <w:t>$2.4 million in 2026–‍27 to continue suicide prevention activities in schools</w:t>
      </w:r>
    </w:p>
    <w:p w14:paraId="1B900874" w14:textId="77777777" w:rsidR="00BB2CB4" w:rsidRDefault="000674DA">
      <w:pPr>
        <w:pStyle w:val="Dash"/>
      </w:pPr>
      <w:r>
        <w:t>$0.8 million in 2026–‍27 to expand an existing suicide prevention pilot program to include more non‑clinical, early intervention and suicide prevention services</w:t>
      </w:r>
    </w:p>
    <w:p w14:paraId="7FA1027C" w14:textId="77777777" w:rsidR="00BB2CB4" w:rsidRDefault="000674DA">
      <w:pPr>
        <w:pStyle w:val="Dash"/>
      </w:pPr>
      <w:r>
        <w:t>$0.6 million over two years from 2026–‍27 to continue supporting workplace‑based mental health suicide prevention programs for people in the manufacturing industry.</w:t>
      </w:r>
    </w:p>
    <w:p w14:paraId="5EE93FAA" w14:textId="2D7D7552" w:rsidR="00BB2CB4" w:rsidRDefault="000674DA">
      <w:pPr>
        <w:pStyle w:val="Normal2"/>
      </w:pPr>
      <w:r w:rsidRPr="69C11E82">
        <w:rPr>
          <w:lang w:val="en-US"/>
        </w:rPr>
        <w:t xml:space="preserve">The Government will achieve savings of $21.0 million over two years from 2027–‍28 (and $10.8 million per year ongoing) from efficiencies in delivering mental health support through the Primary Health Networks program. The savings from this measure will be redirected to other Government policy priorities in the Health, Disability and Ageing </w:t>
      </w:r>
      <w:r w:rsidR="00E675EC">
        <w:rPr>
          <w:lang w:val="en-US"/>
        </w:rPr>
        <w:t>p</w:t>
      </w:r>
      <w:r w:rsidRPr="69C11E82">
        <w:rPr>
          <w:lang w:val="en-US"/>
        </w:rPr>
        <w:t>ortfolio.</w:t>
      </w:r>
    </w:p>
    <w:p w14:paraId="353C36E6" w14:textId="77777777" w:rsidR="00BB2CB4" w:rsidRDefault="000674DA">
      <w:pPr>
        <w:pStyle w:val="Normal2"/>
      </w:pPr>
      <w:r w:rsidRPr="69C11E82">
        <w:rPr>
          <w:lang w:val="en-US"/>
        </w:rPr>
        <w:t>The Department of Health, Disability and Ageing will partially meet the cost of this measure from within existing resources.</w:t>
      </w:r>
    </w:p>
    <w:p w14:paraId="6212DCBC" w14:textId="0CF66B34" w:rsidR="00BB2CB4" w:rsidRDefault="000674DA">
      <w:pPr>
        <w:pStyle w:val="Normal2"/>
      </w:pPr>
      <w:r>
        <w:t xml:space="preserve">This measure builds on the 2023–‍24 Budget measure titled </w:t>
      </w:r>
      <w:r w:rsidRPr="000674DA">
        <w:rPr>
          <w:i/>
        </w:rPr>
        <w:t>Mental Health</w:t>
      </w:r>
      <w:r>
        <w:t xml:space="preserve">, </w:t>
      </w:r>
      <w:r w:rsidR="00E675EC">
        <w:t xml:space="preserve">the </w:t>
      </w:r>
      <w:r>
        <w:t xml:space="preserve">2024–‍25 Budget measure titled </w:t>
      </w:r>
      <w:r w:rsidRPr="000674DA">
        <w:rPr>
          <w:i/>
        </w:rPr>
        <w:t>Mental Health</w:t>
      </w:r>
      <w:r>
        <w:t xml:space="preserve">, </w:t>
      </w:r>
      <w:r w:rsidR="00E675EC">
        <w:t xml:space="preserve">the </w:t>
      </w:r>
      <w:r>
        <w:t xml:space="preserve">2024–‍25 MYEFO measure titled </w:t>
      </w:r>
      <w:r w:rsidRPr="000674DA">
        <w:rPr>
          <w:i/>
        </w:rPr>
        <w:t>Strengthening Medicare</w:t>
      </w:r>
      <w:r>
        <w:t xml:space="preserve"> and the 2025–‍26 Budget measure titled </w:t>
      </w:r>
      <w:r w:rsidRPr="000674DA">
        <w:rPr>
          <w:i/>
        </w:rPr>
        <w:t>Supporting Australian Communities Affected by the Hamas‑Israel Conflict</w:t>
      </w:r>
      <w:r>
        <w:t>.</w:t>
      </w:r>
    </w:p>
    <w:p w14:paraId="08AB0792" w14:textId="77777777" w:rsidR="00BB2CB4" w:rsidRDefault="000674DA">
      <w:pPr>
        <w:pStyle w:val="MeasureTitle"/>
      </w:pPr>
      <w:r>
        <w:t>More Free Mental Health Services</w:t>
      </w:r>
    </w:p>
    <w:p w14:paraId="244E1567"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5D26B08" w14:textId="77777777" w:rsidTr="00825163">
        <w:trPr>
          <w:cantSplit/>
        </w:trPr>
        <w:tc>
          <w:tcPr>
            <w:tcW w:w="2501" w:type="dxa"/>
          </w:tcPr>
          <w:p w14:paraId="6297CE15" w14:textId="77777777" w:rsidR="00BB2CB4" w:rsidRPr="00222C32" w:rsidRDefault="00BB2CB4">
            <w:pPr>
              <w:pStyle w:val="MeasureTableYearHeadings"/>
              <w:keepNext/>
            </w:pPr>
          </w:p>
        </w:tc>
        <w:tc>
          <w:tcPr>
            <w:tcW w:w="1044" w:type="dxa"/>
          </w:tcPr>
          <w:p w14:paraId="74C9E846" w14:textId="77777777" w:rsidR="00BB2CB4" w:rsidRPr="00222C32" w:rsidRDefault="000674DA">
            <w:pPr>
              <w:pStyle w:val="MeasureTableYearHeadings"/>
              <w:keepNext/>
            </w:pPr>
            <w:r w:rsidRPr="00222C32">
              <w:t>2024-25</w:t>
            </w:r>
          </w:p>
        </w:tc>
        <w:tc>
          <w:tcPr>
            <w:tcW w:w="1044" w:type="dxa"/>
          </w:tcPr>
          <w:p w14:paraId="00E0ADCF" w14:textId="77777777" w:rsidR="00BB2CB4" w:rsidRPr="00222C32" w:rsidRDefault="000674DA">
            <w:pPr>
              <w:pStyle w:val="MeasureTableYearHeadings"/>
              <w:keepNext/>
            </w:pPr>
            <w:r w:rsidRPr="00222C32">
              <w:t>2025-26</w:t>
            </w:r>
          </w:p>
        </w:tc>
        <w:tc>
          <w:tcPr>
            <w:tcW w:w="1044" w:type="dxa"/>
          </w:tcPr>
          <w:p w14:paraId="467892B9" w14:textId="77777777" w:rsidR="00BB2CB4" w:rsidRPr="00222C32" w:rsidRDefault="000674DA">
            <w:pPr>
              <w:pStyle w:val="MeasureTableYearHeadings"/>
              <w:keepNext/>
            </w:pPr>
            <w:r w:rsidRPr="00222C32">
              <w:t>2026-27</w:t>
            </w:r>
          </w:p>
        </w:tc>
        <w:tc>
          <w:tcPr>
            <w:tcW w:w="1044" w:type="dxa"/>
          </w:tcPr>
          <w:p w14:paraId="1AA1A9B6" w14:textId="77777777" w:rsidR="00BB2CB4" w:rsidRPr="00222C32" w:rsidRDefault="000674DA">
            <w:pPr>
              <w:pStyle w:val="MeasureTableYearHeadings"/>
              <w:keepNext/>
            </w:pPr>
            <w:r w:rsidRPr="00222C32">
              <w:t>2027-28</w:t>
            </w:r>
          </w:p>
        </w:tc>
        <w:tc>
          <w:tcPr>
            <w:tcW w:w="1044" w:type="dxa"/>
          </w:tcPr>
          <w:p w14:paraId="46F87CA4" w14:textId="77777777" w:rsidR="00BB2CB4" w:rsidRPr="00222C32" w:rsidRDefault="000674DA">
            <w:pPr>
              <w:pStyle w:val="MeasureTableYearHeadings"/>
              <w:keepNext/>
            </w:pPr>
            <w:r w:rsidRPr="00222C32">
              <w:t>2028-29</w:t>
            </w:r>
          </w:p>
        </w:tc>
      </w:tr>
      <w:tr w:rsidR="00BB2CB4" w:rsidRPr="00222C32" w14:paraId="146A7706" w14:textId="77777777" w:rsidTr="00825163">
        <w:trPr>
          <w:cantSplit/>
        </w:trPr>
        <w:tc>
          <w:tcPr>
            <w:tcW w:w="2501" w:type="dxa"/>
          </w:tcPr>
          <w:p w14:paraId="3460E860" w14:textId="77777777" w:rsidR="00BB2CB4" w:rsidRPr="00222C32" w:rsidRDefault="000674DA">
            <w:pPr>
              <w:pStyle w:val="MeasureTableHeadingleftalignedwith2ptsspacing"/>
              <w:keepNext/>
            </w:pPr>
            <w:r w:rsidRPr="00222C32">
              <w:t>Department of Health, Disability and Ageing</w:t>
            </w:r>
          </w:p>
        </w:tc>
        <w:tc>
          <w:tcPr>
            <w:tcW w:w="1044" w:type="dxa"/>
          </w:tcPr>
          <w:p w14:paraId="04BF75E2" w14:textId="77777777" w:rsidR="00BB2CB4" w:rsidRPr="00222C32" w:rsidRDefault="000674DA">
            <w:pPr>
              <w:pStyle w:val="MeasureTableDataRightAlignedwith2ptsspacing"/>
              <w:keepNext/>
            </w:pPr>
            <w:r w:rsidRPr="00222C32">
              <w:t>-</w:t>
            </w:r>
          </w:p>
        </w:tc>
        <w:tc>
          <w:tcPr>
            <w:tcW w:w="1044" w:type="dxa"/>
          </w:tcPr>
          <w:p w14:paraId="401A0BC2" w14:textId="77777777" w:rsidR="00BB2CB4" w:rsidRPr="00222C32" w:rsidRDefault="000674DA">
            <w:pPr>
              <w:pStyle w:val="MeasureTableDataRightAlignedwith2ptsspacing"/>
              <w:keepNext/>
            </w:pPr>
            <w:r w:rsidRPr="00222C32">
              <w:t>25.0</w:t>
            </w:r>
          </w:p>
        </w:tc>
        <w:tc>
          <w:tcPr>
            <w:tcW w:w="1044" w:type="dxa"/>
          </w:tcPr>
          <w:p w14:paraId="4241F535" w14:textId="77777777" w:rsidR="00BB2CB4" w:rsidRPr="00222C32" w:rsidRDefault="000674DA">
            <w:pPr>
              <w:pStyle w:val="MeasureTableDataRightAlignedwith2ptsspacing"/>
              <w:keepNext/>
            </w:pPr>
            <w:r w:rsidRPr="00222C32">
              <w:t>228.3</w:t>
            </w:r>
          </w:p>
        </w:tc>
        <w:tc>
          <w:tcPr>
            <w:tcW w:w="1044" w:type="dxa"/>
          </w:tcPr>
          <w:p w14:paraId="7768C306" w14:textId="77777777" w:rsidR="00BB2CB4" w:rsidRPr="00222C32" w:rsidRDefault="000674DA">
            <w:pPr>
              <w:pStyle w:val="MeasureTableDataRightAlignedwith2ptsspacing"/>
              <w:keepNext/>
            </w:pPr>
            <w:r w:rsidRPr="00222C32">
              <w:t>363.0</w:t>
            </w:r>
          </w:p>
        </w:tc>
        <w:tc>
          <w:tcPr>
            <w:tcW w:w="1044" w:type="dxa"/>
          </w:tcPr>
          <w:p w14:paraId="090EB60B" w14:textId="77777777" w:rsidR="00BB2CB4" w:rsidRPr="00222C32" w:rsidRDefault="000674DA">
            <w:pPr>
              <w:pStyle w:val="MeasureTableDataRightAlignedwith2ptsspacing"/>
              <w:keepNext/>
            </w:pPr>
            <w:r w:rsidRPr="00222C32">
              <w:t>507.8</w:t>
            </w:r>
          </w:p>
        </w:tc>
      </w:tr>
      <w:tr w:rsidR="00BB2CB4" w:rsidRPr="00222C32" w14:paraId="2AF58D8E" w14:textId="77777777" w:rsidTr="00825163">
        <w:trPr>
          <w:cantSplit/>
        </w:trPr>
        <w:tc>
          <w:tcPr>
            <w:tcW w:w="2501" w:type="dxa"/>
          </w:tcPr>
          <w:p w14:paraId="5364EF67" w14:textId="410A91D2"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Pr>
          <w:p w14:paraId="62413488" w14:textId="77777777" w:rsidR="00BB2CB4" w:rsidRPr="00222C32" w:rsidRDefault="000674DA">
            <w:pPr>
              <w:pStyle w:val="MeasureTableDataRightAlignedwith2ptsspacing"/>
              <w:keepNext/>
            </w:pPr>
            <w:r w:rsidRPr="00222C32">
              <w:t>-</w:t>
            </w:r>
          </w:p>
        </w:tc>
        <w:tc>
          <w:tcPr>
            <w:tcW w:w="1044" w:type="dxa"/>
          </w:tcPr>
          <w:p w14:paraId="7A8937BE" w14:textId="77777777" w:rsidR="00BB2CB4" w:rsidRPr="00222C32" w:rsidRDefault="000674DA">
            <w:pPr>
              <w:pStyle w:val="MeasureTableDataRightAlignedwith2ptsspacing"/>
              <w:keepNext/>
            </w:pPr>
            <w:r w:rsidRPr="00222C32">
              <w:t>-</w:t>
            </w:r>
          </w:p>
        </w:tc>
        <w:tc>
          <w:tcPr>
            <w:tcW w:w="1044" w:type="dxa"/>
          </w:tcPr>
          <w:p w14:paraId="7D2C7B44" w14:textId="77777777" w:rsidR="00BB2CB4" w:rsidRPr="00222C32" w:rsidRDefault="000674DA">
            <w:pPr>
              <w:pStyle w:val="MeasureTableDataRightAlignedwith2ptsspacing"/>
              <w:keepNext/>
            </w:pPr>
            <w:r w:rsidRPr="00222C32">
              <w:t>..</w:t>
            </w:r>
          </w:p>
        </w:tc>
        <w:tc>
          <w:tcPr>
            <w:tcW w:w="1044" w:type="dxa"/>
          </w:tcPr>
          <w:p w14:paraId="2E81DAA9" w14:textId="77777777" w:rsidR="00BB2CB4" w:rsidRPr="00222C32" w:rsidRDefault="000674DA">
            <w:pPr>
              <w:pStyle w:val="MeasureTableDataRightAlignedwith2ptsspacing"/>
              <w:keepNext/>
            </w:pPr>
            <w:r w:rsidRPr="00222C32">
              <w:t>..</w:t>
            </w:r>
          </w:p>
        </w:tc>
        <w:tc>
          <w:tcPr>
            <w:tcW w:w="1044" w:type="dxa"/>
          </w:tcPr>
          <w:p w14:paraId="46AE6215" w14:textId="77777777" w:rsidR="00BB2CB4" w:rsidRPr="00222C32" w:rsidRDefault="000674DA">
            <w:pPr>
              <w:pStyle w:val="MeasureTableDataRightAlignedwith2ptsspacing"/>
              <w:keepNext/>
            </w:pPr>
            <w:r w:rsidRPr="00222C32">
              <w:t>..</w:t>
            </w:r>
          </w:p>
        </w:tc>
      </w:tr>
      <w:tr w:rsidR="00BB2CB4" w:rsidRPr="00222C32" w14:paraId="7FB56579" w14:textId="77777777" w:rsidTr="00825163">
        <w:trPr>
          <w:cantSplit/>
        </w:trPr>
        <w:tc>
          <w:tcPr>
            <w:tcW w:w="2501" w:type="dxa"/>
          </w:tcPr>
          <w:p w14:paraId="294456D5" w14:textId="77777777" w:rsidR="00BB2CB4" w:rsidRPr="00222C32" w:rsidRDefault="000674DA">
            <w:pPr>
              <w:pStyle w:val="MeasureTableHeadingleftalignedwith2ptsspacing"/>
              <w:keepNext/>
            </w:pPr>
            <w:r w:rsidRPr="00222C32">
              <w:t>Services Australia</w:t>
            </w:r>
          </w:p>
        </w:tc>
        <w:tc>
          <w:tcPr>
            <w:tcW w:w="1044" w:type="dxa"/>
          </w:tcPr>
          <w:p w14:paraId="3DC3DF7A" w14:textId="77777777" w:rsidR="00BB2CB4" w:rsidRPr="00222C32" w:rsidRDefault="000674DA">
            <w:pPr>
              <w:pStyle w:val="MeasureTableDataRightAlignedwith2ptsspacing"/>
              <w:keepNext/>
            </w:pPr>
            <w:r w:rsidRPr="00222C32">
              <w:t>-</w:t>
            </w:r>
          </w:p>
        </w:tc>
        <w:tc>
          <w:tcPr>
            <w:tcW w:w="1044" w:type="dxa"/>
          </w:tcPr>
          <w:p w14:paraId="1E612AB5" w14:textId="77777777" w:rsidR="00BB2CB4" w:rsidRPr="00222C32" w:rsidRDefault="000674DA">
            <w:pPr>
              <w:pStyle w:val="MeasureTableDataRightAlignedwith2ptsspacing"/>
              <w:keepNext/>
            </w:pPr>
            <w:r w:rsidRPr="00222C32">
              <w:t>-</w:t>
            </w:r>
          </w:p>
        </w:tc>
        <w:tc>
          <w:tcPr>
            <w:tcW w:w="1044" w:type="dxa"/>
          </w:tcPr>
          <w:p w14:paraId="10B01E00" w14:textId="77777777" w:rsidR="00BB2CB4" w:rsidRPr="00222C32" w:rsidRDefault="000674DA">
            <w:pPr>
              <w:pStyle w:val="MeasureTableDataRightAlignedwith2ptsspacing"/>
              <w:keepNext/>
            </w:pPr>
            <w:r w:rsidRPr="00222C32">
              <w:t>..</w:t>
            </w:r>
          </w:p>
        </w:tc>
        <w:tc>
          <w:tcPr>
            <w:tcW w:w="1044" w:type="dxa"/>
          </w:tcPr>
          <w:p w14:paraId="4F7B9AF9" w14:textId="77777777" w:rsidR="00BB2CB4" w:rsidRPr="00222C32" w:rsidRDefault="000674DA">
            <w:pPr>
              <w:pStyle w:val="MeasureTableDataRightAlignedwith2ptsspacing"/>
              <w:keepNext/>
            </w:pPr>
            <w:r w:rsidRPr="00222C32">
              <w:t>..</w:t>
            </w:r>
          </w:p>
        </w:tc>
        <w:tc>
          <w:tcPr>
            <w:tcW w:w="1044" w:type="dxa"/>
          </w:tcPr>
          <w:p w14:paraId="53F52C68" w14:textId="77777777" w:rsidR="00BB2CB4" w:rsidRPr="00222C32" w:rsidRDefault="000674DA">
            <w:pPr>
              <w:pStyle w:val="MeasureTableDataRightAlignedwith2ptsspacing"/>
              <w:keepNext/>
            </w:pPr>
            <w:r w:rsidRPr="00222C32">
              <w:t>..</w:t>
            </w:r>
          </w:p>
        </w:tc>
      </w:tr>
      <w:tr w:rsidR="00BB2CB4" w:rsidRPr="00222C32" w14:paraId="122665FF" w14:textId="77777777" w:rsidTr="00825163">
        <w:trPr>
          <w:cantSplit/>
        </w:trPr>
        <w:tc>
          <w:tcPr>
            <w:tcW w:w="2501" w:type="dxa"/>
          </w:tcPr>
          <w:p w14:paraId="6D02CF09" w14:textId="77777777" w:rsidR="00BB2CB4" w:rsidRPr="00222C32" w:rsidRDefault="000674DA">
            <w:pPr>
              <w:pStyle w:val="Totalrowleftaligned"/>
              <w:keepNext/>
            </w:pPr>
            <w:r w:rsidRPr="00222C32">
              <w:t>Total – Payments</w:t>
            </w:r>
          </w:p>
        </w:tc>
        <w:tc>
          <w:tcPr>
            <w:tcW w:w="1044" w:type="dxa"/>
          </w:tcPr>
          <w:p w14:paraId="1FCD84AE" w14:textId="77777777" w:rsidR="00BB2CB4" w:rsidRPr="00222C32" w:rsidRDefault="000674DA">
            <w:pPr>
              <w:pStyle w:val="Totaldatarowrightaligned"/>
              <w:keepNext/>
            </w:pPr>
            <w:r w:rsidRPr="00222C32">
              <w:t>-</w:t>
            </w:r>
          </w:p>
        </w:tc>
        <w:tc>
          <w:tcPr>
            <w:tcW w:w="1044" w:type="dxa"/>
          </w:tcPr>
          <w:p w14:paraId="2A67DD28" w14:textId="77777777" w:rsidR="00BB2CB4" w:rsidRPr="00222C32" w:rsidRDefault="000674DA">
            <w:pPr>
              <w:pStyle w:val="Totaldatarowrightaligned"/>
              <w:keepNext/>
            </w:pPr>
            <w:r w:rsidRPr="00222C32">
              <w:t>25.0</w:t>
            </w:r>
          </w:p>
        </w:tc>
        <w:tc>
          <w:tcPr>
            <w:tcW w:w="1044" w:type="dxa"/>
          </w:tcPr>
          <w:p w14:paraId="6D9C081E" w14:textId="77777777" w:rsidR="00BB2CB4" w:rsidRPr="00222C32" w:rsidRDefault="000674DA">
            <w:pPr>
              <w:pStyle w:val="Totaldatarowrightaligned"/>
              <w:keepNext/>
            </w:pPr>
            <w:r w:rsidRPr="00222C32">
              <w:t>228.3</w:t>
            </w:r>
          </w:p>
        </w:tc>
        <w:tc>
          <w:tcPr>
            <w:tcW w:w="1044" w:type="dxa"/>
          </w:tcPr>
          <w:p w14:paraId="15F056C5" w14:textId="77777777" w:rsidR="00BB2CB4" w:rsidRPr="00222C32" w:rsidRDefault="000674DA">
            <w:pPr>
              <w:pStyle w:val="Totaldatarowrightaligned"/>
              <w:keepNext/>
            </w:pPr>
            <w:r w:rsidRPr="00222C32">
              <w:t>363.0</w:t>
            </w:r>
          </w:p>
        </w:tc>
        <w:tc>
          <w:tcPr>
            <w:tcW w:w="1044" w:type="dxa"/>
          </w:tcPr>
          <w:p w14:paraId="403D7E63" w14:textId="77777777" w:rsidR="00BB2CB4" w:rsidRPr="00222C32" w:rsidRDefault="000674DA">
            <w:pPr>
              <w:pStyle w:val="Totaldatarowrightaligned"/>
              <w:keepNext/>
            </w:pPr>
            <w:r w:rsidRPr="00222C32">
              <w:t>507.9</w:t>
            </w:r>
          </w:p>
        </w:tc>
      </w:tr>
    </w:tbl>
    <w:p w14:paraId="7CC66EC4" w14:textId="77777777" w:rsidR="003F3E11" w:rsidRDefault="003F3E11" w:rsidP="003F3E11">
      <w:pPr>
        <w:pStyle w:val="SingleParagraph"/>
      </w:pPr>
    </w:p>
    <w:p w14:paraId="01A8DAB1" w14:textId="77777777" w:rsidR="00BB2CB4" w:rsidRDefault="000674DA">
      <w:pPr>
        <w:pStyle w:val="Normal2"/>
      </w:pPr>
      <w:r w:rsidRPr="42F5CE43">
        <w:rPr>
          <w:lang w:val="en-US"/>
        </w:rPr>
        <w:t>The Government will provide $1.1 billion over four years from 2025–‍26 to provide more free mental health services and to grow the mental health workforce. Funding includes:</w:t>
      </w:r>
    </w:p>
    <w:p w14:paraId="45DA5DD7" w14:textId="77777777" w:rsidR="00BB2CB4" w:rsidRDefault="000674DA">
      <w:pPr>
        <w:pStyle w:val="Bullet"/>
      </w:pPr>
      <w:r>
        <w:t>$490.3 million over four years from 2025–‍26 (and $296.9 million per year ongoing) for 20 new and upgraded Youth Specialist Care Centres to provide ongoing and intensive care services, outside a hospital, for young people with complex mental health illness</w:t>
      </w:r>
    </w:p>
    <w:p w14:paraId="654EDB05" w14:textId="77777777" w:rsidR="00BB2CB4" w:rsidRDefault="000674DA">
      <w:pPr>
        <w:pStyle w:val="Bullet"/>
      </w:pPr>
      <w:r>
        <w:t>$267.3 million over four years from 2025–‍26 (and $132.0 million per year ongoing) to establish 32 new and upgraded Medicare Mental Health Centres to expand access to free mental health support for all Australians</w:t>
      </w:r>
    </w:p>
    <w:p w14:paraId="1D3532EC" w14:textId="77777777" w:rsidR="00BB2CB4" w:rsidRDefault="000674DA">
      <w:pPr>
        <w:pStyle w:val="Bullet"/>
      </w:pPr>
      <w:r>
        <w:lastRenderedPageBreak/>
        <w:t>$225.3 million over four years from 2025–‍26 (and $24.6 million per year ongoing) to establish 58 new, upgraded or expanded headspace services to provide community‑based services for young people who have, or are at risk of, mental illness</w:t>
      </w:r>
    </w:p>
    <w:p w14:paraId="1CEF54FD" w14:textId="77777777" w:rsidR="00BB2CB4" w:rsidRDefault="000674DA">
      <w:pPr>
        <w:pStyle w:val="Bullet"/>
      </w:pPr>
      <w:r>
        <w:t>$83.9 million over four years from 2025–‍26 to provide additional training places for mental health professionals and peer workers, including internships for eligible provisional psychologists, placements for peer work students in mental health and suicide prevention services, scholarships for the Certificate of Postgraduate Training in Clinical Psychiatry, and psychiatry training places</w:t>
      </w:r>
    </w:p>
    <w:p w14:paraId="249C2BCE" w14:textId="77777777" w:rsidR="00BB2CB4" w:rsidRDefault="000674DA">
      <w:pPr>
        <w:pStyle w:val="Bullet"/>
      </w:pPr>
      <w:r>
        <w:t>$43.3 million over four years from 2025–‍26 to continue support for the National Centre of Excellence in Youth Mental Health and for an evaluation</w:t>
      </w:r>
    </w:p>
    <w:p w14:paraId="164932AA" w14:textId="77777777" w:rsidR="00BB2CB4" w:rsidRDefault="000674DA">
      <w:pPr>
        <w:pStyle w:val="Bullet"/>
      </w:pPr>
      <w:r>
        <w:t>$13.0 million over four years from 2025–‍26 (and $5.1 million per year ongoing) to establish eight new Perinatal Mental Health Centres across Australia to provide psychological counselling services to new and expectant parents</w:t>
      </w:r>
    </w:p>
    <w:p w14:paraId="11295969" w14:textId="77777777" w:rsidR="00BB2CB4" w:rsidRDefault="000674DA">
      <w:pPr>
        <w:pStyle w:val="Bullet"/>
      </w:pPr>
      <w:r>
        <w:t>$3.7 million over two years from 2025–‍26 for the Embrace Kids program to reduce the prevalence of eating disorders in young people.</w:t>
      </w:r>
    </w:p>
    <w:p w14:paraId="7A57C6B7" w14:textId="77777777" w:rsidR="00BB2CB4" w:rsidRDefault="000674DA">
      <w:pPr>
        <w:pStyle w:val="Normal2"/>
      </w:pPr>
      <w:r w:rsidRPr="69C11E82">
        <w:rPr>
          <w:lang w:val="en-US"/>
        </w:rPr>
        <w:t>The Department of Health, Disability and Ageing will partially meet the cost of this measure from within existing resources.</w:t>
      </w:r>
    </w:p>
    <w:p w14:paraId="146F55D1" w14:textId="77777777" w:rsidR="00BB2CB4" w:rsidRDefault="000674DA">
      <w:pPr>
        <w:pStyle w:val="Normal2"/>
      </w:pPr>
      <w:r>
        <w:t xml:space="preserve">This measure builds on the 2022–‍23 October Budget measure titled </w:t>
      </w:r>
      <w:r w:rsidRPr="000674DA">
        <w:rPr>
          <w:i/>
        </w:rPr>
        <w:t>Mental Health</w:t>
      </w:r>
      <w:r>
        <w:t xml:space="preserve"> and the 2023–‍24 Budget measure titled </w:t>
      </w:r>
      <w:r w:rsidRPr="000674DA">
        <w:rPr>
          <w:i/>
        </w:rPr>
        <w:t>Mental Health</w:t>
      </w:r>
      <w:r>
        <w:t>.</w:t>
      </w:r>
    </w:p>
    <w:p w14:paraId="0E3BE5CE" w14:textId="4D89069F"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2AEBD020" w14:textId="77777777" w:rsidR="00BB2CB4" w:rsidRDefault="000674DA">
      <w:pPr>
        <w:pStyle w:val="MeasureTitle"/>
      </w:pPr>
      <w:r>
        <w:t>Pharmaceutical Benefits Scheme New and Amended Listings</w:t>
      </w:r>
    </w:p>
    <w:p w14:paraId="339C2F9F"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5F9992B" w14:textId="77777777" w:rsidTr="00825163">
        <w:tc>
          <w:tcPr>
            <w:tcW w:w="2501" w:type="dxa"/>
            <w:tcBorders>
              <w:top w:val="single" w:sz="4" w:space="0" w:color="293F5B"/>
              <w:bottom w:val="single" w:sz="4" w:space="0" w:color="293F5B"/>
            </w:tcBorders>
          </w:tcPr>
          <w:p w14:paraId="09DBB1F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C481ED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5D3CF1D"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9BD3712"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AF6757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C0564D2" w14:textId="77777777" w:rsidR="00BB2CB4" w:rsidRPr="00222C32" w:rsidRDefault="000674DA">
            <w:pPr>
              <w:pStyle w:val="MeasureTableYearHeadings"/>
              <w:keepNext/>
            </w:pPr>
            <w:r w:rsidRPr="00222C32">
              <w:t>2028-29</w:t>
            </w:r>
          </w:p>
        </w:tc>
      </w:tr>
      <w:tr w:rsidR="00BB2CB4" w:rsidRPr="00222C32" w14:paraId="7197216A" w14:textId="77777777" w:rsidTr="00825163">
        <w:tc>
          <w:tcPr>
            <w:tcW w:w="2501" w:type="dxa"/>
            <w:tcBorders>
              <w:top w:val="single" w:sz="4" w:space="0" w:color="293F5B"/>
              <w:bottom w:val="single" w:sz="4" w:space="0" w:color="293F5B"/>
            </w:tcBorders>
          </w:tcPr>
          <w:p w14:paraId="4375C809"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1887CAB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780F2B" w14:textId="77777777" w:rsidR="00BB2CB4" w:rsidRPr="00222C32" w:rsidRDefault="000674DA">
            <w:pPr>
              <w:pStyle w:val="MeasureTableDataRightAlignedwith2ptsspacing"/>
              <w:keepNext/>
            </w:pPr>
            <w:r w:rsidRPr="00222C32">
              <w:t>280.9</w:t>
            </w:r>
          </w:p>
        </w:tc>
        <w:tc>
          <w:tcPr>
            <w:tcW w:w="1044" w:type="dxa"/>
            <w:tcBorders>
              <w:top w:val="single" w:sz="4" w:space="0" w:color="293F5B"/>
              <w:bottom w:val="single" w:sz="4" w:space="0" w:color="293F5B"/>
            </w:tcBorders>
          </w:tcPr>
          <w:p w14:paraId="14EAABCE" w14:textId="77777777" w:rsidR="00BB2CB4" w:rsidRPr="00222C32" w:rsidRDefault="000674DA">
            <w:pPr>
              <w:pStyle w:val="MeasureTableDataRightAlignedwith2ptsspacing"/>
              <w:keepNext/>
            </w:pPr>
            <w:r w:rsidRPr="00222C32">
              <w:t>406.7</w:t>
            </w:r>
          </w:p>
        </w:tc>
        <w:tc>
          <w:tcPr>
            <w:tcW w:w="1044" w:type="dxa"/>
            <w:tcBorders>
              <w:top w:val="single" w:sz="4" w:space="0" w:color="293F5B"/>
              <w:bottom w:val="single" w:sz="4" w:space="0" w:color="293F5B"/>
            </w:tcBorders>
          </w:tcPr>
          <w:p w14:paraId="09CDC6BF" w14:textId="77777777" w:rsidR="00BB2CB4" w:rsidRPr="00222C32" w:rsidRDefault="000674DA">
            <w:pPr>
              <w:pStyle w:val="MeasureTableDataRightAlignedwith2ptsspacing"/>
              <w:keepNext/>
            </w:pPr>
            <w:r w:rsidRPr="00222C32">
              <w:t>509.1</w:t>
            </w:r>
          </w:p>
        </w:tc>
        <w:tc>
          <w:tcPr>
            <w:tcW w:w="1044" w:type="dxa"/>
            <w:tcBorders>
              <w:top w:val="single" w:sz="4" w:space="0" w:color="293F5B"/>
              <w:bottom w:val="single" w:sz="4" w:space="0" w:color="293F5B"/>
            </w:tcBorders>
          </w:tcPr>
          <w:p w14:paraId="364E36C0" w14:textId="77777777" w:rsidR="00BB2CB4" w:rsidRPr="00222C32" w:rsidRDefault="000674DA">
            <w:pPr>
              <w:pStyle w:val="MeasureTableDataRightAlignedwith2ptsspacing"/>
              <w:keepNext/>
            </w:pPr>
            <w:r w:rsidRPr="00222C32">
              <w:t>610.3</w:t>
            </w:r>
          </w:p>
        </w:tc>
      </w:tr>
      <w:tr w:rsidR="00BB2CB4" w:rsidRPr="00222C32" w14:paraId="23A05E98" w14:textId="77777777" w:rsidTr="00825163">
        <w:tc>
          <w:tcPr>
            <w:tcW w:w="2501" w:type="dxa"/>
            <w:tcBorders>
              <w:top w:val="single" w:sz="4" w:space="0" w:color="293F5B"/>
              <w:bottom w:val="single" w:sz="4" w:space="0" w:color="293F5B"/>
            </w:tcBorders>
          </w:tcPr>
          <w:p w14:paraId="4DE9CC27" w14:textId="1CCFD9BB" w:rsidR="00BB2CB4" w:rsidRPr="00222C32" w:rsidRDefault="000674DA">
            <w:pPr>
              <w:pStyle w:val="MeasureTableHeadingleftalignedwith2ptsspacing"/>
              <w:keepNext/>
            </w:pPr>
            <w:r w:rsidRPr="00222C32">
              <w:t>Department of Veterans</w:t>
            </w:r>
            <w:r w:rsidR="007974EF">
              <w:t>’</w:t>
            </w:r>
            <w:r w:rsidRPr="00222C32">
              <w:t xml:space="preserve"> Affairs</w:t>
            </w:r>
          </w:p>
        </w:tc>
        <w:tc>
          <w:tcPr>
            <w:tcW w:w="1044" w:type="dxa"/>
            <w:tcBorders>
              <w:top w:val="single" w:sz="4" w:space="0" w:color="293F5B"/>
              <w:bottom w:val="single" w:sz="4" w:space="0" w:color="293F5B"/>
            </w:tcBorders>
          </w:tcPr>
          <w:p w14:paraId="1D49DCB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5A45B0D" w14:textId="77777777" w:rsidR="00BB2CB4" w:rsidRPr="00222C32" w:rsidRDefault="000674DA">
            <w:pPr>
              <w:pStyle w:val="MeasureTableDataRightAlignedwith2ptsspacing"/>
              <w:keepNext/>
            </w:pPr>
            <w:r w:rsidRPr="00222C32">
              <w:t>5.3</w:t>
            </w:r>
          </w:p>
        </w:tc>
        <w:tc>
          <w:tcPr>
            <w:tcW w:w="1044" w:type="dxa"/>
            <w:tcBorders>
              <w:top w:val="single" w:sz="4" w:space="0" w:color="293F5B"/>
              <w:bottom w:val="single" w:sz="4" w:space="0" w:color="293F5B"/>
            </w:tcBorders>
          </w:tcPr>
          <w:p w14:paraId="7D45D903" w14:textId="77777777" w:rsidR="00BB2CB4" w:rsidRPr="00222C32" w:rsidRDefault="000674DA">
            <w:pPr>
              <w:pStyle w:val="MeasureTableDataRightAlignedwith2ptsspacing"/>
              <w:keepNext/>
            </w:pPr>
            <w:r w:rsidRPr="00222C32">
              <w:t>9.0</w:t>
            </w:r>
          </w:p>
        </w:tc>
        <w:tc>
          <w:tcPr>
            <w:tcW w:w="1044" w:type="dxa"/>
            <w:tcBorders>
              <w:top w:val="single" w:sz="4" w:space="0" w:color="293F5B"/>
              <w:bottom w:val="single" w:sz="4" w:space="0" w:color="293F5B"/>
            </w:tcBorders>
          </w:tcPr>
          <w:p w14:paraId="7BA33961" w14:textId="77777777" w:rsidR="00BB2CB4" w:rsidRPr="00222C32" w:rsidRDefault="000674DA">
            <w:pPr>
              <w:pStyle w:val="MeasureTableDataRightAlignedwith2ptsspacing"/>
              <w:keepNext/>
            </w:pPr>
            <w:r w:rsidRPr="00222C32">
              <w:t>11.1</w:t>
            </w:r>
          </w:p>
        </w:tc>
        <w:tc>
          <w:tcPr>
            <w:tcW w:w="1044" w:type="dxa"/>
            <w:tcBorders>
              <w:top w:val="single" w:sz="4" w:space="0" w:color="293F5B"/>
              <w:bottom w:val="single" w:sz="4" w:space="0" w:color="293F5B"/>
            </w:tcBorders>
          </w:tcPr>
          <w:p w14:paraId="3FDD30A7" w14:textId="77777777" w:rsidR="00BB2CB4" w:rsidRPr="00222C32" w:rsidRDefault="000674DA">
            <w:pPr>
              <w:pStyle w:val="MeasureTableDataRightAlignedwith2ptsspacing"/>
              <w:keepNext/>
            </w:pPr>
            <w:r w:rsidRPr="00222C32">
              <w:t>13.0</w:t>
            </w:r>
          </w:p>
        </w:tc>
      </w:tr>
      <w:tr w:rsidR="00BB2CB4" w:rsidRPr="00222C32" w14:paraId="7171E3B0" w14:textId="77777777" w:rsidTr="00825163">
        <w:tc>
          <w:tcPr>
            <w:tcW w:w="2501" w:type="dxa"/>
            <w:tcBorders>
              <w:top w:val="single" w:sz="4" w:space="0" w:color="293F5B"/>
              <w:bottom w:val="single" w:sz="4" w:space="0" w:color="293F5B"/>
            </w:tcBorders>
          </w:tcPr>
          <w:p w14:paraId="5A59C495" w14:textId="77777777" w:rsidR="00BB2CB4" w:rsidRPr="00222C32" w:rsidRDefault="000674DA">
            <w:pPr>
              <w:pStyle w:val="MeasureTableHeadingleftalignedwith2ptsspacing"/>
              <w:keepNext/>
            </w:pPr>
            <w:r w:rsidRPr="00222C32">
              <w:t>Services Australia</w:t>
            </w:r>
          </w:p>
        </w:tc>
        <w:tc>
          <w:tcPr>
            <w:tcW w:w="1044" w:type="dxa"/>
            <w:tcBorders>
              <w:top w:val="single" w:sz="4" w:space="0" w:color="293F5B"/>
              <w:bottom w:val="single" w:sz="4" w:space="0" w:color="293F5B"/>
            </w:tcBorders>
          </w:tcPr>
          <w:p w14:paraId="40D7806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6654443" w14:textId="77777777" w:rsidR="00BB2CB4" w:rsidRPr="00222C32" w:rsidRDefault="000674DA">
            <w:pPr>
              <w:pStyle w:val="MeasureTableDataRightAlignedwith2ptsspacing"/>
              <w:keepNext/>
            </w:pPr>
            <w:r w:rsidRPr="00222C32">
              <w:t>0.9</w:t>
            </w:r>
          </w:p>
        </w:tc>
        <w:tc>
          <w:tcPr>
            <w:tcW w:w="1044" w:type="dxa"/>
            <w:tcBorders>
              <w:top w:val="single" w:sz="4" w:space="0" w:color="293F5B"/>
              <w:bottom w:val="single" w:sz="4" w:space="0" w:color="293F5B"/>
            </w:tcBorders>
          </w:tcPr>
          <w:p w14:paraId="15F88034"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795B17C4"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36ABA1FB" w14:textId="77777777" w:rsidR="00BB2CB4" w:rsidRPr="00222C32" w:rsidRDefault="000674DA">
            <w:pPr>
              <w:pStyle w:val="MeasureTableDataRightAlignedwith2ptsspacing"/>
              <w:keepNext/>
            </w:pPr>
            <w:r w:rsidRPr="00222C32">
              <w:t>0.1</w:t>
            </w:r>
          </w:p>
        </w:tc>
      </w:tr>
      <w:tr w:rsidR="00BB2CB4" w:rsidRPr="00222C32" w14:paraId="603DCAA9" w14:textId="77777777" w:rsidTr="00825163">
        <w:tc>
          <w:tcPr>
            <w:tcW w:w="2501" w:type="dxa"/>
            <w:tcBorders>
              <w:top w:val="single" w:sz="4" w:space="0" w:color="293F5B"/>
              <w:bottom w:val="nil"/>
            </w:tcBorders>
          </w:tcPr>
          <w:p w14:paraId="3938B80C" w14:textId="77777777" w:rsidR="00BB2CB4" w:rsidRPr="00222C32" w:rsidRDefault="000674DA">
            <w:pPr>
              <w:pStyle w:val="Totalrowleftaligned"/>
              <w:keepNext/>
            </w:pPr>
            <w:r w:rsidRPr="00222C32">
              <w:t>Total – Payments</w:t>
            </w:r>
          </w:p>
        </w:tc>
        <w:tc>
          <w:tcPr>
            <w:tcW w:w="1044" w:type="dxa"/>
            <w:tcBorders>
              <w:top w:val="single" w:sz="4" w:space="0" w:color="293F5B"/>
              <w:bottom w:val="nil"/>
            </w:tcBorders>
          </w:tcPr>
          <w:p w14:paraId="4FF9676B" w14:textId="77777777" w:rsidR="00BB2CB4" w:rsidRPr="00222C32" w:rsidRDefault="000674DA">
            <w:pPr>
              <w:pStyle w:val="Totaldatarowrightaligned"/>
              <w:keepNext/>
            </w:pPr>
            <w:r w:rsidRPr="00222C32">
              <w:t>-</w:t>
            </w:r>
          </w:p>
        </w:tc>
        <w:tc>
          <w:tcPr>
            <w:tcW w:w="1044" w:type="dxa"/>
            <w:tcBorders>
              <w:top w:val="single" w:sz="4" w:space="0" w:color="293F5B"/>
              <w:bottom w:val="nil"/>
            </w:tcBorders>
          </w:tcPr>
          <w:p w14:paraId="2E016384" w14:textId="77777777" w:rsidR="00BB2CB4" w:rsidRPr="00222C32" w:rsidRDefault="000674DA">
            <w:pPr>
              <w:pStyle w:val="Totaldatarowrightaligned"/>
              <w:keepNext/>
            </w:pPr>
            <w:r w:rsidRPr="00222C32">
              <w:t>287.1</w:t>
            </w:r>
          </w:p>
        </w:tc>
        <w:tc>
          <w:tcPr>
            <w:tcW w:w="1044" w:type="dxa"/>
            <w:tcBorders>
              <w:top w:val="single" w:sz="4" w:space="0" w:color="293F5B"/>
              <w:bottom w:val="nil"/>
            </w:tcBorders>
          </w:tcPr>
          <w:p w14:paraId="06538B29" w14:textId="77777777" w:rsidR="00BB2CB4" w:rsidRPr="00222C32" w:rsidRDefault="000674DA">
            <w:pPr>
              <w:pStyle w:val="Totaldatarowrightaligned"/>
              <w:keepNext/>
            </w:pPr>
            <w:r w:rsidRPr="00222C32">
              <w:t>415.7</w:t>
            </w:r>
          </w:p>
        </w:tc>
        <w:tc>
          <w:tcPr>
            <w:tcW w:w="1044" w:type="dxa"/>
            <w:tcBorders>
              <w:top w:val="single" w:sz="4" w:space="0" w:color="293F5B"/>
              <w:bottom w:val="nil"/>
            </w:tcBorders>
          </w:tcPr>
          <w:p w14:paraId="4E0E4CF4" w14:textId="77777777" w:rsidR="00BB2CB4" w:rsidRPr="00222C32" w:rsidRDefault="000674DA">
            <w:pPr>
              <w:pStyle w:val="Totaldatarowrightaligned"/>
              <w:keepNext/>
            </w:pPr>
            <w:r w:rsidRPr="00222C32">
              <w:t>520.3</w:t>
            </w:r>
          </w:p>
        </w:tc>
        <w:tc>
          <w:tcPr>
            <w:tcW w:w="1044" w:type="dxa"/>
            <w:tcBorders>
              <w:top w:val="single" w:sz="4" w:space="0" w:color="293F5B"/>
              <w:bottom w:val="nil"/>
            </w:tcBorders>
          </w:tcPr>
          <w:p w14:paraId="15AB1B2A" w14:textId="77777777" w:rsidR="00BB2CB4" w:rsidRPr="00222C32" w:rsidRDefault="000674DA">
            <w:pPr>
              <w:pStyle w:val="Totaldatarowrightaligned"/>
              <w:keepNext/>
            </w:pPr>
            <w:r w:rsidRPr="00222C32">
              <w:t>623.4</w:t>
            </w:r>
          </w:p>
        </w:tc>
      </w:tr>
      <w:tr w:rsidR="00BB2CB4" w:rsidRPr="00222C32" w14:paraId="45FC5FFB" w14:textId="77777777" w:rsidTr="00825163">
        <w:tc>
          <w:tcPr>
            <w:tcW w:w="2501" w:type="dxa"/>
            <w:tcBorders>
              <w:top w:val="nil"/>
            </w:tcBorders>
          </w:tcPr>
          <w:p w14:paraId="3D949C46" w14:textId="77777777" w:rsidR="00BB2CB4" w:rsidRPr="00222C32" w:rsidRDefault="000674DA">
            <w:pPr>
              <w:pStyle w:val="AgencyName"/>
              <w:keepNext/>
            </w:pPr>
            <w:r w:rsidRPr="00222C32">
              <w:t>Related receipts ($m)</w:t>
            </w:r>
          </w:p>
        </w:tc>
        <w:tc>
          <w:tcPr>
            <w:tcW w:w="1044" w:type="dxa"/>
            <w:tcBorders>
              <w:top w:val="nil"/>
            </w:tcBorders>
          </w:tcPr>
          <w:p w14:paraId="093BEBF8" w14:textId="77777777" w:rsidR="00BB2CB4" w:rsidRPr="00222C32" w:rsidRDefault="00BB2CB4">
            <w:pPr>
              <w:pStyle w:val="AgencyName"/>
              <w:keepNext/>
            </w:pPr>
          </w:p>
        </w:tc>
        <w:tc>
          <w:tcPr>
            <w:tcW w:w="1044" w:type="dxa"/>
            <w:tcBorders>
              <w:top w:val="nil"/>
            </w:tcBorders>
          </w:tcPr>
          <w:p w14:paraId="5AD847F5" w14:textId="77777777" w:rsidR="00BB2CB4" w:rsidRPr="00222C32" w:rsidRDefault="00BB2CB4">
            <w:pPr>
              <w:pStyle w:val="AgencyName"/>
              <w:keepNext/>
            </w:pPr>
          </w:p>
        </w:tc>
        <w:tc>
          <w:tcPr>
            <w:tcW w:w="1044" w:type="dxa"/>
            <w:tcBorders>
              <w:top w:val="nil"/>
            </w:tcBorders>
          </w:tcPr>
          <w:p w14:paraId="364D6B0E" w14:textId="77777777" w:rsidR="00BB2CB4" w:rsidRPr="00222C32" w:rsidRDefault="00BB2CB4">
            <w:pPr>
              <w:pStyle w:val="AgencyName"/>
              <w:keepNext/>
            </w:pPr>
          </w:p>
        </w:tc>
        <w:tc>
          <w:tcPr>
            <w:tcW w:w="1044" w:type="dxa"/>
            <w:tcBorders>
              <w:top w:val="nil"/>
            </w:tcBorders>
          </w:tcPr>
          <w:p w14:paraId="5310C4E3" w14:textId="77777777" w:rsidR="00BB2CB4" w:rsidRPr="00222C32" w:rsidRDefault="00BB2CB4">
            <w:pPr>
              <w:pStyle w:val="AgencyName"/>
              <w:keepNext/>
            </w:pPr>
          </w:p>
        </w:tc>
        <w:tc>
          <w:tcPr>
            <w:tcW w:w="1044" w:type="dxa"/>
            <w:tcBorders>
              <w:top w:val="nil"/>
            </w:tcBorders>
          </w:tcPr>
          <w:p w14:paraId="455E1946" w14:textId="77777777" w:rsidR="00BB2CB4" w:rsidRPr="00222C32" w:rsidRDefault="00BB2CB4">
            <w:pPr>
              <w:pStyle w:val="AgencyName"/>
              <w:keepNext/>
            </w:pPr>
          </w:p>
        </w:tc>
      </w:tr>
      <w:tr w:rsidR="00BB2CB4" w:rsidRPr="00222C32" w14:paraId="1D246A0C" w14:textId="77777777" w:rsidTr="00825163">
        <w:tc>
          <w:tcPr>
            <w:tcW w:w="2501" w:type="dxa"/>
            <w:tcBorders>
              <w:bottom w:val="single" w:sz="4" w:space="0" w:color="293F5B"/>
            </w:tcBorders>
          </w:tcPr>
          <w:p w14:paraId="7DFAF9F2" w14:textId="77777777" w:rsidR="00BB2CB4" w:rsidRPr="00222C32" w:rsidRDefault="000674DA">
            <w:pPr>
              <w:pStyle w:val="AgencyNamewith2ptsspacing"/>
              <w:keepNext/>
            </w:pPr>
            <w:r w:rsidRPr="00222C32">
              <w:t>Department of Health, Disability and Ageing</w:t>
            </w:r>
          </w:p>
        </w:tc>
        <w:tc>
          <w:tcPr>
            <w:tcW w:w="1044" w:type="dxa"/>
            <w:tcBorders>
              <w:bottom w:val="single" w:sz="4" w:space="0" w:color="293F5B"/>
            </w:tcBorders>
          </w:tcPr>
          <w:p w14:paraId="2053A9FC"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44ACDFC5"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37115D63"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30386A1F" w14:textId="77777777" w:rsidR="00BB2CB4" w:rsidRPr="00222C32" w:rsidRDefault="000674DA">
            <w:pPr>
              <w:pStyle w:val="Measuretabledatarightaligneditalics"/>
              <w:keepNext/>
            </w:pPr>
            <w:r w:rsidRPr="00222C32">
              <w:t>nfp</w:t>
            </w:r>
          </w:p>
        </w:tc>
        <w:tc>
          <w:tcPr>
            <w:tcW w:w="1044" w:type="dxa"/>
            <w:tcBorders>
              <w:bottom w:val="single" w:sz="4" w:space="0" w:color="293F5B"/>
            </w:tcBorders>
          </w:tcPr>
          <w:p w14:paraId="7F4BE1DA" w14:textId="77777777" w:rsidR="00BB2CB4" w:rsidRPr="00222C32" w:rsidRDefault="000674DA">
            <w:pPr>
              <w:pStyle w:val="Measuretabledatarightaligneditalics"/>
              <w:keepNext/>
            </w:pPr>
            <w:r w:rsidRPr="00222C32">
              <w:t>nfp</w:t>
            </w:r>
          </w:p>
        </w:tc>
      </w:tr>
    </w:tbl>
    <w:p w14:paraId="254BE882" w14:textId="77777777" w:rsidR="00B07BEF" w:rsidRDefault="00B07BEF" w:rsidP="00B07BEF">
      <w:pPr>
        <w:pStyle w:val="SingleParagraph"/>
      </w:pPr>
    </w:p>
    <w:p w14:paraId="74A7CC6C" w14:textId="77777777" w:rsidR="00BB2CB4" w:rsidRDefault="000674DA">
      <w:pPr>
        <w:pStyle w:val="Normal2"/>
      </w:pPr>
      <w:r w:rsidRPr="42F5CE43">
        <w:rPr>
          <w:lang w:val="en-US"/>
        </w:rPr>
        <w:t>The Government will provide $1.8 billion over four years from 2025–‍26 for new and amended listings on the Pharmaceutical Benefits Scheme (PBS) and Life Saving Drugs program. Examples of new and amended PBS listings since the 2025–‍26 Budget include:</w:t>
      </w:r>
    </w:p>
    <w:p w14:paraId="645A43F1" w14:textId="77777777" w:rsidR="00BB2CB4" w:rsidRDefault="000674DA">
      <w:pPr>
        <w:pStyle w:val="Bullet"/>
      </w:pPr>
      <w:r>
        <w:t>nivolumab (Opdivo</w:t>
      </w:r>
      <w:r w:rsidRPr="00596AA1">
        <w:rPr>
          <w:vertAlign w:val="superscript"/>
        </w:rPr>
        <w:t>®</w:t>
      </w:r>
      <w:r>
        <w:t>) and ipilimumab (Yervoy</w:t>
      </w:r>
      <w:r w:rsidRPr="00596AA1">
        <w:rPr>
          <w:vertAlign w:val="superscript"/>
        </w:rPr>
        <w:t>®</w:t>
      </w:r>
      <w:r>
        <w:t>), from 1 August 2025, for the treatment of patients with Stage III melanoma</w:t>
      </w:r>
    </w:p>
    <w:p w14:paraId="75ED665D" w14:textId="77777777" w:rsidR="00BB2CB4" w:rsidRDefault="000674DA">
      <w:pPr>
        <w:pStyle w:val="Bullet"/>
      </w:pPr>
      <w:r>
        <w:t>palovarotene (Sohonos</w:t>
      </w:r>
      <w:r w:rsidRPr="00596AA1">
        <w:rPr>
          <w:vertAlign w:val="superscript"/>
        </w:rPr>
        <w:t>®</w:t>
      </w:r>
      <w:r>
        <w:t>), from 1 September 2025, for the treatment of fibrodysplasia ossificans progressiva</w:t>
      </w:r>
    </w:p>
    <w:p w14:paraId="2F7CFA9E" w14:textId="77777777" w:rsidR="00BB2CB4" w:rsidRDefault="000674DA">
      <w:pPr>
        <w:pStyle w:val="Bullet"/>
      </w:pPr>
      <w:r>
        <w:lastRenderedPageBreak/>
        <w:t>daratumumab (Darzalex</w:t>
      </w:r>
      <w:r w:rsidRPr="00596AA1">
        <w:rPr>
          <w:vertAlign w:val="superscript"/>
        </w:rPr>
        <w:t>®</w:t>
      </w:r>
      <w:r>
        <w:t>), from 1 November 2025, for the treatment of patients with newly diagnosed multiple myeloma who are ineligible for autologous stem cell transplant</w:t>
      </w:r>
    </w:p>
    <w:p w14:paraId="68A74A8D" w14:textId="77777777" w:rsidR="00BB2CB4" w:rsidRDefault="000674DA">
      <w:pPr>
        <w:pStyle w:val="Bullet"/>
      </w:pPr>
      <w:r>
        <w:t>brentuximab vedotin (Adcetris</w:t>
      </w:r>
      <w:r w:rsidRPr="00596AA1">
        <w:rPr>
          <w:vertAlign w:val="superscript"/>
        </w:rPr>
        <w:t>®</w:t>
      </w:r>
      <w:r>
        <w:t>), from 1 November 2025, for the first line treatment of advanced Hodgkin lymphoma in combination with chemotherapy</w:t>
      </w:r>
    </w:p>
    <w:p w14:paraId="74E3E42D" w14:textId="77777777" w:rsidR="00BB2CB4" w:rsidRDefault="000674DA">
      <w:pPr>
        <w:pStyle w:val="Bullet"/>
      </w:pPr>
      <w:r>
        <w:t>brexpiprazole (Rexulti</w:t>
      </w:r>
      <w:r w:rsidRPr="00596AA1">
        <w:rPr>
          <w:vertAlign w:val="superscript"/>
        </w:rPr>
        <w:t>®</w:t>
      </w:r>
      <w:r>
        <w:t>), from 1 November 2025, for the treatment of patients with schizophrenia</w:t>
      </w:r>
    </w:p>
    <w:p w14:paraId="65B59432" w14:textId="77777777" w:rsidR="00BB2CB4" w:rsidRDefault="000674DA">
      <w:pPr>
        <w:pStyle w:val="Bullet"/>
      </w:pPr>
      <w:r>
        <w:t>durvalumab (Imfinzi</w:t>
      </w:r>
      <w:r w:rsidRPr="00596AA1">
        <w:rPr>
          <w:vertAlign w:val="superscript"/>
        </w:rPr>
        <w:t>®</w:t>
      </w:r>
      <w:r>
        <w:t>) combination with tremelimumab (Imjudo</w:t>
      </w:r>
      <w:r w:rsidRPr="00596AA1">
        <w:rPr>
          <w:vertAlign w:val="superscript"/>
        </w:rPr>
        <w:t>®</w:t>
      </w:r>
      <w:r>
        <w:t>), from 1 November 2025, for the treatment of patients with advanced (unresectable) Stage B Barcelona Clinic Liver Cancer or Stage C hepatocellular carcinoma</w:t>
      </w:r>
    </w:p>
    <w:p w14:paraId="02033A21" w14:textId="77777777" w:rsidR="00BB2CB4" w:rsidRDefault="000674DA">
      <w:pPr>
        <w:pStyle w:val="Bullet"/>
      </w:pPr>
      <w:r>
        <w:t>iptacopan (Fabhalta</w:t>
      </w:r>
      <w:r w:rsidRPr="00596AA1">
        <w:rPr>
          <w:vertAlign w:val="superscript"/>
        </w:rPr>
        <w:t>®</w:t>
      </w:r>
      <w:r>
        <w:t>), from 1 November 2025, for the treatment of patients with paroxysmal nocturnal haemoglobinuria</w:t>
      </w:r>
    </w:p>
    <w:p w14:paraId="50D9B00C" w14:textId="77777777" w:rsidR="00BB2CB4" w:rsidRDefault="000674DA">
      <w:pPr>
        <w:pStyle w:val="Bullet"/>
      </w:pPr>
      <w:r>
        <w:t>empagliflozin (Jardiance</w:t>
      </w:r>
      <w:r w:rsidRPr="00596AA1">
        <w:rPr>
          <w:vertAlign w:val="superscript"/>
        </w:rPr>
        <w:t>®</w:t>
      </w:r>
      <w:r>
        <w:t>), from 1 November 2025, for the treatment of adult patients with chronic kidney disease</w:t>
      </w:r>
    </w:p>
    <w:p w14:paraId="4A438EB5" w14:textId="77777777" w:rsidR="00BB2CB4" w:rsidRDefault="000674DA">
      <w:pPr>
        <w:pStyle w:val="Bullet"/>
      </w:pPr>
      <w:r>
        <w:t>etonogestrel with ethinylestradiol (NuvaRing</w:t>
      </w:r>
      <w:r w:rsidRPr="00596AA1">
        <w:rPr>
          <w:vertAlign w:val="superscript"/>
        </w:rPr>
        <w:t>®</w:t>
      </w:r>
      <w:r>
        <w:t>), from 1 November 2025, for contraception.</w:t>
      </w:r>
    </w:p>
    <w:p w14:paraId="1CC69823" w14:textId="77777777" w:rsidR="00BB2CB4" w:rsidRDefault="000674DA">
      <w:pPr>
        <w:pStyle w:val="Normal2"/>
      </w:pPr>
      <w:r w:rsidRPr="69C11E82">
        <w:rPr>
          <w:lang w:val="en-US"/>
        </w:rPr>
        <w:t>The financial implications of some elements of this measure are not for publication (nfp) because the disclosure of funding would reveal individual arrangements between third parties and the Commonwealth that are confidential and commercially privileged, which must not be disclosed under Deeds of Agreements.</w:t>
      </w:r>
    </w:p>
    <w:p w14:paraId="09C73D27" w14:textId="77777777" w:rsidR="00BB2CB4" w:rsidRDefault="000674DA">
      <w:pPr>
        <w:pStyle w:val="MeasureTitle"/>
      </w:pPr>
      <w:r>
        <w:t>Preventive Health</w:t>
      </w:r>
    </w:p>
    <w:p w14:paraId="3B81AAC1"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7AAE7BD" w14:textId="77777777" w:rsidTr="00825163">
        <w:trPr>
          <w:cantSplit/>
        </w:trPr>
        <w:tc>
          <w:tcPr>
            <w:tcW w:w="2501" w:type="dxa"/>
          </w:tcPr>
          <w:p w14:paraId="788080AE" w14:textId="77777777" w:rsidR="00BB2CB4" w:rsidRPr="00222C32" w:rsidRDefault="00BB2CB4">
            <w:pPr>
              <w:pStyle w:val="MeasureTableYearHeadings"/>
              <w:keepNext/>
            </w:pPr>
          </w:p>
        </w:tc>
        <w:tc>
          <w:tcPr>
            <w:tcW w:w="1044" w:type="dxa"/>
          </w:tcPr>
          <w:p w14:paraId="74D599DB" w14:textId="77777777" w:rsidR="00BB2CB4" w:rsidRPr="00222C32" w:rsidRDefault="000674DA">
            <w:pPr>
              <w:pStyle w:val="MeasureTableYearHeadings"/>
              <w:keepNext/>
            </w:pPr>
            <w:r w:rsidRPr="00222C32">
              <w:t>2024-25</w:t>
            </w:r>
          </w:p>
        </w:tc>
        <w:tc>
          <w:tcPr>
            <w:tcW w:w="1044" w:type="dxa"/>
          </w:tcPr>
          <w:p w14:paraId="417C5022" w14:textId="77777777" w:rsidR="00BB2CB4" w:rsidRPr="00222C32" w:rsidRDefault="000674DA">
            <w:pPr>
              <w:pStyle w:val="MeasureTableYearHeadings"/>
              <w:keepNext/>
            </w:pPr>
            <w:r w:rsidRPr="00222C32">
              <w:t>2025-26</w:t>
            </w:r>
          </w:p>
        </w:tc>
        <w:tc>
          <w:tcPr>
            <w:tcW w:w="1044" w:type="dxa"/>
          </w:tcPr>
          <w:p w14:paraId="591AFFA4" w14:textId="77777777" w:rsidR="00BB2CB4" w:rsidRPr="00222C32" w:rsidRDefault="000674DA">
            <w:pPr>
              <w:pStyle w:val="MeasureTableYearHeadings"/>
              <w:keepNext/>
            </w:pPr>
            <w:r w:rsidRPr="00222C32">
              <w:t>2026-27</w:t>
            </w:r>
          </w:p>
        </w:tc>
        <w:tc>
          <w:tcPr>
            <w:tcW w:w="1044" w:type="dxa"/>
          </w:tcPr>
          <w:p w14:paraId="7BCE27DE" w14:textId="77777777" w:rsidR="00BB2CB4" w:rsidRPr="00222C32" w:rsidRDefault="000674DA">
            <w:pPr>
              <w:pStyle w:val="MeasureTableYearHeadings"/>
              <w:keepNext/>
            </w:pPr>
            <w:r w:rsidRPr="00222C32">
              <w:t>2027-28</w:t>
            </w:r>
          </w:p>
        </w:tc>
        <w:tc>
          <w:tcPr>
            <w:tcW w:w="1044" w:type="dxa"/>
          </w:tcPr>
          <w:p w14:paraId="2EDC6211" w14:textId="77777777" w:rsidR="00BB2CB4" w:rsidRPr="00222C32" w:rsidRDefault="000674DA">
            <w:pPr>
              <w:pStyle w:val="MeasureTableYearHeadings"/>
              <w:keepNext/>
            </w:pPr>
            <w:r w:rsidRPr="00222C32">
              <w:t>2028-29</w:t>
            </w:r>
          </w:p>
        </w:tc>
      </w:tr>
      <w:tr w:rsidR="00BB2CB4" w:rsidRPr="00222C32" w14:paraId="76274E76" w14:textId="77777777" w:rsidTr="00825163">
        <w:trPr>
          <w:cantSplit/>
        </w:trPr>
        <w:tc>
          <w:tcPr>
            <w:tcW w:w="2501" w:type="dxa"/>
          </w:tcPr>
          <w:p w14:paraId="52891507" w14:textId="77777777" w:rsidR="00BB2CB4" w:rsidRPr="00222C32" w:rsidRDefault="000674DA">
            <w:pPr>
              <w:pStyle w:val="MeasureTableHeadingleftalignedwith2ptsspacing"/>
              <w:keepNext/>
            </w:pPr>
            <w:r w:rsidRPr="00222C32">
              <w:t>Department of Health, Disability and Ageing</w:t>
            </w:r>
          </w:p>
        </w:tc>
        <w:tc>
          <w:tcPr>
            <w:tcW w:w="1044" w:type="dxa"/>
          </w:tcPr>
          <w:p w14:paraId="6FF87F70" w14:textId="77777777" w:rsidR="00BB2CB4" w:rsidRPr="00222C32" w:rsidRDefault="000674DA">
            <w:pPr>
              <w:pStyle w:val="MeasureTableDataRightAlignedwith2ptsspacing"/>
              <w:keepNext/>
            </w:pPr>
            <w:r w:rsidRPr="00222C32">
              <w:t>-</w:t>
            </w:r>
          </w:p>
        </w:tc>
        <w:tc>
          <w:tcPr>
            <w:tcW w:w="1044" w:type="dxa"/>
          </w:tcPr>
          <w:p w14:paraId="2B3DD9FC" w14:textId="77777777" w:rsidR="00BB2CB4" w:rsidRPr="00222C32" w:rsidRDefault="000674DA">
            <w:pPr>
              <w:pStyle w:val="MeasureTableDataRightAlignedwith2ptsspacing"/>
              <w:keepNext/>
            </w:pPr>
            <w:r w:rsidRPr="00222C32">
              <w:t>7.5</w:t>
            </w:r>
          </w:p>
        </w:tc>
        <w:tc>
          <w:tcPr>
            <w:tcW w:w="1044" w:type="dxa"/>
          </w:tcPr>
          <w:p w14:paraId="7EE05A68" w14:textId="77777777" w:rsidR="00BB2CB4" w:rsidRPr="00222C32" w:rsidRDefault="000674DA">
            <w:pPr>
              <w:pStyle w:val="MeasureTableDataRightAlignedwith2ptsspacing"/>
              <w:keepNext/>
            </w:pPr>
            <w:r w:rsidRPr="00222C32">
              <w:t>26.3</w:t>
            </w:r>
          </w:p>
        </w:tc>
        <w:tc>
          <w:tcPr>
            <w:tcW w:w="1044" w:type="dxa"/>
          </w:tcPr>
          <w:p w14:paraId="7FF93B04" w14:textId="77777777" w:rsidR="00BB2CB4" w:rsidRPr="00222C32" w:rsidRDefault="000674DA">
            <w:pPr>
              <w:pStyle w:val="MeasureTableDataRightAlignedwith2ptsspacing"/>
              <w:keepNext/>
            </w:pPr>
            <w:r w:rsidRPr="00222C32">
              <w:t>7.5</w:t>
            </w:r>
          </w:p>
        </w:tc>
        <w:tc>
          <w:tcPr>
            <w:tcW w:w="1044" w:type="dxa"/>
          </w:tcPr>
          <w:p w14:paraId="175A16BF" w14:textId="77777777" w:rsidR="00BB2CB4" w:rsidRPr="00222C32" w:rsidRDefault="000674DA">
            <w:pPr>
              <w:pStyle w:val="MeasureTableDataRightAlignedwith2ptsspacing"/>
              <w:keepNext/>
            </w:pPr>
            <w:r w:rsidRPr="00222C32">
              <w:t>-</w:t>
            </w:r>
          </w:p>
        </w:tc>
      </w:tr>
    </w:tbl>
    <w:p w14:paraId="46036D70" w14:textId="77777777" w:rsidR="0044138E" w:rsidRDefault="0044138E" w:rsidP="0044138E">
      <w:pPr>
        <w:pStyle w:val="SingleParagraph"/>
      </w:pPr>
    </w:p>
    <w:p w14:paraId="7E7BF70A" w14:textId="77777777" w:rsidR="00BB2CB4" w:rsidRDefault="000674DA">
      <w:pPr>
        <w:pStyle w:val="Normal2"/>
      </w:pPr>
      <w:r>
        <w:t>The Government will provide $41.7 million over three years from 2025–‍26 to continue preventive health initiatives. Funding includes:</w:t>
      </w:r>
    </w:p>
    <w:p w14:paraId="74C1312B" w14:textId="77777777" w:rsidR="00BB2CB4" w:rsidRDefault="000674DA">
      <w:pPr>
        <w:pStyle w:val="Bullet"/>
      </w:pPr>
      <w:r>
        <w:t>$15.3 million over two years from 2025–‍26 for the Australian Stroke Alliance to continue the delivery of the Stroke Golden Hour program, which provides stroke support services, a national digital telestroke platform and prehospital clinical training</w:t>
      </w:r>
    </w:p>
    <w:p w14:paraId="32882640" w14:textId="77777777" w:rsidR="00BB2CB4" w:rsidRDefault="000674DA">
      <w:pPr>
        <w:pStyle w:val="Bullet"/>
      </w:pPr>
      <w:r>
        <w:t>$14.6 million over two years from 2026–‍27 to continue funding for the National Allergy Centre of Excellence and the National Allergy Council to deliver allergy research and public health programs</w:t>
      </w:r>
    </w:p>
    <w:p w14:paraId="2C3020D2" w14:textId="77777777" w:rsidR="00BB2CB4" w:rsidRDefault="000674DA">
      <w:pPr>
        <w:pStyle w:val="Bullet"/>
      </w:pPr>
      <w:r>
        <w:t>$8.0 million in 2026–‍27 to continue funding for programs that improve mental and physical health, including the Heart Foundation National Physical Activity and Walking Initiative, The Big Issue Community Street Soccer program and the Reclink national program</w:t>
      </w:r>
    </w:p>
    <w:p w14:paraId="4D67DB46" w14:textId="77777777" w:rsidR="00BB2CB4" w:rsidRDefault="000674DA">
      <w:pPr>
        <w:pStyle w:val="Bullet"/>
      </w:pPr>
      <w:r>
        <w:t>$1.5 million in 2026–‍27 for Cancer Council Victoria to operate the Quit Centre to provide health professionals with the latest information on smoking and vaping cessation</w:t>
      </w:r>
    </w:p>
    <w:p w14:paraId="2453F51B" w14:textId="77777777" w:rsidR="00BB2CB4" w:rsidRDefault="000674DA">
      <w:pPr>
        <w:pStyle w:val="Bullet"/>
      </w:pPr>
      <w:r>
        <w:lastRenderedPageBreak/>
        <w:t>$0.8 million in 2026–‍27 for the Healthy Food Partnership, which contributes to implementation of the National Preventive Health Strategy and National Obesity Strategy</w:t>
      </w:r>
    </w:p>
    <w:p w14:paraId="43EEDD22" w14:textId="51A54461" w:rsidR="00BB2CB4" w:rsidRDefault="000674DA">
      <w:pPr>
        <w:pStyle w:val="Bullet"/>
      </w:pPr>
      <w:r>
        <w:t>$0.8 million in 2026–‍27 to continue the Commonwealth Government</w:t>
      </w:r>
      <w:r w:rsidR="00222C32">
        <w:t>’</w:t>
      </w:r>
      <w:r>
        <w:t>s support for the Health Star Rating system to help consumers judge the nutritional profile of packaged foods</w:t>
      </w:r>
    </w:p>
    <w:p w14:paraId="3DA63067" w14:textId="77777777" w:rsidR="00BB2CB4" w:rsidRDefault="000674DA">
      <w:pPr>
        <w:pStyle w:val="Bullet"/>
      </w:pPr>
      <w:r>
        <w:t>$0.5 million in 2026–‍27 for the Australian Prevention Partnership Centre to contribute to research and research translation in Australia for the prevention of chronic conditions.</w:t>
      </w:r>
    </w:p>
    <w:p w14:paraId="2B9BAB19" w14:textId="77777777" w:rsidR="00BB2CB4" w:rsidRDefault="000674DA">
      <w:pPr>
        <w:pStyle w:val="Normal2"/>
      </w:pPr>
      <w:r w:rsidRPr="69C11E82">
        <w:rPr>
          <w:lang w:val="en-US"/>
        </w:rPr>
        <w:t>The Department of Health, Disability and Ageing will partially meet the cost of this measure from within existing resources.</w:t>
      </w:r>
    </w:p>
    <w:p w14:paraId="0DFFA318" w14:textId="77777777" w:rsidR="00BB2CB4" w:rsidRDefault="000674DA">
      <w:pPr>
        <w:pStyle w:val="Normal2"/>
      </w:pPr>
      <w:r>
        <w:t xml:space="preserve">This measure extends the 2023–‍24 Budget measures titled </w:t>
      </w:r>
      <w:r w:rsidRPr="000674DA">
        <w:rPr>
          <w:i/>
        </w:rPr>
        <w:t xml:space="preserve">Preventive Health Reform </w:t>
      </w:r>
      <w:r>
        <w:t>and</w:t>
      </w:r>
      <w:r w:rsidRPr="000674DA">
        <w:rPr>
          <w:i/>
        </w:rPr>
        <w:t xml:space="preserve"> Investment in Sport</w:t>
      </w:r>
      <w:r>
        <w:t>, the 2024–‍25 Budget measure titled</w:t>
      </w:r>
      <w:r w:rsidRPr="000674DA">
        <w:rPr>
          <w:i/>
        </w:rPr>
        <w:t xml:space="preserve"> Preventive Health, </w:t>
      </w:r>
      <w:r>
        <w:t xml:space="preserve">the 2024–‍25 MYEFO measure titled </w:t>
      </w:r>
      <w:r w:rsidRPr="000674DA">
        <w:rPr>
          <w:i/>
        </w:rPr>
        <w:t>Investment in Sports</w:t>
      </w:r>
      <w:r>
        <w:t xml:space="preserve">, and the 2025–‍26 Budget measure titled </w:t>
      </w:r>
      <w:r w:rsidRPr="000674DA">
        <w:rPr>
          <w:i/>
        </w:rPr>
        <w:t xml:space="preserve">Preventive Health, Wellbeing and Sport. </w:t>
      </w:r>
    </w:p>
    <w:p w14:paraId="23208E5C" w14:textId="77777777" w:rsidR="00BB2CB4" w:rsidRDefault="000674DA">
      <w:pPr>
        <w:pStyle w:val="MeasureTitle"/>
      </w:pPr>
      <w:r w:rsidRPr="69C11E82">
        <w:rPr>
          <w:lang w:val="en-US"/>
        </w:rPr>
        <w:t>Strengthening Medicare – establishing 1800MEDICARE and Medicare Urgent Care Clinics additional support</w:t>
      </w:r>
    </w:p>
    <w:p w14:paraId="3302339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3440E1D" w14:textId="77777777" w:rsidTr="00825163">
        <w:trPr>
          <w:cantSplit/>
        </w:trPr>
        <w:tc>
          <w:tcPr>
            <w:tcW w:w="2501" w:type="dxa"/>
            <w:tcBorders>
              <w:top w:val="single" w:sz="4" w:space="0" w:color="293F5B"/>
              <w:bottom w:val="single" w:sz="4" w:space="0" w:color="293F5B"/>
            </w:tcBorders>
          </w:tcPr>
          <w:p w14:paraId="76811AD6"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1EF89CA"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D85E29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451F33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6ECB90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2835441" w14:textId="77777777" w:rsidR="00BB2CB4" w:rsidRPr="00222C32" w:rsidRDefault="000674DA">
            <w:pPr>
              <w:pStyle w:val="MeasureTableYearHeadings"/>
              <w:keepNext/>
            </w:pPr>
            <w:r w:rsidRPr="00222C32">
              <w:t>2028-29</w:t>
            </w:r>
          </w:p>
        </w:tc>
      </w:tr>
      <w:tr w:rsidR="00BB2CB4" w:rsidRPr="00222C32" w14:paraId="334988A2" w14:textId="77777777" w:rsidTr="00825163">
        <w:trPr>
          <w:cantSplit/>
        </w:trPr>
        <w:tc>
          <w:tcPr>
            <w:tcW w:w="2501" w:type="dxa"/>
            <w:tcBorders>
              <w:top w:val="single" w:sz="4" w:space="0" w:color="293F5B"/>
              <w:bottom w:val="single" w:sz="4" w:space="0" w:color="293F5B"/>
            </w:tcBorders>
          </w:tcPr>
          <w:p w14:paraId="74DE59D4"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11291E6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180A0D8" w14:textId="77777777" w:rsidR="00BB2CB4" w:rsidRPr="00222C32" w:rsidRDefault="000674DA">
            <w:pPr>
              <w:pStyle w:val="MeasureTableDataRightAlignedwith2ptsspacing"/>
              <w:keepNext/>
            </w:pPr>
            <w:r w:rsidRPr="00222C32">
              <w:t>59.3</w:t>
            </w:r>
          </w:p>
        </w:tc>
        <w:tc>
          <w:tcPr>
            <w:tcW w:w="1044" w:type="dxa"/>
            <w:tcBorders>
              <w:top w:val="single" w:sz="4" w:space="0" w:color="293F5B"/>
              <w:bottom w:val="single" w:sz="4" w:space="0" w:color="293F5B"/>
            </w:tcBorders>
          </w:tcPr>
          <w:p w14:paraId="6EA78496" w14:textId="77777777" w:rsidR="00BB2CB4" w:rsidRPr="00222C32" w:rsidRDefault="000674DA">
            <w:pPr>
              <w:pStyle w:val="MeasureTableDataRightAlignedwith2ptsspacing"/>
              <w:keepNext/>
            </w:pPr>
            <w:r w:rsidRPr="00222C32">
              <w:t>54.4</w:t>
            </w:r>
          </w:p>
        </w:tc>
        <w:tc>
          <w:tcPr>
            <w:tcW w:w="1044" w:type="dxa"/>
            <w:tcBorders>
              <w:top w:val="single" w:sz="4" w:space="0" w:color="293F5B"/>
              <w:bottom w:val="single" w:sz="4" w:space="0" w:color="293F5B"/>
            </w:tcBorders>
          </w:tcPr>
          <w:p w14:paraId="2B967417" w14:textId="77777777" w:rsidR="00BB2CB4" w:rsidRPr="00222C32" w:rsidRDefault="000674DA">
            <w:pPr>
              <w:pStyle w:val="MeasureTableDataRightAlignedwith2ptsspacing"/>
              <w:keepNext/>
            </w:pPr>
            <w:r w:rsidRPr="00222C32">
              <w:t>44.6</w:t>
            </w:r>
          </w:p>
        </w:tc>
        <w:tc>
          <w:tcPr>
            <w:tcW w:w="1044" w:type="dxa"/>
            <w:tcBorders>
              <w:top w:val="single" w:sz="4" w:space="0" w:color="293F5B"/>
              <w:bottom w:val="single" w:sz="4" w:space="0" w:color="293F5B"/>
            </w:tcBorders>
          </w:tcPr>
          <w:p w14:paraId="45F06B19" w14:textId="77777777" w:rsidR="00BB2CB4" w:rsidRPr="00222C32" w:rsidRDefault="000674DA">
            <w:pPr>
              <w:pStyle w:val="MeasureTableDataRightAlignedwith2ptsspacing"/>
              <w:keepNext/>
            </w:pPr>
            <w:r w:rsidRPr="00222C32">
              <w:t>46.5</w:t>
            </w:r>
          </w:p>
        </w:tc>
      </w:tr>
      <w:tr w:rsidR="00BB2CB4" w:rsidRPr="00222C32" w14:paraId="665F421D" w14:textId="77777777" w:rsidTr="00825163">
        <w:trPr>
          <w:cantSplit/>
        </w:trPr>
        <w:tc>
          <w:tcPr>
            <w:tcW w:w="2501" w:type="dxa"/>
            <w:tcBorders>
              <w:top w:val="single" w:sz="4" w:space="0" w:color="293F5B"/>
              <w:bottom w:val="single" w:sz="4" w:space="0" w:color="293F5B"/>
            </w:tcBorders>
          </w:tcPr>
          <w:p w14:paraId="270B6D92" w14:textId="77777777" w:rsidR="00BB2CB4" w:rsidRPr="00222C32" w:rsidRDefault="000674DA">
            <w:pPr>
              <w:pStyle w:val="MeasureTableHeadingleftalignedwith2ptsspacing"/>
              <w:keepNext/>
            </w:pPr>
            <w:r w:rsidRPr="00222C32">
              <w:t>Australian Digital Health Agency</w:t>
            </w:r>
          </w:p>
        </w:tc>
        <w:tc>
          <w:tcPr>
            <w:tcW w:w="1044" w:type="dxa"/>
            <w:tcBorders>
              <w:top w:val="single" w:sz="4" w:space="0" w:color="293F5B"/>
              <w:bottom w:val="single" w:sz="4" w:space="0" w:color="293F5B"/>
            </w:tcBorders>
          </w:tcPr>
          <w:p w14:paraId="7C772EC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34AD06E" w14:textId="77777777" w:rsidR="00BB2CB4" w:rsidRPr="00222C32" w:rsidRDefault="000674DA">
            <w:pPr>
              <w:pStyle w:val="MeasureTableDataRightAlignedwith2ptsspacing"/>
              <w:keepNext/>
            </w:pPr>
            <w:r w:rsidRPr="00222C32">
              <w:t>5.0</w:t>
            </w:r>
          </w:p>
        </w:tc>
        <w:tc>
          <w:tcPr>
            <w:tcW w:w="1044" w:type="dxa"/>
            <w:tcBorders>
              <w:top w:val="single" w:sz="4" w:space="0" w:color="293F5B"/>
              <w:bottom w:val="single" w:sz="4" w:space="0" w:color="293F5B"/>
            </w:tcBorders>
          </w:tcPr>
          <w:p w14:paraId="682AC5B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BF0727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26561A1" w14:textId="77777777" w:rsidR="00BB2CB4" w:rsidRPr="00222C32" w:rsidRDefault="000674DA">
            <w:pPr>
              <w:pStyle w:val="MeasureTableDataRightAlignedwith2ptsspacing"/>
              <w:keepNext/>
            </w:pPr>
            <w:r w:rsidRPr="00222C32">
              <w:t>-</w:t>
            </w:r>
          </w:p>
        </w:tc>
      </w:tr>
      <w:tr w:rsidR="00BB2CB4" w:rsidRPr="00222C32" w14:paraId="02910FCD" w14:textId="77777777" w:rsidTr="00825163">
        <w:trPr>
          <w:cantSplit/>
        </w:trPr>
        <w:tc>
          <w:tcPr>
            <w:tcW w:w="2501" w:type="dxa"/>
            <w:tcBorders>
              <w:top w:val="single" w:sz="4" w:space="0" w:color="293F5B"/>
              <w:bottom w:val="single" w:sz="4" w:space="0" w:color="293F5B"/>
            </w:tcBorders>
          </w:tcPr>
          <w:p w14:paraId="6F785090"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75B7921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E6C0D84" w14:textId="77777777" w:rsidR="00BB2CB4" w:rsidRPr="00222C32" w:rsidRDefault="000674DA">
            <w:pPr>
              <w:pStyle w:val="MeasureTableDataRightAlignedwith2ptsspacing"/>
              <w:keepNext/>
            </w:pPr>
            <w:r w:rsidRPr="00222C32">
              <w:t>0.2</w:t>
            </w:r>
          </w:p>
        </w:tc>
        <w:tc>
          <w:tcPr>
            <w:tcW w:w="1044" w:type="dxa"/>
            <w:tcBorders>
              <w:top w:val="single" w:sz="4" w:space="0" w:color="293F5B"/>
              <w:bottom w:val="single" w:sz="4" w:space="0" w:color="293F5B"/>
            </w:tcBorders>
          </w:tcPr>
          <w:p w14:paraId="324F4B5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70ACA1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3F67FC8" w14:textId="77777777" w:rsidR="00BB2CB4" w:rsidRPr="00222C32" w:rsidRDefault="000674DA">
            <w:pPr>
              <w:pStyle w:val="MeasureTableDataRightAlignedwith2ptsspacing"/>
              <w:keepNext/>
            </w:pPr>
            <w:r w:rsidRPr="00222C32">
              <w:t>-</w:t>
            </w:r>
          </w:p>
        </w:tc>
      </w:tr>
      <w:tr w:rsidR="00BB2CB4" w:rsidRPr="00222C32" w14:paraId="2DC029E1" w14:textId="77777777" w:rsidTr="00825163">
        <w:trPr>
          <w:cantSplit/>
        </w:trPr>
        <w:tc>
          <w:tcPr>
            <w:tcW w:w="2501" w:type="dxa"/>
            <w:tcBorders>
              <w:top w:val="single" w:sz="4" w:space="0" w:color="293F5B"/>
              <w:bottom w:val="single" w:sz="4" w:space="0" w:color="293F5B"/>
            </w:tcBorders>
          </w:tcPr>
          <w:p w14:paraId="1217CD6B" w14:textId="77777777" w:rsidR="00BB2CB4" w:rsidRPr="00222C32" w:rsidRDefault="000674DA">
            <w:pPr>
              <w:pStyle w:val="MeasureTableHeadingleftalignedwith2ptsspacing"/>
              <w:keepNext/>
            </w:pPr>
            <w:r w:rsidRPr="00222C32">
              <w:t>Services Australia</w:t>
            </w:r>
          </w:p>
        </w:tc>
        <w:tc>
          <w:tcPr>
            <w:tcW w:w="1044" w:type="dxa"/>
            <w:tcBorders>
              <w:top w:val="single" w:sz="4" w:space="0" w:color="293F5B"/>
              <w:bottom w:val="single" w:sz="4" w:space="0" w:color="293F5B"/>
            </w:tcBorders>
          </w:tcPr>
          <w:p w14:paraId="3630403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41C4D4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CCC973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FD1383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867B60F" w14:textId="77777777" w:rsidR="00BB2CB4" w:rsidRPr="00222C32" w:rsidRDefault="000674DA">
            <w:pPr>
              <w:pStyle w:val="MeasureTableDataRightAlignedwith2ptsspacing"/>
              <w:keepNext/>
            </w:pPr>
            <w:r w:rsidRPr="00222C32">
              <w:t>-</w:t>
            </w:r>
          </w:p>
        </w:tc>
      </w:tr>
      <w:tr w:rsidR="00BB2CB4" w:rsidRPr="00222C32" w14:paraId="6ECEA33D" w14:textId="77777777" w:rsidTr="00825163">
        <w:trPr>
          <w:cantSplit/>
        </w:trPr>
        <w:tc>
          <w:tcPr>
            <w:tcW w:w="2501" w:type="dxa"/>
            <w:tcBorders>
              <w:top w:val="single" w:sz="4" w:space="0" w:color="293F5B"/>
              <w:bottom w:val="single" w:sz="4" w:space="0" w:color="293F5B"/>
            </w:tcBorders>
          </w:tcPr>
          <w:p w14:paraId="40135AB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18B8D8C"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1C20BC1" w14:textId="77777777" w:rsidR="00BB2CB4" w:rsidRPr="00222C32" w:rsidRDefault="000674DA">
            <w:pPr>
              <w:pStyle w:val="Totaldatarowrightaligned"/>
              <w:keepNext/>
            </w:pPr>
            <w:r w:rsidRPr="00222C32">
              <w:t>64.5</w:t>
            </w:r>
          </w:p>
        </w:tc>
        <w:tc>
          <w:tcPr>
            <w:tcW w:w="1044" w:type="dxa"/>
            <w:tcBorders>
              <w:top w:val="single" w:sz="4" w:space="0" w:color="293F5B"/>
              <w:bottom w:val="single" w:sz="4" w:space="0" w:color="293F5B"/>
            </w:tcBorders>
          </w:tcPr>
          <w:p w14:paraId="2C49A110" w14:textId="77777777" w:rsidR="00BB2CB4" w:rsidRPr="00222C32" w:rsidRDefault="000674DA">
            <w:pPr>
              <w:pStyle w:val="Totaldatarowrightaligned"/>
              <w:keepNext/>
            </w:pPr>
            <w:r w:rsidRPr="00222C32">
              <w:t>54.4</w:t>
            </w:r>
          </w:p>
        </w:tc>
        <w:tc>
          <w:tcPr>
            <w:tcW w:w="1044" w:type="dxa"/>
            <w:tcBorders>
              <w:top w:val="single" w:sz="4" w:space="0" w:color="293F5B"/>
              <w:bottom w:val="single" w:sz="4" w:space="0" w:color="293F5B"/>
            </w:tcBorders>
          </w:tcPr>
          <w:p w14:paraId="1FB4B443" w14:textId="77777777" w:rsidR="00BB2CB4" w:rsidRPr="00222C32" w:rsidRDefault="000674DA">
            <w:pPr>
              <w:pStyle w:val="Totaldatarowrightaligned"/>
              <w:keepNext/>
            </w:pPr>
            <w:r w:rsidRPr="00222C32">
              <w:t>44.6</w:t>
            </w:r>
          </w:p>
        </w:tc>
        <w:tc>
          <w:tcPr>
            <w:tcW w:w="1044" w:type="dxa"/>
            <w:tcBorders>
              <w:top w:val="single" w:sz="4" w:space="0" w:color="293F5B"/>
              <w:bottom w:val="single" w:sz="4" w:space="0" w:color="293F5B"/>
            </w:tcBorders>
          </w:tcPr>
          <w:p w14:paraId="727432D2" w14:textId="77777777" w:rsidR="00BB2CB4" w:rsidRPr="00222C32" w:rsidRDefault="000674DA">
            <w:pPr>
              <w:pStyle w:val="Totaldatarowrightaligned"/>
              <w:keepNext/>
            </w:pPr>
            <w:r w:rsidRPr="00222C32">
              <w:t>46.5</w:t>
            </w:r>
          </w:p>
        </w:tc>
      </w:tr>
    </w:tbl>
    <w:p w14:paraId="51149533" w14:textId="77777777" w:rsidR="00300844" w:rsidRDefault="00300844" w:rsidP="00300844">
      <w:pPr>
        <w:pStyle w:val="SingleParagraph"/>
      </w:pPr>
    </w:p>
    <w:p w14:paraId="64CE2AA7" w14:textId="77777777" w:rsidR="00BB2CB4" w:rsidRDefault="000674DA">
      <w:pPr>
        <w:pStyle w:val="Normal2"/>
      </w:pPr>
      <w:r>
        <w:t>The Government will provide $246.5 million over four years from 2025–‍26 (and $48.7 million per year ongoing) to provide better access and more affordable care. Funding includes:</w:t>
      </w:r>
    </w:p>
    <w:p w14:paraId="544743D9" w14:textId="77777777" w:rsidR="00BB2CB4" w:rsidRDefault="000674DA">
      <w:pPr>
        <w:pStyle w:val="Bullet"/>
      </w:pPr>
      <w:r>
        <w:t>$219.8 million over four years from 2025–‍26 (and $48.7 million per year ongoing) to implement 1800MEDICARE, a free, nationwide 24/7 health advice line and afterhours general practitioner telehealth service</w:t>
      </w:r>
    </w:p>
    <w:p w14:paraId="4D02CD59" w14:textId="77777777" w:rsidR="00BB2CB4" w:rsidRDefault="000674DA">
      <w:pPr>
        <w:pStyle w:val="Bullet"/>
      </w:pPr>
      <w:r>
        <w:t>$12.8 million over three years from 2025–‍26 to support existing Medicare Urgent Care Clinics to reduce pressure on hospital emergency departments and improve access for urgent, but not life‑threatening, care</w:t>
      </w:r>
    </w:p>
    <w:p w14:paraId="7F8CB049" w14:textId="77777777" w:rsidR="00BB2CB4" w:rsidRDefault="000674DA">
      <w:pPr>
        <w:pStyle w:val="Bullet"/>
      </w:pPr>
      <w:r>
        <w:t>$8.4 million in 2025–‍26 in additional funding for Medicare Urgent Care Clinics with high patient throughput to boost the capacity of the clinics to treat even more patients</w:t>
      </w:r>
    </w:p>
    <w:p w14:paraId="5353E25F" w14:textId="77777777" w:rsidR="00BB2CB4" w:rsidRDefault="000674DA">
      <w:pPr>
        <w:pStyle w:val="Bullet"/>
      </w:pPr>
      <w:r>
        <w:t>$5.5 million in 2025–‍26 to continue communications to raise awareness of Medicare Urgent Care Clinics.</w:t>
      </w:r>
    </w:p>
    <w:p w14:paraId="5420281C" w14:textId="77777777" w:rsidR="00BB2CB4" w:rsidRDefault="000674DA">
      <w:pPr>
        <w:pStyle w:val="Normal2"/>
      </w:pPr>
      <w:r w:rsidRPr="69C11E82">
        <w:rPr>
          <w:lang w:val="en-US"/>
        </w:rPr>
        <w:t>The Department of Health, Disability and Ageing will partially meet the cost of this measure from within existing resources.</w:t>
      </w:r>
    </w:p>
    <w:p w14:paraId="70AF8C97" w14:textId="77777777" w:rsidR="00BB2CB4" w:rsidRDefault="000674DA">
      <w:pPr>
        <w:pStyle w:val="Normal2"/>
      </w:pPr>
      <w:r>
        <w:lastRenderedPageBreak/>
        <w:t>The Treasury manages Commonwealth payments to the states and territories.</w:t>
      </w:r>
    </w:p>
    <w:p w14:paraId="19B17591" w14:textId="015BDA37" w:rsidR="00BB2CB4" w:rsidRDefault="000674DA">
      <w:pPr>
        <w:pStyle w:val="Normal2"/>
      </w:pPr>
      <w:r>
        <w:t xml:space="preserve">This measure builds on the 2022–‍23 October Budget measure titled </w:t>
      </w:r>
      <w:r w:rsidRPr="000674DA">
        <w:rPr>
          <w:i/>
        </w:rPr>
        <w:t xml:space="preserve">Urgent Care Clinics, </w:t>
      </w:r>
      <w:r w:rsidR="00F72AD5">
        <w:rPr>
          <w:iCs/>
        </w:rPr>
        <w:t xml:space="preserve">the </w:t>
      </w:r>
      <w:r>
        <w:t xml:space="preserve">2023–‍24 Budget measure titled </w:t>
      </w:r>
      <w:r w:rsidRPr="000674DA">
        <w:rPr>
          <w:i/>
        </w:rPr>
        <w:t>Medicare Urgent Care Clinics – additional funding</w:t>
      </w:r>
      <w:r>
        <w:t xml:space="preserve">, </w:t>
      </w:r>
      <w:r w:rsidR="00F72AD5">
        <w:t xml:space="preserve">the </w:t>
      </w:r>
      <w:r>
        <w:t xml:space="preserve">2023–‍24 MYEFO measure titled </w:t>
      </w:r>
      <w:r w:rsidRPr="000674DA">
        <w:rPr>
          <w:i/>
        </w:rPr>
        <w:t>Urgent Care Clinics and Services</w:t>
      </w:r>
      <w:r>
        <w:t xml:space="preserve">, </w:t>
      </w:r>
      <w:r w:rsidR="00F72AD5">
        <w:t xml:space="preserve">the </w:t>
      </w:r>
      <w:r>
        <w:t xml:space="preserve">2024–‍25 Budget measure titled </w:t>
      </w:r>
      <w:r w:rsidRPr="000674DA">
        <w:rPr>
          <w:i/>
        </w:rPr>
        <w:t>Strengthening Medicare – Medicare Urgent Care Clinics – additional funding</w:t>
      </w:r>
      <w:r>
        <w:t xml:space="preserve">, and </w:t>
      </w:r>
      <w:r w:rsidR="00F72AD5">
        <w:t xml:space="preserve">the </w:t>
      </w:r>
      <w:r>
        <w:t xml:space="preserve">2025–‍26 Budget measure titled </w:t>
      </w:r>
      <w:r w:rsidRPr="000674DA">
        <w:rPr>
          <w:i/>
        </w:rPr>
        <w:t>Strengthening Medicare – Expanding Medicare Urgent Care Clinics</w:t>
      </w:r>
      <w:r>
        <w:t>.</w:t>
      </w:r>
    </w:p>
    <w:p w14:paraId="47F80721" w14:textId="6CE097D9"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11365375" w14:textId="77777777" w:rsidR="00BB2CB4" w:rsidRDefault="000674DA">
      <w:pPr>
        <w:pStyle w:val="MeasureTitle"/>
      </w:pPr>
      <w:r>
        <w:t>Support for People with Disability</w:t>
      </w:r>
    </w:p>
    <w:p w14:paraId="6C2C7A81"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9"/>
        <w:gridCol w:w="1043"/>
        <w:gridCol w:w="1042"/>
        <w:gridCol w:w="1042"/>
        <w:gridCol w:w="1042"/>
        <w:gridCol w:w="1042"/>
      </w:tblGrid>
      <w:tr w:rsidR="00BB2CB4" w:rsidRPr="00222C32" w14:paraId="681A820A" w14:textId="77777777" w:rsidTr="00825163">
        <w:trPr>
          <w:cantSplit/>
        </w:trPr>
        <w:tc>
          <w:tcPr>
            <w:tcW w:w="2500" w:type="dxa"/>
          </w:tcPr>
          <w:p w14:paraId="0164A040" w14:textId="77777777" w:rsidR="00BB2CB4" w:rsidRPr="00222C32" w:rsidRDefault="00BB2CB4">
            <w:pPr>
              <w:pStyle w:val="MeasureTableYearHeadings"/>
              <w:keepNext/>
            </w:pPr>
          </w:p>
        </w:tc>
        <w:tc>
          <w:tcPr>
            <w:tcW w:w="1043" w:type="dxa"/>
          </w:tcPr>
          <w:p w14:paraId="0C64749F" w14:textId="77777777" w:rsidR="00BB2CB4" w:rsidRPr="00222C32" w:rsidRDefault="000674DA">
            <w:pPr>
              <w:pStyle w:val="MeasureTableYearHeadings"/>
              <w:keepNext/>
            </w:pPr>
            <w:r w:rsidRPr="00222C32">
              <w:t>2024-25</w:t>
            </w:r>
          </w:p>
        </w:tc>
        <w:tc>
          <w:tcPr>
            <w:tcW w:w="1043" w:type="dxa"/>
          </w:tcPr>
          <w:p w14:paraId="04DAA22D" w14:textId="77777777" w:rsidR="00BB2CB4" w:rsidRPr="00222C32" w:rsidRDefault="000674DA">
            <w:pPr>
              <w:pStyle w:val="MeasureTableYearHeadings"/>
              <w:keepNext/>
            </w:pPr>
            <w:r w:rsidRPr="00222C32">
              <w:t>2025-26</w:t>
            </w:r>
          </w:p>
        </w:tc>
        <w:tc>
          <w:tcPr>
            <w:tcW w:w="1043" w:type="dxa"/>
          </w:tcPr>
          <w:p w14:paraId="528C4FFB" w14:textId="77777777" w:rsidR="00BB2CB4" w:rsidRPr="00222C32" w:rsidRDefault="000674DA">
            <w:pPr>
              <w:pStyle w:val="MeasureTableYearHeadings"/>
              <w:keepNext/>
            </w:pPr>
            <w:r w:rsidRPr="00222C32">
              <w:t>2026-27</w:t>
            </w:r>
          </w:p>
        </w:tc>
        <w:tc>
          <w:tcPr>
            <w:tcW w:w="1043" w:type="dxa"/>
          </w:tcPr>
          <w:p w14:paraId="6BE53825" w14:textId="77777777" w:rsidR="00BB2CB4" w:rsidRPr="00222C32" w:rsidRDefault="000674DA">
            <w:pPr>
              <w:pStyle w:val="MeasureTableYearHeadings"/>
              <w:keepNext/>
            </w:pPr>
            <w:r w:rsidRPr="00222C32">
              <w:t>2027-28</w:t>
            </w:r>
          </w:p>
        </w:tc>
        <w:tc>
          <w:tcPr>
            <w:tcW w:w="1043" w:type="dxa"/>
          </w:tcPr>
          <w:p w14:paraId="53A7D16F" w14:textId="77777777" w:rsidR="00BB2CB4" w:rsidRPr="00222C32" w:rsidRDefault="000674DA">
            <w:pPr>
              <w:pStyle w:val="MeasureTableYearHeadings"/>
              <w:keepNext/>
            </w:pPr>
            <w:r w:rsidRPr="00222C32">
              <w:t>2028-29</w:t>
            </w:r>
          </w:p>
        </w:tc>
      </w:tr>
      <w:tr w:rsidR="00BB2CB4" w:rsidRPr="00222C32" w14:paraId="20297BB7" w14:textId="77777777" w:rsidTr="00825163">
        <w:trPr>
          <w:cantSplit/>
        </w:trPr>
        <w:tc>
          <w:tcPr>
            <w:tcW w:w="2500" w:type="dxa"/>
          </w:tcPr>
          <w:p w14:paraId="5BFB96FE" w14:textId="77777777" w:rsidR="00BB2CB4" w:rsidRPr="00222C32" w:rsidRDefault="000674DA">
            <w:pPr>
              <w:pStyle w:val="MeasureTableHeadingleftalignedwith2ptsspacing"/>
              <w:keepNext/>
            </w:pPr>
            <w:r w:rsidRPr="00222C32">
              <w:t>Department of the Treasury</w:t>
            </w:r>
          </w:p>
        </w:tc>
        <w:tc>
          <w:tcPr>
            <w:tcW w:w="1043" w:type="dxa"/>
          </w:tcPr>
          <w:p w14:paraId="5DDC748D" w14:textId="77777777" w:rsidR="00BB2CB4" w:rsidRPr="00222C32" w:rsidRDefault="000674DA">
            <w:pPr>
              <w:pStyle w:val="MeasureTableDataRightAlignedwith2ptsspacing"/>
              <w:keepNext/>
            </w:pPr>
            <w:r w:rsidRPr="00222C32">
              <w:t>842.9</w:t>
            </w:r>
          </w:p>
        </w:tc>
        <w:tc>
          <w:tcPr>
            <w:tcW w:w="1043" w:type="dxa"/>
          </w:tcPr>
          <w:p w14:paraId="6D701CBD" w14:textId="77777777" w:rsidR="00BB2CB4" w:rsidRPr="00222C32" w:rsidRDefault="000674DA">
            <w:pPr>
              <w:pStyle w:val="MeasureTableDataRightAlignedwith2ptsspacing"/>
              <w:keepNext/>
            </w:pPr>
            <w:r w:rsidRPr="00222C32">
              <w:t>17.6</w:t>
            </w:r>
          </w:p>
        </w:tc>
        <w:tc>
          <w:tcPr>
            <w:tcW w:w="1043" w:type="dxa"/>
          </w:tcPr>
          <w:p w14:paraId="010B5E7F" w14:textId="77777777" w:rsidR="00BB2CB4" w:rsidRPr="00222C32" w:rsidRDefault="000674DA">
            <w:pPr>
              <w:pStyle w:val="MeasureTableDataRightAlignedwith2ptsspacing"/>
              <w:keepNext/>
            </w:pPr>
            <w:r w:rsidRPr="00222C32">
              <w:t>-</w:t>
            </w:r>
          </w:p>
        </w:tc>
        <w:tc>
          <w:tcPr>
            <w:tcW w:w="1043" w:type="dxa"/>
          </w:tcPr>
          <w:p w14:paraId="2C34EDE7" w14:textId="77777777" w:rsidR="00BB2CB4" w:rsidRPr="00222C32" w:rsidRDefault="000674DA">
            <w:pPr>
              <w:pStyle w:val="MeasureTableDataRightAlignedwith2ptsspacing"/>
              <w:keepNext/>
            </w:pPr>
            <w:r w:rsidRPr="00222C32">
              <w:t>-</w:t>
            </w:r>
          </w:p>
        </w:tc>
        <w:tc>
          <w:tcPr>
            <w:tcW w:w="1043" w:type="dxa"/>
          </w:tcPr>
          <w:p w14:paraId="05978081" w14:textId="77777777" w:rsidR="00BB2CB4" w:rsidRPr="00222C32" w:rsidRDefault="000674DA">
            <w:pPr>
              <w:pStyle w:val="MeasureTableDataRightAlignedwith2ptsspacing"/>
              <w:keepNext/>
            </w:pPr>
            <w:r w:rsidRPr="00222C32">
              <w:t>-</w:t>
            </w:r>
          </w:p>
        </w:tc>
      </w:tr>
      <w:tr w:rsidR="00BB2CB4" w:rsidRPr="00222C32" w14:paraId="2797FAD6" w14:textId="77777777" w:rsidTr="00825163">
        <w:trPr>
          <w:cantSplit/>
        </w:trPr>
        <w:tc>
          <w:tcPr>
            <w:tcW w:w="2500" w:type="dxa"/>
          </w:tcPr>
          <w:p w14:paraId="727BE911" w14:textId="77777777" w:rsidR="00BB2CB4" w:rsidRPr="00222C32" w:rsidRDefault="000674DA">
            <w:pPr>
              <w:pStyle w:val="MeasureTableHeadingleftalignedwith2ptsspacing"/>
              <w:keepNext/>
            </w:pPr>
            <w:r w:rsidRPr="00222C32">
              <w:t>NDIS Quality and Safeguards Commission</w:t>
            </w:r>
          </w:p>
        </w:tc>
        <w:tc>
          <w:tcPr>
            <w:tcW w:w="1043" w:type="dxa"/>
          </w:tcPr>
          <w:p w14:paraId="16A9219C" w14:textId="77777777" w:rsidR="00BB2CB4" w:rsidRPr="00222C32" w:rsidRDefault="000674DA">
            <w:pPr>
              <w:pStyle w:val="MeasureTableDataRightAlignedwith2ptsspacing"/>
              <w:keepNext/>
            </w:pPr>
            <w:r w:rsidRPr="00222C32">
              <w:t>-</w:t>
            </w:r>
          </w:p>
        </w:tc>
        <w:tc>
          <w:tcPr>
            <w:tcW w:w="1043" w:type="dxa"/>
          </w:tcPr>
          <w:p w14:paraId="717B133E" w14:textId="77777777" w:rsidR="00BB2CB4" w:rsidRPr="00222C32" w:rsidRDefault="000674DA">
            <w:pPr>
              <w:pStyle w:val="MeasureTableDataRightAlignedwith2ptsspacing"/>
              <w:keepNext/>
            </w:pPr>
            <w:r w:rsidRPr="00222C32">
              <w:t>-</w:t>
            </w:r>
          </w:p>
        </w:tc>
        <w:tc>
          <w:tcPr>
            <w:tcW w:w="1043" w:type="dxa"/>
          </w:tcPr>
          <w:p w14:paraId="199E2CDC" w14:textId="77777777" w:rsidR="00BB2CB4" w:rsidRPr="00222C32" w:rsidRDefault="000674DA">
            <w:pPr>
              <w:pStyle w:val="MeasureTableDataRightAlignedwith2ptsspacing"/>
              <w:keepNext/>
            </w:pPr>
            <w:r w:rsidRPr="00222C32">
              <w:t>-</w:t>
            </w:r>
          </w:p>
        </w:tc>
        <w:tc>
          <w:tcPr>
            <w:tcW w:w="1043" w:type="dxa"/>
          </w:tcPr>
          <w:p w14:paraId="642BA6CC" w14:textId="77777777" w:rsidR="00BB2CB4" w:rsidRPr="00222C32" w:rsidRDefault="000674DA">
            <w:pPr>
              <w:pStyle w:val="MeasureTableDataRightAlignedwith2ptsspacing"/>
              <w:keepNext/>
            </w:pPr>
            <w:r w:rsidRPr="00222C32">
              <w:t>-</w:t>
            </w:r>
          </w:p>
        </w:tc>
        <w:tc>
          <w:tcPr>
            <w:tcW w:w="1043" w:type="dxa"/>
          </w:tcPr>
          <w:p w14:paraId="79AAC6C2" w14:textId="77777777" w:rsidR="00BB2CB4" w:rsidRPr="00222C32" w:rsidRDefault="000674DA">
            <w:pPr>
              <w:pStyle w:val="MeasureTableDataRightAlignedwith2ptsspacing"/>
              <w:keepNext/>
            </w:pPr>
            <w:r w:rsidRPr="00222C32">
              <w:t>-</w:t>
            </w:r>
          </w:p>
        </w:tc>
      </w:tr>
      <w:tr w:rsidR="00BB2CB4" w:rsidRPr="00222C32" w14:paraId="57F01A3F" w14:textId="77777777" w:rsidTr="00825163">
        <w:trPr>
          <w:cantSplit/>
        </w:trPr>
        <w:tc>
          <w:tcPr>
            <w:tcW w:w="2500" w:type="dxa"/>
          </w:tcPr>
          <w:p w14:paraId="0C7EAF0C" w14:textId="77777777" w:rsidR="00BB2CB4" w:rsidRPr="00222C32" w:rsidRDefault="000674DA">
            <w:pPr>
              <w:pStyle w:val="MeasureTableHeadingleftalignedwith2ptsspacing"/>
              <w:keepNext/>
            </w:pPr>
            <w:r w:rsidRPr="00222C32">
              <w:t>Department of Health, Disability and Ageing</w:t>
            </w:r>
          </w:p>
        </w:tc>
        <w:tc>
          <w:tcPr>
            <w:tcW w:w="1043" w:type="dxa"/>
          </w:tcPr>
          <w:p w14:paraId="730E27E3" w14:textId="77777777" w:rsidR="00BB2CB4" w:rsidRPr="00222C32" w:rsidRDefault="000674DA">
            <w:pPr>
              <w:pStyle w:val="MeasureTableDataRightAlignedwith2ptsspacing"/>
              <w:keepNext/>
            </w:pPr>
            <w:r w:rsidRPr="00222C32">
              <w:t>-</w:t>
            </w:r>
          </w:p>
        </w:tc>
        <w:tc>
          <w:tcPr>
            <w:tcW w:w="1043" w:type="dxa"/>
          </w:tcPr>
          <w:p w14:paraId="011D2914" w14:textId="77777777" w:rsidR="00BB2CB4" w:rsidRPr="00222C32" w:rsidRDefault="000674DA">
            <w:pPr>
              <w:pStyle w:val="MeasureTableDataRightAlignedwith2ptsspacing"/>
              <w:keepNext/>
            </w:pPr>
            <w:r w:rsidRPr="00222C32">
              <w:t>-3.3</w:t>
            </w:r>
          </w:p>
        </w:tc>
        <w:tc>
          <w:tcPr>
            <w:tcW w:w="1043" w:type="dxa"/>
          </w:tcPr>
          <w:p w14:paraId="56BD903F" w14:textId="77777777" w:rsidR="00BB2CB4" w:rsidRPr="00222C32" w:rsidRDefault="000674DA">
            <w:pPr>
              <w:pStyle w:val="MeasureTableDataRightAlignedwith2ptsspacing"/>
              <w:keepNext/>
            </w:pPr>
            <w:r w:rsidRPr="00222C32">
              <w:t>2.8</w:t>
            </w:r>
          </w:p>
        </w:tc>
        <w:tc>
          <w:tcPr>
            <w:tcW w:w="1043" w:type="dxa"/>
          </w:tcPr>
          <w:p w14:paraId="4153B2A1" w14:textId="77777777" w:rsidR="00BB2CB4" w:rsidRPr="00222C32" w:rsidRDefault="000674DA">
            <w:pPr>
              <w:pStyle w:val="MeasureTableDataRightAlignedwith2ptsspacing"/>
              <w:keepNext/>
            </w:pPr>
            <w:r w:rsidRPr="00222C32">
              <w:t>2.9</w:t>
            </w:r>
          </w:p>
        </w:tc>
        <w:tc>
          <w:tcPr>
            <w:tcW w:w="1043" w:type="dxa"/>
          </w:tcPr>
          <w:p w14:paraId="42F8A574" w14:textId="77777777" w:rsidR="00BB2CB4" w:rsidRPr="00222C32" w:rsidRDefault="000674DA">
            <w:pPr>
              <w:pStyle w:val="MeasureTableDataRightAlignedwith2ptsspacing"/>
              <w:keepNext/>
            </w:pPr>
            <w:r w:rsidRPr="00222C32">
              <w:t>-</w:t>
            </w:r>
          </w:p>
        </w:tc>
      </w:tr>
      <w:tr w:rsidR="00BB2CB4" w:rsidRPr="00222C32" w14:paraId="184F14A1" w14:textId="77777777" w:rsidTr="00825163">
        <w:trPr>
          <w:cantSplit/>
        </w:trPr>
        <w:tc>
          <w:tcPr>
            <w:tcW w:w="2500" w:type="dxa"/>
          </w:tcPr>
          <w:p w14:paraId="312BCB30" w14:textId="77777777" w:rsidR="00BB2CB4" w:rsidRPr="00222C32" w:rsidRDefault="000674DA">
            <w:pPr>
              <w:pStyle w:val="MeasureTableHeadingleftalignedwith2ptsspacing"/>
              <w:keepNext/>
            </w:pPr>
            <w:r w:rsidRPr="00222C32">
              <w:t>Department of Social Services</w:t>
            </w:r>
          </w:p>
        </w:tc>
        <w:tc>
          <w:tcPr>
            <w:tcW w:w="1043" w:type="dxa"/>
          </w:tcPr>
          <w:p w14:paraId="781EC447" w14:textId="77777777" w:rsidR="00BB2CB4" w:rsidRPr="00222C32" w:rsidRDefault="000674DA">
            <w:pPr>
              <w:pStyle w:val="MeasureTableDataRightAlignedwith2ptsspacing"/>
              <w:keepNext/>
            </w:pPr>
            <w:r w:rsidRPr="00222C32">
              <w:t>-</w:t>
            </w:r>
          </w:p>
        </w:tc>
        <w:tc>
          <w:tcPr>
            <w:tcW w:w="1043" w:type="dxa"/>
          </w:tcPr>
          <w:p w14:paraId="4F5CE1CF" w14:textId="77777777" w:rsidR="00BB2CB4" w:rsidRPr="00222C32" w:rsidRDefault="000674DA">
            <w:pPr>
              <w:pStyle w:val="MeasureTableDataRightAlignedwith2ptsspacing"/>
              <w:keepNext/>
            </w:pPr>
            <w:r w:rsidRPr="00222C32">
              <w:t>-4.2</w:t>
            </w:r>
          </w:p>
        </w:tc>
        <w:tc>
          <w:tcPr>
            <w:tcW w:w="1043" w:type="dxa"/>
          </w:tcPr>
          <w:p w14:paraId="394FB284" w14:textId="77777777" w:rsidR="00BB2CB4" w:rsidRPr="00222C32" w:rsidRDefault="000674DA">
            <w:pPr>
              <w:pStyle w:val="MeasureTableDataRightAlignedwith2ptsspacing"/>
              <w:keepNext/>
            </w:pPr>
            <w:r w:rsidRPr="00222C32">
              <w:t>-</w:t>
            </w:r>
          </w:p>
        </w:tc>
        <w:tc>
          <w:tcPr>
            <w:tcW w:w="1043" w:type="dxa"/>
          </w:tcPr>
          <w:p w14:paraId="41805682" w14:textId="77777777" w:rsidR="00BB2CB4" w:rsidRPr="00222C32" w:rsidRDefault="000674DA">
            <w:pPr>
              <w:pStyle w:val="MeasureTableDataRightAlignedwith2ptsspacing"/>
              <w:keepNext/>
            </w:pPr>
            <w:r w:rsidRPr="00222C32">
              <w:t>-</w:t>
            </w:r>
          </w:p>
        </w:tc>
        <w:tc>
          <w:tcPr>
            <w:tcW w:w="1043" w:type="dxa"/>
          </w:tcPr>
          <w:p w14:paraId="738389EC" w14:textId="77777777" w:rsidR="00BB2CB4" w:rsidRPr="00222C32" w:rsidRDefault="000674DA">
            <w:pPr>
              <w:pStyle w:val="MeasureTableDataRightAlignedwith2ptsspacing"/>
              <w:keepNext/>
            </w:pPr>
            <w:r w:rsidRPr="00222C32">
              <w:t>-</w:t>
            </w:r>
          </w:p>
        </w:tc>
      </w:tr>
      <w:tr w:rsidR="00BB2CB4" w:rsidRPr="00222C32" w14:paraId="2B8416C8" w14:textId="77777777" w:rsidTr="00825163">
        <w:trPr>
          <w:cantSplit/>
        </w:trPr>
        <w:tc>
          <w:tcPr>
            <w:tcW w:w="2500" w:type="dxa"/>
          </w:tcPr>
          <w:p w14:paraId="2CD71B90" w14:textId="77777777" w:rsidR="00BB2CB4" w:rsidRPr="00222C32" w:rsidRDefault="000674DA">
            <w:pPr>
              <w:pStyle w:val="Totalrowleftaligned"/>
              <w:keepNext/>
            </w:pPr>
            <w:r w:rsidRPr="00222C32">
              <w:t>Total – Payments</w:t>
            </w:r>
          </w:p>
        </w:tc>
        <w:tc>
          <w:tcPr>
            <w:tcW w:w="1043" w:type="dxa"/>
          </w:tcPr>
          <w:p w14:paraId="53492A32" w14:textId="77777777" w:rsidR="00BB2CB4" w:rsidRPr="00222C32" w:rsidRDefault="000674DA">
            <w:pPr>
              <w:pStyle w:val="Totaldatarowrightaligned"/>
              <w:keepNext/>
            </w:pPr>
            <w:r w:rsidRPr="00222C32">
              <w:t>842.9</w:t>
            </w:r>
          </w:p>
        </w:tc>
        <w:tc>
          <w:tcPr>
            <w:tcW w:w="1043" w:type="dxa"/>
          </w:tcPr>
          <w:p w14:paraId="38E4938F" w14:textId="77777777" w:rsidR="00BB2CB4" w:rsidRPr="00222C32" w:rsidRDefault="000674DA">
            <w:pPr>
              <w:pStyle w:val="Totaldatarowrightaligned"/>
              <w:keepNext/>
            </w:pPr>
            <w:r w:rsidRPr="00222C32">
              <w:t>10.1</w:t>
            </w:r>
          </w:p>
        </w:tc>
        <w:tc>
          <w:tcPr>
            <w:tcW w:w="1043" w:type="dxa"/>
          </w:tcPr>
          <w:p w14:paraId="33FDB529" w14:textId="77777777" w:rsidR="00BB2CB4" w:rsidRPr="00222C32" w:rsidRDefault="000674DA">
            <w:pPr>
              <w:pStyle w:val="Totaldatarowrightaligned"/>
              <w:keepNext/>
            </w:pPr>
            <w:r w:rsidRPr="00222C32">
              <w:t>2.8</w:t>
            </w:r>
          </w:p>
        </w:tc>
        <w:tc>
          <w:tcPr>
            <w:tcW w:w="1043" w:type="dxa"/>
          </w:tcPr>
          <w:p w14:paraId="271BA210" w14:textId="77777777" w:rsidR="00BB2CB4" w:rsidRPr="00222C32" w:rsidRDefault="000674DA">
            <w:pPr>
              <w:pStyle w:val="Totaldatarowrightaligned"/>
              <w:keepNext/>
            </w:pPr>
            <w:r w:rsidRPr="00222C32">
              <w:t>2.9</w:t>
            </w:r>
          </w:p>
        </w:tc>
        <w:tc>
          <w:tcPr>
            <w:tcW w:w="1043" w:type="dxa"/>
          </w:tcPr>
          <w:p w14:paraId="6A25142E" w14:textId="77777777" w:rsidR="00BB2CB4" w:rsidRPr="00222C32" w:rsidRDefault="000674DA">
            <w:pPr>
              <w:pStyle w:val="Totaldatarowrightaligned"/>
              <w:keepNext/>
            </w:pPr>
            <w:r w:rsidRPr="00222C32">
              <w:t>-</w:t>
            </w:r>
          </w:p>
        </w:tc>
      </w:tr>
    </w:tbl>
    <w:p w14:paraId="056AC9FB" w14:textId="77777777" w:rsidR="00BB2CB4" w:rsidRDefault="00BB2CB4" w:rsidP="00A143A7">
      <w:pPr>
        <w:pStyle w:val="SingleParagraph"/>
      </w:pPr>
    </w:p>
    <w:p w14:paraId="6CD3550F" w14:textId="77777777" w:rsidR="00BB2CB4" w:rsidRDefault="000674DA">
      <w:pPr>
        <w:pStyle w:val="Normal2"/>
      </w:pPr>
      <w:r>
        <w:t>The Government will provide $880.0 million over four years from 2024–‍25 to support people with disability. Funding includes:</w:t>
      </w:r>
    </w:p>
    <w:p w14:paraId="0273071B" w14:textId="77777777" w:rsidR="00BB2CB4" w:rsidRDefault="000674DA">
      <w:pPr>
        <w:pStyle w:val="Bullet"/>
      </w:pPr>
      <w:r>
        <w:t>$842.9 million in 2024–‍25 to Western Australia to finalise the DisabilityCare Australia Fund</w:t>
      </w:r>
    </w:p>
    <w:p w14:paraId="11E44498" w14:textId="77777777" w:rsidR="00BB2CB4" w:rsidRDefault="000674DA">
      <w:pPr>
        <w:pStyle w:val="Bullet"/>
      </w:pPr>
      <w:r>
        <w:t>$17.6 million in 2025–‍26 to support National Disability Insurance Scheme (NDIS) participants and supported employees during the sale and restructure of Bedford Group</w:t>
      </w:r>
    </w:p>
    <w:p w14:paraId="7D282E05" w14:textId="77777777" w:rsidR="00BB2CB4" w:rsidRDefault="000674DA">
      <w:pPr>
        <w:pStyle w:val="Bullet"/>
      </w:pPr>
      <w:r>
        <w:t>$10.1 million in 2025–‍26 to the Department of Health, Disability and Ageing to continue the development and implementation of NDIS legislative reforms</w:t>
      </w:r>
    </w:p>
    <w:p w14:paraId="097A6C82" w14:textId="77777777" w:rsidR="00BB2CB4" w:rsidRDefault="000674DA">
      <w:pPr>
        <w:pStyle w:val="Bullet"/>
      </w:pPr>
      <w:r>
        <w:t>$5.7 million over two years from 2026–‍27 to continue increased support for disability systemic advocacy</w:t>
      </w:r>
    </w:p>
    <w:p w14:paraId="38A15FEA" w14:textId="3A0E9F7B" w:rsidR="00BB2CB4" w:rsidRDefault="000674DA">
      <w:pPr>
        <w:pStyle w:val="Bullet"/>
      </w:pPr>
      <w:r>
        <w:t xml:space="preserve">$3.8 million over two years from 2026–‍27 to extend the Primary Care Enhancement </w:t>
      </w:r>
      <w:r w:rsidR="00E01328">
        <w:t>p</w:t>
      </w:r>
      <w:r>
        <w:t>rogram for people with intellectual disability.</w:t>
      </w:r>
    </w:p>
    <w:p w14:paraId="21E95FB0" w14:textId="77777777" w:rsidR="00BB2CB4" w:rsidRDefault="000674DA">
      <w:pPr>
        <w:pStyle w:val="Normal2"/>
      </w:pPr>
      <w:r w:rsidRPr="69C11E82">
        <w:rPr>
          <w:lang w:val="en-US"/>
        </w:rPr>
        <w:t>The NDIS Quality and Safeguards Commission will also expand NDIS provider registration with mandatory registration of supported independent living and digital platform providers from 1 July 2026.</w:t>
      </w:r>
    </w:p>
    <w:p w14:paraId="1108A7F3" w14:textId="77777777" w:rsidR="00BB2CB4" w:rsidRDefault="000674DA">
      <w:pPr>
        <w:pStyle w:val="Normal2"/>
        <w:rPr>
          <w:lang w:val="en-US"/>
        </w:rPr>
      </w:pPr>
      <w:r w:rsidRPr="69C11E82">
        <w:rPr>
          <w:lang w:val="en-US"/>
        </w:rPr>
        <w:t>The Department of Health, Disability and Ageing and the Department of Social Services will partially meet the cost of this measure from within existing resources.</w:t>
      </w:r>
    </w:p>
    <w:p w14:paraId="141FD3EC" w14:textId="77777777" w:rsidR="00BB2CB4" w:rsidRDefault="000674DA">
      <w:pPr>
        <w:pStyle w:val="Normal2"/>
      </w:pPr>
      <w:r>
        <w:t>The Treasury manages Commonwealth payments to the states and territories.</w:t>
      </w:r>
    </w:p>
    <w:p w14:paraId="2411B285" w14:textId="77777777" w:rsidR="00BB2CB4" w:rsidRDefault="000674DA">
      <w:pPr>
        <w:pStyle w:val="Normal2"/>
      </w:pPr>
      <w:r>
        <w:lastRenderedPageBreak/>
        <w:t xml:space="preserve">This measure extends the 2022–‍23 October Budget measure titled </w:t>
      </w:r>
      <w:r w:rsidRPr="000674DA">
        <w:rPr>
          <w:i/>
        </w:rPr>
        <w:t>Better Support for People Living with Disability</w:t>
      </w:r>
      <w:r>
        <w:t xml:space="preserve">, the 2023–‍24 MYEFO measure titled </w:t>
      </w:r>
      <w:r w:rsidRPr="000674DA">
        <w:rPr>
          <w:i/>
        </w:rPr>
        <w:t xml:space="preserve">Support for the National Disability Insurance Scheme, </w:t>
      </w:r>
      <w:r>
        <w:t>and the 2024–‍25 MYEFO measure titled</w:t>
      </w:r>
      <w:r w:rsidRPr="000674DA">
        <w:rPr>
          <w:i/>
        </w:rPr>
        <w:t xml:space="preserve"> Government Response to the Disability Royal Commission</w:t>
      </w:r>
      <w:r>
        <w:t>.</w:t>
      </w:r>
    </w:p>
    <w:p w14:paraId="55FA4B1E" w14:textId="14BB717B" w:rsidR="00BB2CB4" w:rsidRDefault="000674DA">
      <w:pPr>
        <w:pStyle w:val="MeasureTitle"/>
      </w:pPr>
      <w:r>
        <w:t>Supporting Medical Research</w:t>
      </w:r>
    </w:p>
    <w:p w14:paraId="7E209D94" w14:textId="77777777" w:rsidR="00BB2CB4" w:rsidRDefault="000674DA">
      <w:pPr>
        <w:pStyle w:val="MeasureTableHeading"/>
      </w:pPr>
      <w:r>
        <w:t>Payments ($m)</w:t>
      </w:r>
    </w:p>
    <w:tbl>
      <w:tblPr>
        <w:tblOverlap w:val="never"/>
        <w:tblW w:w="5000" w:type="pct"/>
        <w:tblBorders>
          <w:top w:val="single" w:sz="4" w:space="0" w:color="293F5B"/>
          <w:bottom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A4F4351" w14:textId="77777777" w:rsidTr="00825163">
        <w:trPr>
          <w:cantSplit/>
        </w:trPr>
        <w:tc>
          <w:tcPr>
            <w:tcW w:w="2501" w:type="dxa"/>
            <w:tcBorders>
              <w:bottom w:val="nil"/>
            </w:tcBorders>
          </w:tcPr>
          <w:p w14:paraId="444A353F" w14:textId="77777777" w:rsidR="00BB2CB4" w:rsidRPr="00222C32" w:rsidRDefault="00BB2CB4">
            <w:pPr>
              <w:pStyle w:val="MeasureTableYearHeadings"/>
              <w:keepNext/>
            </w:pPr>
          </w:p>
        </w:tc>
        <w:tc>
          <w:tcPr>
            <w:tcW w:w="1044" w:type="dxa"/>
            <w:tcBorders>
              <w:bottom w:val="nil"/>
            </w:tcBorders>
          </w:tcPr>
          <w:p w14:paraId="6DE97CBD" w14:textId="77777777" w:rsidR="00BB2CB4" w:rsidRPr="00222C32" w:rsidRDefault="000674DA">
            <w:pPr>
              <w:pStyle w:val="MeasureTableYearHeadings"/>
              <w:keepNext/>
            </w:pPr>
            <w:r w:rsidRPr="00222C32">
              <w:t>2024-25</w:t>
            </w:r>
          </w:p>
        </w:tc>
        <w:tc>
          <w:tcPr>
            <w:tcW w:w="1044" w:type="dxa"/>
            <w:tcBorders>
              <w:bottom w:val="nil"/>
            </w:tcBorders>
          </w:tcPr>
          <w:p w14:paraId="31634A1C" w14:textId="77777777" w:rsidR="00BB2CB4" w:rsidRPr="00222C32" w:rsidRDefault="000674DA">
            <w:pPr>
              <w:pStyle w:val="MeasureTableYearHeadings"/>
              <w:keepNext/>
            </w:pPr>
            <w:r w:rsidRPr="00222C32">
              <w:t>2025-26</w:t>
            </w:r>
          </w:p>
        </w:tc>
        <w:tc>
          <w:tcPr>
            <w:tcW w:w="1044" w:type="dxa"/>
            <w:tcBorders>
              <w:bottom w:val="nil"/>
            </w:tcBorders>
          </w:tcPr>
          <w:p w14:paraId="491ED9EE" w14:textId="77777777" w:rsidR="00BB2CB4" w:rsidRPr="00222C32" w:rsidRDefault="000674DA">
            <w:pPr>
              <w:pStyle w:val="MeasureTableYearHeadings"/>
              <w:keepNext/>
            </w:pPr>
            <w:r w:rsidRPr="00222C32">
              <w:t>2026-27</w:t>
            </w:r>
          </w:p>
        </w:tc>
        <w:tc>
          <w:tcPr>
            <w:tcW w:w="1044" w:type="dxa"/>
            <w:tcBorders>
              <w:bottom w:val="nil"/>
            </w:tcBorders>
          </w:tcPr>
          <w:p w14:paraId="3F9B5D6C" w14:textId="77777777" w:rsidR="00BB2CB4" w:rsidRPr="00222C32" w:rsidRDefault="000674DA">
            <w:pPr>
              <w:pStyle w:val="MeasureTableYearHeadings"/>
              <w:keepNext/>
            </w:pPr>
            <w:r w:rsidRPr="00222C32">
              <w:t>2027-28</w:t>
            </w:r>
          </w:p>
        </w:tc>
        <w:tc>
          <w:tcPr>
            <w:tcW w:w="1044" w:type="dxa"/>
            <w:tcBorders>
              <w:bottom w:val="nil"/>
            </w:tcBorders>
          </w:tcPr>
          <w:p w14:paraId="465BC988" w14:textId="77777777" w:rsidR="00BB2CB4" w:rsidRPr="00222C32" w:rsidRDefault="000674DA">
            <w:pPr>
              <w:pStyle w:val="MeasureTableYearHeadings"/>
              <w:keepNext/>
            </w:pPr>
            <w:r w:rsidRPr="00222C32">
              <w:t>2028-29</w:t>
            </w:r>
          </w:p>
        </w:tc>
      </w:tr>
      <w:tr w:rsidR="00BB2CB4" w:rsidRPr="00222C32" w14:paraId="2346956C" w14:textId="77777777" w:rsidTr="00825163">
        <w:trPr>
          <w:cantSplit/>
        </w:trPr>
        <w:tc>
          <w:tcPr>
            <w:tcW w:w="2501" w:type="dxa"/>
            <w:tcBorders>
              <w:top w:val="nil"/>
              <w:bottom w:val="single" w:sz="4" w:space="0" w:color="293F5B"/>
            </w:tcBorders>
          </w:tcPr>
          <w:p w14:paraId="5DD65D41" w14:textId="77777777" w:rsidR="00BB2CB4" w:rsidRPr="00222C32" w:rsidRDefault="000674DA">
            <w:pPr>
              <w:pStyle w:val="MeasureTableHeadingleftalignedwith2ptsspacing"/>
              <w:keepNext/>
            </w:pPr>
            <w:r w:rsidRPr="00222C32">
              <w:t>Department of Health, Disability and Ageing</w:t>
            </w:r>
          </w:p>
        </w:tc>
        <w:tc>
          <w:tcPr>
            <w:tcW w:w="1044" w:type="dxa"/>
            <w:tcBorders>
              <w:top w:val="nil"/>
              <w:bottom w:val="single" w:sz="4" w:space="0" w:color="293F5B"/>
            </w:tcBorders>
          </w:tcPr>
          <w:p w14:paraId="03C476DC" w14:textId="77777777" w:rsidR="00BB2CB4" w:rsidRPr="00222C32" w:rsidRDefault="000674DA">
            <w:pPr>
              <w:pStyle w:val="MeasureTableDataRightAlignedwith2ptsspacing"/>
              <w:keepNext/>
            </w:pPr>
            <w:r w:rsidRPr="00222C32">
              <w:t>-</w:t>
            </w:r>
          </w:p>
        </w:tc>
        <w:tc>
          <w:tcPr>
            <w:tcW w:w="1044" w:type="dxa"/>
            <w:tcBorders>
              <w:top w:val="nil"/>
              <w:bottom w:val="single" w:sz="4" w:space="0" w:color="293F5B"/>
            </w:tcBorders>
          </w:tcPr>
          <w:p w14:paraId="23108D25" w14:textId="77777777" w:rsidR="00BB2CB4" w:rsidRPr="00222C32" w:rsidRDefault="000674DA">
            <w:pPr>
              <w:pStyle w:val="MeasureTableDataRightAlignedwith2ptsspacing"/>
              <w:keepNext/>
            </w:pPr>
            <w:r w:rsidRPr="00222C32">
              <w:t>2.5</w:t>
            </w:r>
          </w:p>
        </w:tc>
        <w:tc>
          <w:tcPr>
            <w:tcW w:w="1044" w:type="dxa"/>
            <w:tcBorders>
              <w:top w:val="nil"/>
              <w:bottom w:val="single" w:sz="4" w:space="0" w:color="293F5B"/>
            </w:tcBorders>
          </w:tcPr>
          <w:p w14:paraId="4D039942" w14:textId="77777777" w:rsidR="00BB2CB4" w:rsidRPr="00222C32" w:rsidRDefault="000674DA">
            <w:pPr>
              <w:pStyle w:val="MeasureTableDataRightAlignedwith2ptsspacing"/>
              <w:keepNext/>
            </w:pPr>
            <w:r w:rsidRPr="00222C32">
              <w:t>2.5</w:t>
            </w:r>
          </w:p>
        </w:tc>
        <w:tc>
          <w:tcPr>
            <w:tcW w:w="1044" w:type="dxa"/>
            <w:tcBorders>
              <w:top w:val="nil"/>
              <w:bottom w:val="single" w:sz="4" w:space="0" w:color="293F5B"/>
            </w:tcBorders>
          </w:tcPr>
          <w:p w14:paraId="1E1B6A7F" w14:textId="77777777" w:rsidR="00BB2CB4" w:rsidRPr="00222C32" w:rsidRDefault="000674DA">
            <w:pPr>
              <w:pStyle w:val="MeasureTableDataRightAlignedwith2ptsspacing"/>
              <w:keepNext/>
            </w:pPr>
            <w:r w:rsidRPr="00222C32">
              <w:t>2.5</w:t>
            </w:r>
          </w:p>
        </w:tc>
        <w:tc>
          <w:tcPr>
            <w:tcW w:w="1044" w:type="dxa"/>
            <w:tcBorders>
              <w:top w:val="nil"/>
              <w:bottom w:val="single" w:sz="4" w:space="0" w:color="293F5B"/>
            </w:tcBorders>
          </w:tcPr>
          <w:p w14:paraId="1CD144BC" w14:textId="77777777" w:rsidR="00BB2CB4" w:rsidRPr="00222C32" w:rsidRDefault="000674DA">
            <w:pPr>
              <w:pStyle w:val="MeasureTableDataRightAlignedwith2ptsspacing"/>
              <w:keepNext/>
            </w:pPr>
            <w:r w:rsidRPr="00222C32">
              <w:t>-</w:t>
            </w:r>
          </w:p>
        </w:tc>
      </w:tr>
    </w:tbl>
    <w:p w14:paraId="6D469BB2" w14:textId="77777777" w:rsidR="00BF07CA" w:rsidRDefault="00BF07CA" w:rsidP="00BF07CA">
      <w:pPr>
        <w:pStyle w:val="SingleParagraph"/>
      </w:pPr>
    </w:p>
    <w:p w14:paraId="3C1EDAEE" w14:textId="77777777" w:rsidR="00BB2CB4" w:rsidRDefault="000674DA">
      <w:pPr>
        <w:pStyle w:val="Normal2"/>
      </w:pPr>
      <w:r>
        <w:t>The Government will provide $8.1 million over three years from 2025–‍26 to support medical research into rare diseases. Funding includes:</w:t>
      </w:r>
    </w:p>
    <w:p w14:paraId="06C1B2EF" w14:textId="77777777" w:rsidR="00BB2CB4" w:rsidRDefault="000674DA">
      <w:pPr>
        <w:pStyle w:val="Bullet"/>
      </w:pPr>
      <w:r>
        <w:t>$4.8 million over three years from 2025–‍26 to support FightMND to expand its efforts to raise awareness and to support research and care projects for people living with motor neurone disease</w:t>
      </w:r>
    </w:p>
    <w:p w14:paraId="4FFA1F77" w14:textId="77667D3D" w:rsidR="00BB2CB4" w:rsidRDefault="000674DA">
      <w:pPr>
        <w:pStyle w:val="Bullet"/>
      </w:pPr>
      <w:r>
        <w:t>$3.3 million over three years from 2025–‍26 to support Maddie Riewoldt</w:t>
      </w:r>
      <w:r w:rsidR="00222C32">
        <w:t>’</w:t>
      </w:r>
      <w:r>
        <w:t>s Vision to deliver research, advocacy and support for Australians with bone marrow failure syndrome and their families.</w:t>
      </w:r>
    </w:p>
    <w:p w14:paraId="4995EB40" w14:textId="77777777" w:rsidR="00BB2CB4" w:rsidRDefault="000674DA">
      <w:pPr>
        <w:pStyle w:val="Normal2"/>
      </w:pPr>
      <w:r w:rsidRPr="69C11E82">
        <w:rPr>
          <w:lang w:val="en-US"/>
        </w:rPr>
        <w:t>The Department of Health, Disability and Ageing will partially meet the cost of this measure from within existing resources.</w:t>
      </w:r>
    </w:p>
    <w:p w14:paraId="176ED9FB" w14:textId="7F2E5385"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12AD42F6" w14:textId="77777777" w:rsidR="00BB2CB4" w:rsidRDefault="000674DA">
      <w:pPr>
        <w:pStyle w:val="MeasureTitle"/>
      </w:pPr>
      <w:r>
        <w:t>Telethons</w:t>
      </w:r>
    </w:p>
    <w:p w14:paraId="1BEE838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FF2A712" w14:textId="77777777" w:rsidTr="00825163">
        <w:trPr>
          <w:cantSplit/>
        </w:trPr>
        <w:tc>
          <w:tcPr>
            <w:tcW w:w="2501" w:type="dxa"/>
            <w:tcBorders>
              <w:top w:val="single" w:sz="4" w:space="0" w:color="293F5B"/>
              <w:bottom w:val="single" w:sz="4" w:space="0" w:color="293F5B"/>
            </w:tcBorders>
          </w:tcPr>
          <w:p w14:paraId="28379ED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8D47F2E"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B1FFDF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55E1F0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6D941E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7C15BFC" w14:textId="77777777" w:rsidR="00BB2CB4" w:rsidRPr="00222C32" w:rsidRDefault="000674DA">
            <w:pPr>
              <w:pStyle w:val="MeasureTableYearHeadings"/>
              <w:keepNext/>
            </w:pPr>
            <w:r w:rsidRPr="00222C32">
              <w:t>2028-29</w:t>
            </w:r>
          </w:p>
        </w:tc>
      </w:tr>
      <w:tr w:rsidR="00BB2CB4" w:rsidRPr="00222C32" w14:paraId="57C5A7BE" w14:textId="77777777" w:rsidTr="00825163">
        <w:trPr>
          <w:cantSplit/>
        </w:trPr>
        <w:tc>
          <w:tcPr>
            <w:tcW w:w="2501" w:type="dxa"/>
            <w:tcBorders>
              <w:top w:val="single" w:sz="4" w:space="0" w:color="293F5B"/>
              <w:bottom w:val="single" w:sz="4" w:space="0" w:color="293F5B"/>
            </w:tcBorders>
          </w:tcPr>
          <w:p w14:paraId="6B000CD1"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7BF89F5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C06B34A" w14:textId="77777777" w:rsidR="00BB2CB4" w:rsidRPr="00222C32" w:rsidRDefault="000674DA">
            <w:pPr>
              <w:pStyle w:val="MeasureTableDataRightAlignedwith2ptsspacing"/>
              <w:keepNext/>
            </w:pPr>
            <w:r w:rsidRPr="00222C32">
              <w:t>4.7</w:t>
            </w:r>
          </w:p>
        </w:tc>
        <w:tc>
          <w:tcPr>
            <w:tcW w:w="1044" w:type="dxa"/>
            <w:tcBorders>
              <w:top w:val="single" w:sz="4" w:space="0" w:color="293F5B"/>
              <w:bottom w:val="single" w:sz="4" w:space="0" w:color="293F5B"/>
            </w:tcBorders>
          </w:tcPr>
          <w:p w14:paraId="7818E52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E1B65F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230D65" w14:textId="77777777" w:rsidR="00BB2CB4" w:rsidRPr="00222C32" w:rsidRDefault="000674DA">
            <w:pPr>
              <w:pStyle w:val="MeasureTableDataRightAlignedwith2ptsspacing"/>
              <w:keepNext/>
            </w:pPr>
            <w:r w:rsidRPr="00222C32">
              <w:t>-</w:t>
            </w:r>
          </w:p>
        </w:tc>
      </w:tr>
    </w:tbl>
    <w:p w14:paraId="72712AAF" w14:textId="77777777" w:rsidR="00BF07CA" w:rsidRDefault="00BF07CA" w:rsidP="00BF07CA">
      <w:pPr>
        <w:pStyle w:val="SingleParagraph"/>
      </w:pPr>
    </w:p>
    <w:p w14:paraId="0CF160C7" w14:textId="77777777" w:rsidR="00BB2CB4" w:rsidRDefault="000674DA">
      <w:pPr>
        <w:pStyle w:val="Normal2"/>
      </w:pPr>
      <w:r>
        <w:t>The Government will provide $4.7 million in 2025–‍26 for Commonwealth contributions to telethons supporting medical research.</w:t>
      </w:r>
    </w:p>
    <w:p w14:paraId="231A61F3" w14:textId="77777777" w:rsidR="00BB2CB4" w:rsidRDefault="000674DA">
      <w:pPr>
        <w:pStyle w:val="Normal2"/>
      </w:pPr>
      <w:r>
        <w:t>The Department of Health, Disability and Ageing will meet the cost of grant delivery for this measure from within existing resources.</w:t>
      </w:r>
    </w:p>
    <w:p w14:paraId="462C6ED5" w14:textId="51EC8546" w:rsidR="00BB2CB4" w:rsidRDefault="000674DA">
      <w:pPr>
        <w:pStyle w:val="Normal2"/>
      </w:pPr>
      <w:r>
        <w:t xml:space="preserve">This measure extends the 2023–‍24 MYEFO measure titled </w:t>
      </w:r>
      <w:r w:rsidRPr="000674DA">
        <w:rPr>
          <w:i/>
        </w:rPr>
        <w:t>Channel 7 Perth Telethon</w:t>
      </w:r>
      <w:r>
        <w:t xml:space="preserve"> and the 2024–‍25 MYEFO measure titled </w:t>
      </w:r>
      <w:r w:rsidRPr="000674DA">
        <w:rPr>
          <w:i/>
        </w:rPr>
        <w:t>Telethons</w:t>
      </w:r>
      <w:r>
        <w:t>.</w:t>
      </w:r>
    </w:p>
    <w:p w14:paraId="31A4CD21" w14:textId="77777777" w:rsidR="00BB2CB4" w:rsidRDefault="000674DA">
      <w:pPr>
        <w:pStyle w:val="MeasureTitle"/>
      </w:pPr>
      <w:r>
        <w:lastRenderedPageBreak/>
        <w:t>Upgrading Health Infrastructure</w:t>
      </w:r>
    </w:p>
    <w:p w14:paraId="1A5E261C"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1CE4C53" w14:textId="77777777" w:rsidTr="00825163">
        <w:trPr>
          <w:cantSplit/>
        </w:trPr>
        <w:tc>
          <w:tcPr>
            <w:tcW w:w="2501" w:type="dxa"/>
            <w:tcBorders>
              <w:top w:val="single" w:sz="4" w:space="0" w:color="293F5B"/>
              <w:bottom w:val="single" w:sz="4" w:space="0" w:color="293F5B"/>
            </w:tcBorders>
          </w:tcPr>
          <w:p w14:paraId="28E8BFB6"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40F842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24DC09B"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BE2DE7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97E35A2"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9DC419E" w14:textId="77777777" w:rsidR="00BB2CB4" w:rsidRPr="00222C32" w:rsidRDefault="000674DA">
            <w:pPr>
              <w:pStyle w:val="MeasureTableYearHeadings"/>
              <w:keepNext/>
            </w:pPr>
            <w:r w:rsidRPr="00222C32">
              <w:t>2028-29</w:t>
            </w:r>
          </w:p>
        </w:tc>
      </w:tr>
      <w:tr w:rsidR="00BB2CB4" w:rsidRPr="00222C32" w14:paraId="1E4A7246" w14:textId="77777777" w:rsidTr="00825163">
        <w:trPr>
          <w:cantSplit/>
        </w:trPr>
        <w:tc>
          <w:tcPr>
            <w:tcW w:w="2501" w:type="dxa"/>
            <w:tcBorders>
              <w:top w:val="single" w:sz="4" w:space="0" w:color="293F5B"/>
              <w:bottom w:val="single" w:sz="4" w:space="0" w:color="293F5B"/>
            </w:tcBorders>
          </w:tcPr>
          <w:p w14:paraId="2252E4A5"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611A554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A463545" w14:textId="77777777" w:rsidR="00BB2CB4" w:rsidRPr="00222C32" w:rsidRDefault="000674DA">
            <w:pPr>
              <w:pStyle w:val="MeasureTableDataRightAlignedwith2ptsspacing"/>
              <w:keepNext/>
            </w:pPr>
            <w:r w:rsidRPr="00222C32">
              <w:t>14.5</w:t>
            </w:r>
          </w:p>
        </w:tc>
        <w:tc>
          <w:tcPr>
            <w:tcW w:w="1044" w:type="dxa"/>
            <w:tcBorders>
              <w:top w:val="single" w:sz="4" w:space="0" w:color="293F5B"/>
              <w:bottom w:val="single" w:sz="4" w:space="0" w:color="293F5B"/>
            </w:tcBorders>
          </w:tcPr>
          <w:p w14:paraId="027685EA" w14:textId="77777777" w:rsidR="00BB2CB4" w:rsidRPr="00222C32" w:rsidRDefault="000674DA">
            <w:pPr>
              <w:pStyle w:val="MeasureTableDataRightAlignedwith2ptsspacing"/>
              <w:keepNext/>
            </w:pPr>
            <w:r w:rsidRPr="00222C32">
              <w:t>14.8</w:t>
            </w:r>
          </w:p>
        </w:tc>
        <w:tc>
          <w:tcPr>
            <w:tcW w:w="1044" w:type="dxa"/>
            <w:tcBorders>
              <w:top w:val="single" w:sz="4" w:space="0" w:color="293F5B"/>
              <w:bottom w:val="single" w:sz="4" w:space="0" w:color="293F5B"/>
            </w:tcBorders>
          </w:tcPr>
          <w:p w14:paraId="17FC206D" w14:textId="77777777" w:rsidR="00BB2CB4" w:rsidRPr="00222C32" w:rsidRDefault="000674DA">
            <w:pPr>
              <w:pStyle w:val="MeasureTableDataRightAlignedwith2ptsspacing"/>
              <w:keepNext/>
            </w:pPr>
            <w:r w:rsidRPr="00222C32">
              <w:t>0.7</w:t>
            </w:r>
          </w:p>
        </w:tc>
        <w:tc>
          <w:tcPr>
            <w:tcW w:w="1044" w:type="dxa"/>
            <w:tcBorders>
              <w:top w:val="single" w:sz="4" w:space="0" w:color="293F5B"/>
              <w:bottom w:val="single" w:sz="4" w:space="0" w:color="293F5B"/>
            </w:tcBorders>
          </w:tcPr>
          <w:p w14:paraId="3E74B4D7" w14:textId="77777777" w:rsidR="00BB2CB4" w:rsidRPr="00222C32" w:rsidRDefault="000674DA">
            <w:pPr>
              <w:pStyle w:val="MeasureTableDataRightAlignedwith2ptsspacing"/>
              <w:keepNext/>
            </w:pPr>
            <w:r w:rsidRPr="00222C32">
              <w:t>0.7</w:t>
            </w:r>
          </w:p>
        </w:tc>
      </w:tr>
      <w:tr w:rsidR="00BB2CB4" w:rsidRPr="00222C32" w14:paraId="2D744EE6" w14:textId="77777777" w:rsidTr="00825163">
        <w:trPr>
          <w:cantSplit/>
        </w:trPr>
        <w:tc>
          <w:tcPr>
            <w:tcW w:w="2501" w:type="dxa"/>
            <w:tcBorders>
              <w:top w:val="single" w:sz="4" w:space="0" w:color="293F5B"/>
              <w:bottom w:val="single" w:sz="4" w:space="0" w:color="293F5B"/>
            </w:tcBorders>
          </w:tcPr>
          <w:p w14:paraId="290EBCED"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35728D3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6A13F65" w14:textId="77777777" w:rsidR="00BB2CB4" w:rsidRPr="00222C32" w:rsidRDefault="000674DA">
            <w:pPr>
              <w:pStyle w:val="MeasureTableDataRightAlignedwith2ptsspacing"/>
              <w:keepNext/>
            </w:pPr>
            <w:r w:rsidRPr="00222C32">
              <w:t>10.0</w:t>
            </w:r>
          </w:p>
        </w:tc>
        <w:tc>
          <w:tcPr>
            <w:tcW w:w="1044" w:type="dxa"/>
            <w:tcBorders>
              <w:top w:val="single" w:sz="4" w:space="0" w:color="293F5B"/>
              <w:bottom w:val="single" w:sz="4" w:space="0" w:color="293F5B"/>
            </w:tcBorders>
          </w:tcPr>
          <w:p w14:paraId="7309BE2F" w14:textId="77777777" w:rsidR="00BB2CB4" w:rsidRPr="00222C32" w:rsidRDefault="000674DA">
            <w:pPr>
              <w:pStyle w:val="MeasureTableDataRightAlignedwith2ptsspacing"/>
              <w:keepNext/>
            </w:pPr>
            <w:r w:rsidRPr="00222C32">
              <w:t>5.0</w:t>
            </w:r>
          </w:p>
        </w:tc>
        <w:tc>
          <w:tcPr>
            <w:tcW w:w="1044" w:type="dxa"/>
            <w:tcBorders>
              <w:top w:val="single" w:sz="4" w:space="0" w:color="293F5B"/>
              <w:bottom w:val="single" w:sz="4" w:space="0" w:color="293F5B"/>
            </w:tcBorders>
          </w:tcPr>
          <w:p w14:paraId="57D20FA1" w14:textId="77777777" w:rsidR="00BB2CB4" w:rsidRPr="00222C32" w:rsidRDefault="000674DA">
            <w:pPr>
              <w:pStyle w:val="MeasureTableDataRightAlignedwith2ptsspacing"/>
              <w:keepNext/>
            </w:pPr>
            <w:r w:rsidRPr="00222C32">
              <w:t>40.0</w:t>
            </w:r>
          </w:p>
        </w:tc>
        <w:tc>
          <w:tcPr>
            <w:tcW w:w="1044" w:type="dxa"/>
            <w:tcBorders>
              <w:top w:val="single" w:sz="4" w:space="0" w:color="293F5B"/>
              <w:bottom w:val="single" w:sz="4" w:space="0" w:color="293F5B"/>
            </w:tcBorders>
          </w:tcPr>
          <w:p w14:paraId="30AE6563" w14:textId="77777777" w:rsidR="00BB2CB4" w:rsidRPr="00222C32" w:rsidRDefault="000674DA">
            <w:pPr>
              <w:pStyle w:val="MeasureTableDataRightAlignedwith2ptsspacing"/>
              <w:keepNext/>
            </w:pPr>
            <w:r w:rsidRPr="00222C32">
              <w:t>30.0</w:t>
            </w:r>
          </w:p>
        </w:tc>
      </w:tr>
      <w:tr w:rsidR="00BB2CB4" w:rsidRPr="00222C32" w14:paraId="532BB80E" w14:textId="77777777" w:rsidTr="00825163">
        <w:trPr>
          <w:cantSplit/>
        </w:trPr>
        <w:tc>
          <w:tcPr>
            <w:tcW w:w="2501" w:type="dxa"/>
            <w:tcBorders>
              <w:top w:val="single" w:sz="4" w:space="0" w:color="293F5B"/>
              <w:bottom w:val="single" w:sz="4" w:space="0" w:color="293F5B"/>
            </w:tcBorders>
          </w:tcPr>
          <w:p w14:paraId="62038F6A"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DA1C8B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29F2F2B" w14:textId="77777777" w:rsidR="00BB2CB4" w:rsidRPr="00222C32" w:rsidRDefault="000674DA">
            <w:pPr>
              <w:pStyle w:val="Totaldatarowrightaligned"/>
              <w:keepNext/>
            </w:pPr>
            <w:r w:rsidRPr="00222C32">
              <w:t>24.5</w:t>
            </w:r>
          </w:p>
        </w:tc>
        <w:tc>
          <w:tcPr>
            <w:tcW w:w="1044" w:type="dxa"/>
            <w:tcBorders>
              <w:top w:val="single" w:sz="4" w:space="0" w:color="293F5B"/>
              <w:bottom w:val="single" w:sz="4" w:space="0" w:color="293F5B"/>
            </w:tcBorders>
          </w:tcPr>
          <w:p w14:paraId="2FE127B0" w14:textId="77777777" w:rsidR="00BB2CB4" w:rsidRPr="00222C32" w:rsidRDefault="000674DA">
            <w:pPr>
              <w:pStyle w:val="Totaldatarowrightaligned"/>
              <w:keepNext/>
            </w:pPr>
            <w:r w:rsidRPr="00222C32">
              <w:t>19.8</w:t>
            </w:r>
          </w:p>
        </w:tc>
        <w:tc>
          <w:tcPr>
            <w:tcW w:w="1044" w:type="dxa"/>
            <w:tcBorders>
              <w:top w:val="single" w:sz="4" w:space="0" w:color="293F5B"/>
              <w:bottom w:val="single" w:sz="4" w:space="0" w:color="293F5B"/>
            </w:tcBorders>
          </w:tcPr>
          <w:p w14:paraId="6BBC6514" w14:textId="77777777" w:rsidR="00BB2CB4" w:rsidRPr="00222C32" w:rsidRDefault="000674DA">
            <w:pPr>
              <w:pStyle w:val="Totaldatarowrightaligned"/>
              <w:keepNext/>
            </w:pPr>
            <w:r w:rsidRPr="00222C32">
              <w:t>40.7</w:t>
            </w:r>
          </w:p>
        </w:tc>
        <w:tc>
          <w:tcPr>
            <w:tcW w:w="1044" w:type="dxa"/>
            <w:tcBorders>
              <w:top w:val="single" w:sz="4" w:space="0" w:color="293F5B"/>
              <w:bottom w:val="single" w:sz="4" w:space="0" w:color="293F5B"/>
            </w:tcBorders>
          </w:tcPr>
          <w:p w14:paraId="357E8E74" w14:textId="77777777" w:rsidR="00BB2CB4" w:rsidRPr="00222C32" w:rsidRDefault="000674DA">
            <w:pPr>
              <w:pStyle w:val="Totaldatarowrightaligned"/>
              <w:keepNext/>
            </w:pPr>
            <w:r w:rsidRPr="00222C32">
              <w:t>30.7</w:t>
            </w:r>
          </w:p>
        </w:tc>
      </w:tr>
    </w:tbl>
    <w:p w14:paraId="35396E75" w14:textId="77777777" w:rsidR="009C38EC" w:rsidRDefault="009C38EC" w:rsidP="009C38EC">
      <w:pPr>
        <w:pStyle w:val="SingleParagraph"/>
      </w:pPr>
    </w:p>
    <w:p w14:paraId="035C9BC8" w14:textId="77777777" w:rsidR="00BB2CB4" w:rsidRDefault="000674DA">
      <w:pPr>
        <w:pStyle w:val="Normal2"/>
      </w:pPr>
      <w:r w:rsidRPr="69C11E82">
        <w:rPr>
          <w:lang w:val="en-US"/>
        </w:rPr>
        <w:t>The Government will provide $119.8 million over four years from 2025–‍26 to contribute towards the expansion and upgrades of hospital and local primary care infrastructure. This will improve the suitability of existing facilities, deliver new capacity and strengthen health service delivery. Funding includes:</w:t>
      </w:r>
    </w:p>
    <w:p w14:paraId="12D10759" w14:textId="77777777" w:rsidR="00BB2CB4" w:rsidRDefault="000674DA">
      <w:pPr>
        <w:pStyle w:val="Bullet"/>
      </w:pPr>
      <w:r>
        <w:t>$80.0 million over four years from 2025–‍26 to the New South Wales (NSW) Government for the expansion of the Fairfield Hospital emergency department</w:t>
      </w:r>
    </w:p>
    <w:p w14:paraId="7813A3F1" w14:textId="77777777" w:rsidR="00BB2CB4" w:rsidRDefault="000674DA">
      <w:pPr>
        <w:pStyle w:val="Bullet"/>
      </w:pPr>
      <w:r>
        <w:t>$34.8 million over four years from 2025–‍26 to support local primary care infrastructure, including:</w:t>
      </w:r>
    </w:p>
    <w:p w14:paraId="248540C0" w14:textId="79C1B1C8" w:rsidR="00BB2CB4" w:rsidRDefault="000674DA" w:rsidP="003D1616">
      <w:pPr>
        <w:pStyle w:val="Dash"/>
      </w:pPr>
      <w:r>
        <w:t>$14.0 million over two years from 2025–</w:t>
      </w:r>
      <w:r>
        <w:rPr>
          <w:rFonts w:ascii="Times New Roman" w:hAnsi="Times New Roman"/>
        </w:rPr>
        <w:t>‍</w:t>
      </w:r>
      <w:r>
        <w:t>26 to support the establishment of a new Health and Housing Clinic which will provide free healthcare to people most in need in Brisbane</w:t>
      </w:r>
      <w:r w:rsidR="00222C32">
        <w:t>’</w:t>
      </w:r>
      <w:r>
        <w:t>s West End</w:t>
      </w:r>
    </w:p>
    <w:p w14:paraId="2711C451" w14:textId="77777777" w:rsidR="00BB2CB4" w:rsidRDefault="000674DA" w:rsidP="003D1616">
      <w:pPr>
        <w:pStyle w:val="Dash"/>
      </w:pPr>
      <w:r>
        <w:t>$10.1 million over two years from 2025–</w:t>
      </w:r>
      <w:r>
        <w:rPr>
          <w:rFonts w:ascii="Times New Roman" w:hAnsi="Times New Roman"/>
        </w:rPr>
        <w:t>‍</w:t>
      </w:r>
      <w:r>
        <w:t>26 to deliver a new health hub for Smithton, Tasmania to support the relocation of OCHRE Health services from the current premises into one that can accommodate a larger, more comprehensive health service</w:t>
      </w:r>
    </w:p>
    <w:p w14:paraId="6FA52499" w14:textId="77777777" w:rsidR="00BB2CB4" w:rsidRDefault="000674DA" w:rsidP="003D1616">
      <w:pPr>
        <w:pStyle w:val="Dash"/>
      </w:pPr>
      <w:r>
        <w:t>$8.1 million over two years from 2025–</w:t>
      </w:r>
      <w:r>
        <w:rPr>
          <w:rFonts w:ascii="Times New Roman" w:hAnsi="Times New Roman"/>
        </w:rPr>
        <w:t>‍</w:t>
      </w:r>
      <w:r>
        <w:t>26 to contribute to the building of a new multidisciplinary healthcare centre in Burnie, Tasmania</w:t>
      </w:r>
    </w:p>
    <w:p w14:paraId="2D7A053C" w14:textId="77777777" w:rsidR="00BB2CB4" w:rsidRDefault="000674DA" w:rsidP="003D1616">
      <w:pPr>
        <w:pStyle w:val="Dash"/>
      </w:pPr>
      <w:r>
        <w:t>$2.6 million over four years from 2025–</w:t>
      </w:r>
      <w:r>
        <w:rPr>
          <w:rFonts w:ascii="Times New Roman" w:hAnsi="Times New Roman"/>
        </w:rPr>
        <w:t>‍</w:t>
      </w:r>
      <w:r>
        <w:t>26 to provide Street Side Medics additional funding to continue delivering mobile medical services in NSW and Victoria</w:t>
      </w:r>
    </w:p>
    <w:p w14:paraId="3D2787D1" w14:textId="77777777" w:rsidR="00BB2CB4" w:rsidRDefault="000674DA">
      <w:pPr>
        <w:pStyle w:val="Bullet"/>
      </w:pPr>
      <w:r>
        <w:t>$5.0 million in 2025–‍26 to the Victorian Government to upgrade the intensive care unit at Dandenong Hospital.</w:t>
      </w:r>
    </w:p>
    <w:p w14:paraId="30923F88" w14:textId="77777777" w:rsidR="00BB2CB4" w:rsidRDefault="000674DA">
      <w:pPr>
        <w:pStyle w:val="Normal2"/>
      </w:pPr>
      <w:r w:rsidRPr="69C11E82">
        <w:rPr>
          <w:lang w:val="en-US"/>
        </w:rPr>
        <w:t>The Department of Health, Disability and Ageing will partially meet the cost of this measure from within existing resources.</w:t>
      </w:r>
    </w:p>
    <w:p w14:paraId="759C1FBE" w14:textId="77777777" w:rsidR="00BB2CB4" w:rsidRDefault="000674DA">
      <w:pPr>
        <w:pStyle w:val="Normal2"/>
      </w:pPr>
      <w:r>
        <w:t>The Treasury manages Commonwealth payments to the states and territories.</w:t>
      </w:r>
    </w:p>
    <w:p w14:paraId="017AA5FA" w14:textId="12291693" w:rsidR="00BB2CB4" w:rsidRDefault="000674DA">
      <w:pPr>
        <w:pStyle w:val="Normal2"/>
      </w:pPr>
      <w:r>
        <w:t>This measure delivers on the Government</w:t>
      </w:r>
      <w:r w:rsidR="00222C32">
        <w:t>’</w:t>
      </w:r>
      <w:r>
        <w:t>s election commitment made during the 2025</w:t>
      </w:r>
      <w:r w:rsidR="00677595">
        <w:t> </w:t>
      </w:r>
      <w:r>
        <w:t>federal election.</w:t>
      </w:r>
    </w:p>
    <w:p w14:paraId="593E154D" w14:textId="77777777" w:rsidR="00BB2CB4" w:rsidRDefault="00BB2CB4">
      <w:pPr>
        <w:sectPr w:rsidR="00BB2CB4" w:rsidSect="00301ACF">
          <w:headerReference w:type="even" r:id="rId103"/>
          <w:headerReference w:type="default" r:id="rId104"/>
          <w:footerReference w:type="even" r:id="rId105"/>
          <w:footerReference w:type="default" r:id="rId106"/>
          <w:headerReference w:type="first" r:id="rId107"/>
          <w:footerReference w:type="first" r:id="rId108"/>
          <w:pgSz w:w="11906" w:h="16838" w:code="9"/>
          <w:pgMar w:top="2835" w:right="2098" w:bottom="2466" w:left="2098" w:header="1814" w:footer="1814" w:gutter="0"/>
          <w:cols w:space="720"/>
          <w:docGrid w:linePitch="272"/>
        </w:sectPr>
      </w:pPr>
    </w:p>
    <w:p w14:paraId="3DC40EA1" w14:textId="77777777" w:rsidR="00BB2CB4" w:rsidRDefault="000674DA" w:rsidP="003D2403">
      <w:pPr>
        <w:pStyle w:val="PortfolioName"/>
        <w:spacing w:before="0"/>
      </w:pPr>
      <w:r>
        <w:lastRenderedPageBreak/>
        <w:t>Home Affairs</w:t>
      </w:r>
    </w:p>
    <w:p w14:paraId="25720BC2" w14:textId="77777777" w:rsidR="00BB2CB4" w:rsidRDefault="000674DA">
      <w:pPr>
        <w:pStyle w:val="MeasureTitle"/>
      </w:pPr>
      <w:r>
        <w:t>Civil Maritime Security Capabilities</w:t>
      </w:r>
    </w:p>
    <w:p w14:paraId="2339E01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A42DED3" w14:textId="77777777" w:rsidTr="00825163">
        <w:trPr>
          <w:cantSplit/>
        </w:trPr>
        <w:tc>
          <w:tcPr>
            <w:tcW w:w="2501" w:type="dxa"/>
            <w:tcBorders>
              <w:top w:val="single" w:sz="4" w:space="0" w:color="293F5B"/>
              <w:bottom w:val="single" w:sz="4" w:space="0" w:color="293F5B"/>
            </w:tcBorders>
          </w:tcPr>
          <w:p w14:paraId="7E56277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A3610D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7321DD8"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8AFB158"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73380E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DE58C43" w14:textId="77777777" w:rsidR="00BB2CB4" w:rsidRPr="00222C32" w:rsidRDefault="000674DA">
            <w:pPr>
              <w:pStyle w:val="MeasureTableYearHeadings"/>
              <w:keepNext/>
            </w:pPr>
            <w:r w:rsidRPr="00222C32">
              <w:t>2028-29</w:t>
            </w:r>
          </w:p>
        </w:tc>
      </w:tr>
      <w:tr w:rsidR="00BB2CB4" w:rsidRPr="00222C32" w14:paraId="604796FA" w14:textId="77777777" w:rsidTr="00825163">
        <w:trPr>
          <w:cantSplit/>
        </w:trPr>
        <w:tc>
          <w:tcPr>
            <w:tcW w:w="2501" w:type="dxa"/>
            <w:tcBorders>
              <w:top w:val="single" w:sz="4" w:space="0" w:color="293F5B"/>
              <w:bottom w:val="single" w:sz="4" w:space="0" w:color="293F5B"/>
            </w:tcBorders>
          </w:tcPr>
          <w:p w14:paraId="026B217E"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62F0944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2750F6F"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1FDDE32D"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1E6104A0"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0AFB2859" w14:textId="77777777" w:rsidR="00BB2CB4" w:rsidRPr="00222C32" w:rsidRDefault="000674DA">
            <w:pPr>
              <w:pStyle w:val="MeasureTableDataRightAlignedwith2ptsspacing"/>
              <w:keepNext/>
            </w:pPr>
            <w:r w:rsidRPr="00222C32">
              <w:t>nfp</w:t>
            </w:r>
          </w:p>
        </w:tc>
      </w:tr>
    </w:tbl>
    <w:p w14:paraId="1587E277" w14:textId="77777777" w:rsidR="009C38EC" w:rsidRDefault="009C38EC" w:rsidP="009C38EC">
      <w:pPr>
        <w:pStyle w:val="SingleParagraph"/>
      </w:pPr>
    </w:p>
    <w:p w14:paraId="521765DB" w14:textId="135B2A1B" w:rsidR="00BB2CB4" w:rsidRDefault="000674DA">
      <w:pPr>
        <w:pStyle w:val="Normal2"/>
      </w:pPr>
      <w:r w:rsidRPr="69C11E82">
        <w:rPr>
          <w:lang w:val="en-US"/>
        </w:rPr>
        <w:t>The Government will provide additional funding over four years from 2025–‍26 to support Australia</w:t>
      </w:r>
      <w:r w:rsidR="00222C32" w:rsidRPr="69C11E82">
        <w:rPr>
          <w:lang w:val="en-US"/>
        </w:rPr>
        <w:t>’</w:t>
      </w:r>
      <w:r w:rsidRPr="69C11E82">
        <w:rPr>
          <w:lang w:val="en-US"/>
        </w:rPr>
        <w:t>s civil maritime security capabilities, including:</w:t>
      </w:r>
    </w:p>
    <w:p w14:paraId="66AB6AA2" w14:textId="77777777" w:rsidR="00BB2CB4" w:rsidRDefault="000674DA">
      <w:pPr>
        <w:pStyle w:val="Bullet"/>
      </w:pPr>
      <w:r>
        <w:t>funding over four years from 2025–‍26 for new Australian Border Force patrol vessels</w:t>
      </w:r>
    </w:p>
    <w:p w14:paraId="5926AE27" w14:textId="77777777" w:rsidR="00BB2CB4" w:rsidRDefault="000674DA">
      <w:pPr>
        <w:pStyle w:val="Bullet"/>
      </w:pPr>
      <w:r>
        <w:t>funding over three years from 2026–‍27 to replace end‑of‑life radar capability on the Christmas and Cocos (Keeling) Islands.</w:t>
      </w:r>
    </w:p>
    <w:p w14:paraId="3BF3FE30" w14:textId="42F7C0DF" w:rsidR="00BB2CB4" w:rsidRDefault="000674DA">
      <w:pPr>
        <w:pStyle w:val="Normal2"/>
      </w:pPr>
      <w:r w:rsidRPr="69C11E82">
        <w:rPr>
          <w:lang w:val="en-US"/>
        </w:rPr>
        <w:t>The financial implications of this measure are not for publication (nfp) as disclosure would impair the Commonwealth</w:t>
      </w:r>
      <w:r w:rsidR="00222C32" w:rsidRPr="69C11E82">
        <w:rPr>
          <w:lang w:val="en-US"/>
        </w:rPr>
        <w:t>’</w:t>
      </w:r>
      <w:r w:rsidRPr="69C11E82">
        <w:rPr>
          <w:lang w:val="en-US"/>
        </w:rPr>
        <w:t>s position in negotiating contracts with industry.</w:t>
      </w:r>
    </w:p>
    <w:p w14:paraId="1A6B401F" w14:textId="77777777" w:rsidR="00BB2CB4" w:rsidRDefault="000674DA">
      <w:pPr>
        <w:pStyle w:val="Normal2"/>
      </w:pPr>
      <w:r>
        <w:t xml:space="preserve">This measure builds on the 2024–‍25 MYEFO measure titled </w:t>
      </w:r>
      <w:r w:rsidRPr="000674DA">
        <w:rPr>
          <w:i/>
        </w:rPr>
        <w:t>Civil Maritime Security Capabilities</w:t>
      </w:r>
      <w:r>
        <w:t>.</w:t>
      </w:r>
    </w:p>
    <w:p w14:paraId="1F87A015" w14:textId="18903765" w:rsidR="00BB2CB4" w:rsidRDefault="000674DA">
      <w:pPr>
        <w:pStyle w:val="MeasureTitle"/>
      </w:pPr>
      <w:r>
        <w:t>Community Safety Measures in Response to the High Court</w:t>
      </w:r>
      <w:r w:rsidR="00222C32">
        <w:t>’</w:t>
      </w:r>
      <w:r>
        <w:t>s decision in NZYQ v Minister for Immigration, Citizenship and Multicultural Affairs &amp; Anor</w:t>
      </w:r>
    </w:p>
    <w:p w14:paraId="31150FA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B764379" w14:textId="77777777" w:rsidTr="00825163">
        <w:trPr>
          <w:cantSplit/>
        </w:trPr>
        <w:tc>
          <w:tcPr>
            <w:tcW w:w="2501" w:type="dxa"/>
            <w:tcBorders>
              <w:top w:val="single" w:sz="4" w:space="0" w:color="293F5B"/>
              <w:bottom w:val="single" w:sz="4" w:space="0" w:color="293F5B"/>
            </w:tcBorders>
          </w:tcPr>
          <w:p w14:paraId="10068B8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624932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42E7E2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6AAC4C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04D11D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7B23A60" w14:textId="77777777" w:rsidR="00BB2CB4" w:rsidRPr="00222C32" w:rsidRDefault="000674DA">
            <w:pPr>
              <w:pStyle w:val="MeasureTableYearHeadings"/>
              <w:keepNext/>
            </w:pPr>
            <w:r w:rsidRPr="00222C32">
              <w:t>2028-29</w:t>
            </w:r>
          </w:p>
        </w:tc>
      </w:tr>
      <w:tr w:rsidR="00BB2CB4" w:rsidRPr="00222C32" w14:paraId="7056F4BA" w14:textId="77777777" w:rsidTr="00825163">
        <w:trPr>
          <w:cantSplit/>
        </w:trPr>
        <w:tc>
          <w:tcPr>
            <w:tcW w:w="2501" w:type="dxa"/>
            <w:tcBorders>
              <w:top w:val="single" w:sz="4" w:space="0" w:color="293F5B"/>
              <w:bottom w:val="single" w:sz="4" w:space="0" w:color="293F5B"/>
            </w:tcBorders>
          </w:tcPr>
          <w:p w14:paraId="030775F1"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5044512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7E929C4" w14:textId="77777777" w:rsidR="00BB2CB4" w:rsidRPr="00222C32" w:rsidRDefault="000674DA">
            <w:pPr>
              <w:pStyle w:val="MeasureTableDataRightAlignedwith2ptsspacing"/>
              <w:keepNext/>
            </w:pPr>
            <w:r w:rsidRPr="00222C32">
              <w:t>312.5</w:t>
            </w:r>
          </w:p>
        </w:tc>
        <w:tc>
          <w:tcPr>
            <w:tcW w:w="1044" w:type="dxa"/>
            <w:tcBorders>
              <w:top w:val="single" w:sz="4" w:space="0" w:color="293F5B"/>
              <w:bottom w:val="single" w:sz="4" w:space="0" w:color="293F5B"/>
            </w:tcBorders>
          </w:tcPr>
          <w:p w14:paraId="76F43FAF" w14:textId="77777777" w:rsidR="00BB2CB4" w:rsidRPr="00222C32" w:rsidRDefault="000674DA">
            <w:pPr>
              <w:pStyle w:val="MeasureTableDataRightAlignedwith2ptsspacing"/>
              <w:keepNext/>
            </w:pPr>
            <w:r w:rsidRPr="00222C32">
              <w:t>-53.4</w:t>
            </w:r>
          </w:p>
        </w:tc>
        <w:tc>
          <w:tcPr>
            <w:tcW w:w="1044" w:type="dxa"/>
            <w:tcBorders>
              <w:top w:val="single" w:sz="4" w:space="0" w:color="293F5B"/>
              <w:bottom w:val="single" w:sz="4" w:space="0" w:color="293F5B"/>
            </w:tcBorders>
          </w:tcPr>
          <w:p w14:paraId="133C039B" w14:textId="77777777" w:rsidR="00BB2CB4" w:rsidRPr="00222C32" w:rsidRDefault="000674DA">
            <w:pPr>
              <w:pStyle w:val="MeasureTableDataRightAlignedwith2ptsspacing"/>
              <w:keepNext/>
            </w:pPr>
            <w:r w:rsidRPr="00222C32">
              <w:t>-32.0</w:t>
            </w:r>
          </w:p>
        </w:tc>
        <w:tc>
          <w:tcPr>
            <w:tcW w:w="1044" w:type="dxa"/>
            <w:tcBorders>
              <w:top w:val="single" w:sz="4" w:space="0" w:color="293F5B"/>
              <w:bottom w:val="single" w:sz="4" w:space="0" w:color="293F5B"/>
            </w:tcBorders>
          </w:tcPr>
          <w:p w14:paraId="0062FB7F" w14:textId="77777777" w:rsidR="00BB2CB4" w:rsidRPr="00222C32" w:rsidRDefault="000674DA">
            <w:pPr>
              <w:pStyle w:val="MeasureTableDataRightAlignedwith2ptsspacing"/>
              <w:keepNext/>
            </w:pPr>
            <w:r w:rsidRPr="00222C32">
              <w:t>-32.0</w:t>
            </w:r>
          </w:p>
        </w:tc>
      </w:tr>
    </w:tbl>
    <w:p w14:paraId="1E48E15F" w14:textId="77777777" w:rsidR="008B1629" w:rsidRDefault="008B1629" w:rsidP="008B1629">
      <w:pPr>
        <w:pStyle w:val="SingleParagraph"/>
      </w:pPr>
    </w:p>
    <w:p w14:paraId="788D90D7" w14:textId="5FCA5BCD" w:rsidR="00BB2CB4" w:rsidRDefault="000674DA">
      <w:pPr>
        <w:pStyle w:val="Normal2"/>
      </w:pPr>
      <w:r>
        <w:t>The Government will provide $633.6 million over four years from 2025–‍26 (and up to an additional $73.0 million per year for the remainder of the 30‑year measure) to support community safety as part of the ongoing response to the High Court</w:t>
      </w:r>
      <w:r w:rsidR="00222C32">
        <w:t>’</w:t>
      </w:r>
      <w:r>
        <w:t xml:space="preserve">s decision in </w:t>
      </w:r>
      <w:r w:rsidRPr="000674DA">
        <w:rPr>
          <w:i/>
        </w:rPr>
        <w:t xml:space="preserve">NZYQ v Minister for Immigration, Citizenship and Multicultural Affairs &amp; Anor. </w:t>
      </w:r>
      <w:r>
        <w:t>Funding includes:</w:t>
      </w:r>
    </w:p>
    <w:p w14:paraId="69FA8B14" w14:textId="77777777" w:rsidR="00BB2CB4" w:rsidRDefault="000674DA">
      <w:pPr>
        <w:pStyle w:val="Bullet"/>
      </w:pPr>
      <w:r>
        <w:t>$605.6 million over four years from 2025–‍26 (and up to an additional $73.0 million per year for the remainder of the 30‑year measure) to support resettlement in Nauru of non‑citizens released from immigration detention who do not have the right to remain in Australia</w:t>
      </w:r>
    </w:p>
    <w:p w14:paraId="4BB66B96" w14:textId="77777777" w:rsidR="00BB2CB4" w:rsidRDefault="000674DA">
      <w:pPr>
        <w:pStyle w:val="Bullet"/>
      </w:pPr>
      <w:r>
        <w:t>$28.0 million in 2025–‍26 to support continued risk mitigation activities in Australia including compliance, investigation and support programs.</w:t>
      </w:r>
    </w:p>
    <w:p w14:paraId="304A33DB" w14:textId="77777777" w:rsidR="00BB2CB4" w:rsidRDefault="000674DA">
      <w:pPr>
        <w:pStyle w:val="Normal2"/>
      </w:pPr>
      <w:r>
        <w:t>This measure will be partially offset by redirecting funding from the Department of Home Affairs.</w:t>
      </w:r>
    </w:p>
    <w:p w14:paraId="29B434A6" w14:textId="74D3E743" w:rsidR="00BB2CB4" w:rsidRDefault="000674DA">
      <w:pPr>
        <w:pStyle w:val="Normal2"/>
      </w:pPr>
      <w:r>
        <w:t>This measure builds on the 2023–‍24 MYEFO measure titled</w:t>
      </w:r>
      <w:r w:rsidRPr="000674DA">
        <w:rPr>
          <w:i/>
        </w:rPr>
        <w:t xml:space="preserve"> Community Safety Measures in Response to the High Court</w:t>
      </w:r>
      <w:r w:rsidR="00222C32">
        <w:rPr>
          <w:i/>
        </w:rPr>
        <w:t>’</w:t>
      </w:r>
      <w:r w:rsidRPr="000674DA">
        <w:rPr>
          <w:i/>
        </w:rPr>
        <w:t>s Decision in NZYQ v Minister for Immigration, Citizenship and Multicultural Affairs &amp; Anor</w:t>
      </w:r>
      <w:r>
        <w:t xml:space="preserve"> and the 2025–‍26 Budget measure titled </w:t>
      </w:r>
      <w:r w:rsidRPr="000674DA">
        <w:rPr>
          <w:i/>
        </w:rPr>
        <w:t>Supporting Community Safety.</w:t>
      </w:r>
    </w:p>
    <w:p w14:paraId="015480DA" w14:textId="77777777" w:rsidR="00BB2CB4" w:rsidRDefault="000674DA">
      <w:pPr>
        <w:pStyle w:val="MeasureTitle"/>
      </w:pPr>
      <w:r>
        <w:lastRenderedPageBreak/>
        <w:t>Disaster Support</w:t>
      </w:r>
    </w:p>
    <w:p w14:paraId="21DFD5AF"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890C643" w14:textId="77777777" w:rsidTr="00825163">
        <w:trPr>
          <w:cantSplit/>
        </w:trPr>
        <w:tc>
          <w:tcPr>
            <w:tcW w:w="2501" w:type="dxa"/>
            <w:tcBorders>
              <w:top w:val="single" w:sz="4" w:space="0" w:color="293F5B"/>
              <w:bottom w:val="single" w:sz="4" w:space="0" w:color="293F5B"/>
            </w:tcBorders>
          </w:tcPr>
          <w:p w14:paraId="23154DA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351C68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33A98C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A03D710"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05E3BA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A227FE1" w14:textId="77777777" w:rsidR="00BB2CB4" w:rsidRPr="00222C32" w:rsidRDefault="000674DA">
            <w:pPr>
              <w:pStyle w:val="MeasureTableYearHeadings"/>
              <w:keepNext/>
            </w:pPr>
            <w:r w:rsidRPr="00222C32">
              <w:t>2028-29</w:t>
            </w:r>
          </w:p>
        </w:tc>
      </w:tr>
      <w:tr w:rsidR="00BB2CB4" w:rsidRPr="00222C32" w14:paraId="2FE93AF9" w14:textId="77777777" w:rsidTr="00825163">
        <w:trPr>
          <w:cantSplit/>
        </w:trPr>
        <w:tc>
          <w:tcPr>
            <w:tcW w:w="2501" w:type="dxa"/>
            <w:tcBorders>
              <w:top w:val="single" w:sz="4" w:space="0" w:color="293F5B"/>
              <w:bottom w:val="single" w:sz="4" w:space="0" w:color="293F5B"/>
            </w:tcBorders>
          </w:tcPr>
          <w:p w14:paraId="7512C4EA" w14:textId="77777777" w:rsidR="00BB2CB4" w:rsidRPr="00222C32" w:rsidRDefault="000674DA">
            <w:pPr>
              <w:pStyle w:val="MeasureTableHeadingleftalignedwith2ptsspacing"/>
              <w:keepNext/>
            </w:pPr>
            <w:r w:rsidRPr="00222C32">
              <w:t>National Emergency Management Agency</w:t>
            </w:r>
          </w:p>
        </w:tc>
        <w:tc>
          <w:tcPr>
            <w:tcW w:w="1044" w:type="dxa"/>
            <w:tcBorders>
              <w:top w:val="single" w:sz="4" w:space="0" w:color="293F5B"/>
              <w:bottom w:val="single" w:sz="4" w:space="0" w:color="293F5B"/>
            </w:tcBorders>
          </w:tcPr>
          <w:p w14:paraId="6C19374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E6A526C" w14:textId="77777777" w:rsidR="00BB2CB4" w:rsidRPr="00222C32" w:rsidRDefault="000674DA">
            <w:pPr>
              <w:pStyle w:val="MeasureTableDataRightAlignedwith2ptsspacing"/>
              <w:keepNext/>
            </w:pPr>
            <w:r w:rsidRPr="00222C32">
              <w:t>23.2</w:t>
            </w:r>
          </w:p>
        </w:tc>
        <w:tc>
          <w:tcPr>
            <w:tcW w:w="1044" w:type="dxa"/>
            <w:tcBorders>
              <w:top w:val="single" w:sz="4" w:space="0" w:color="293F5B"/>
              <w:bottom w:val="single" w:sz="4" w:space="0" w:color="293F5B"/>
            </w:tcBorders>
          </w:tcPr>
          <w:p w14:paraId="6FE8B28D" w14:textId="77777777" w:rsidR="00BB2CB4" w:rsidRPr="00222C32" w:rsidRDefault="000674DA">
            <w:pPr>
              <w:pStyle w:val="MeasureTableDataRightAlignedwith2ptsspacing"/>
              <w:keepNext/>
            </w:pPr>
            <w:r w:rsidRPr="00222C32">
              <w:t>-9.0</w:t>
            </w:r>
          </w:p>
        </w:tc>
        <w:tc>
          <w:tcPr>
            <w:tcW w:w="1044" w:type="dxa"/>
            <w:tcBorders>
              <w:top w:val="single" w:sz="4" w:space="0" w:color="293F5B"/>
              <w:bottom w:val="single" w:sz="4" w:space="0" w:color="293F5B"/>
            </w:tcBorders>
          </w:tcPr>
          <w:p w14:paraId="4D16C9B3" w14:textId="77777777" w:rsidR="00BB2CB4" w:rsidRPr="00222C32" w:rsidRDefault="000674DA">
            <w:pPr>
              <w:pStyle w:val="MeasureTableDataRightAlignedwith2ptsspacing"/>
              <w:keepNext/>
            </w:pPr>
            <w:r w:rsidRPr="00222C32">
              <w:t>-10.0</w:t>
            </w:r>
          </w:p>
        </w:tc>
        <w:tc>
          <w:tcPr>
            <w:tcW w:w="1044" w:type="dxa"/>
            <w:tcBorders>
              <w:top w:val="single" w:sz="4" w:space="0" w:color="293F5B"/>
              <w:bottom w:val="single" w:sz="4" w:space="0" w:color="293F5B"/>
            </w:tcBorders>
          </w:tcPr>
          <w:p w14:paraId="7E44C93E" w14:textId="77777777" w:rsidR="00BB2CB4" w:rsidRPr="00222C32" w:rsidRDefault="000674DA">
            <w:pPr>
              <w:pStyle w:val="MeasureTableDataRightAlignedwith2ptsspacing"/>
              <w:keepNext/>
            </w:pPr>
            <w:r w:rsidRPr="00222C32">
              <w:t>-</w:t>
            </w:r>
          </w:p>
        </w:tc>
      </w:tr>
      <w:tr w:rsidR="00BB2CB4" w:rsidRPr="00222C32" w14:paraId="302DD27A" w14:textId="77777777" w:rsidTr="00825163">
        <w:trPr>
          <w:cantSplit/>
        </w:trPr>
        <w:tc>
          <w:tcPr>
            <w:tcW w:w="2501" w:type="dxa"/>
            <w:tcBorders>
              <w:top w:val="single" w:sz="4" w:space="0" w:color="293F5B"/>
              <w:bottom w:val="single" w:sz="4" w:space="0" w:color="293F5B"/>
            </w:tcBorders>
          </w:tcPr>
          <w:p w14:paraId="21882838"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7F7BA3F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54D25D9" w14:textId="77777777" w:rsidR="00BB2CB4" w:rsidRPr="00222C32" w:rsidRDefault="000674DA">
            <w:pPr>
              <w:pStyle w:val="MeasureTableDataRightAlignedwith2ptsspacing"/>
              <w:keepNext/>
            </w:pPr>
            <w:r w:rsidRPr="00222C32">
              <w:t>1.9</w:t>
            </w:r>
          </w:p>
        </w:tc>
        <w:tc>
          <w:tcPr>
            <w:tcW w:w="1044" w:type="dxa"/>
            <w:tcBorders>
              <w:top w:val="single" w:sz="4" w:space="0" w:color="293F5B"/>
              <w:bottom w:val="single" w:sz="4" w:space="0" w:color="293F5B"/>
            </w:tcBorders>
          </w:tcPr>
          <w:p w14:paraId="3BB1D2D2" w14:textId="77777777" w:rsidR="00BB2CB4" w:rsidRPr="00222C32" w:rsidRDefault="000674DA">
            <w:pPr>
              <w:pStyle w:val="MeasureTableDataRightAlignedwith2ptsspacing"/>
              <w:keepNext/>
            </w:pPr>
            <w:r w:rsidRPr="00222C32">
              <w:t>1.5</w:t>
            </w:r>
          </w:p>
        </w:tc>
        <w:tc>
          <w:tcPr>
            <w:tcW w:w="1044" w:type="dxa"/>
            <w:tcBorders>
              <w:top w:val="single" w:sz="4" w:space="0" w:color="293F5B"/>
              <w:bottom w:val="single" w:sz="4" w:space="0" w:color="293F5B"/>
            </w:tcBorders>
          </w:tcPr>
          <w:p w14:paraId="2FF185BA" w14:textId="77777777" w:rsidR="00BB2CB4" w:rsidRPr="00222C32" w:rsidRDefault="000674DA">
            <w:pPr>
              <w:pStyle w:val="MeasureTableDataRightAlignedwith2ptsspacing"/>
              <w:keepNext/>
            </w:pPr>
            <w:r w:rsidRPr="00222C32">
              <w:t>0.5</w:t>
            </w:r>
          </w:p>
        </w:tc>
        <w:tc>
          <w:tcPr>
            <w:tcW w:w="1044" w:type="dxa"/>
            <w:tcBorders>
              <w:top w:val="single" w:sz="4" w:space="0" w:color="293F5B"/>
              <w:bottom w:val="single" w:sz="4" w:space="0" w:color="293F5B"/>
            </w:tcBorders>
          </w:tcPr>
          <w:p w14:paraId="5FA3F654" w14:textId="77777777" w:rsidR="00BB2CB4" w:rsidRPr="00222C32" w:rsidRDefault="000674DA">
            <w:pPr>
              <w:pStyle w:val="MeasureTableDataRightAlignedwith2ptsspacing"/>
              <w:keepNext/>
            </w:pPr>
            <w:r w:rsidRPr="00222C32">
              <w:t>-</w:t>
            </w:r>
          </w:p>
        </w:tc>
      </w:tr>
      <w:tr w:rsidR="00BB2CB4" w:rsidRPr="00222C32" w14:paraId="513E56A4" w14:textId="77777777" w:rsidTr="00825163">
        <w:trPr>
          <w:cantSplit/>
        </w:trPr>
        <w:tc>
          <w:tcPr>
            <w:tcW w:w="2501" w:type="dxa"/>
            <w:tcBorders>
              <w:top w:val="single" w:sz="4" w:space="0" w:color="293F5B"/>
              <w:bottom w:val="single" w:sz="4" w:space="0" w:color="293F5B"/>
            </w:tcBorders>
          </w:tcPr>
          <w:p w14:paraId="68F0639E"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92A814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EAF9688" w14:textId="77777777" w:rsidR="00BB2CB4" w:rsidRPr="00222C32" w:rsidRDefault="000674DA">
            <w:pPr>
              <w:pStyle w:val="Totaldatarowrightaligned"/>
              <w:keepNext/>
            </w:pPr>
            <w:r w:rsidRPr="00222C32">
              <w:t>25.1</w:t>
            </w:r>
          </w:p>
        </w:tc>
        <w:tc>
          <w:tcPr>
            <w:tcW w:w="1044" w:type="dxa"/>
            <w:tcBorders>
              <w:top w:val="single" w:sz="4" w:space="0" w:color="293F5B"/>
              <w:bottom w:val="single" w:sz="4" w:space="0" w:color="293F5B"/>
            </w:tcBorders>
          </w:tcPr>
          <w:p w14:paraId="512EA949" w14:textId="77777777" w:rsidR="00BB2CB4" w:rsidRPr="00222C32" w:rsidRDefault="000674DA">
            <w:pPr>
              <w:pStyle w:val="Totaldatarowrightaligned"/>
              <w:keepNext/>
            </w:pPr>
            <w:r w:rsidRPr="00222C32">
              <w:t>-7.5</w:t>
            </w:r>
          </w:p>
        </w:tc>
        <w:tc>
          <w:tcPr>
            <w:tcW w:w="1044" w:type="dxa"/>
            <w:tcBorders>
              <w:top w:val="single" w:sz="4" w:space="0" w:color="293F5B"/>
              <w:bottom w:val="single" w:sz="4" w:space="0" w:color="293F5B"/>
            </w:tcBorders>
          </w:tcPr>
          <w:p w14:paraId="0621331C" w14:textId="77777777" w:rsidR="00BB2CB4" w:rsidRPr="00222C32" w:rsidRDefault="000674DA">
            <w:pPr>
              <w:pStyle w:val="Totaldatarowrightaligned"/>
              <w:keepNext/>
            </w:pPr>
            <w:r w:rsidRPr="00222C32">
              <w:t>-9.5</w:t>
            </w:r>
          </w:p>
        </w:tc>
        <w:tc>
          <w:tcPr>
            <w:tcW w:w="1044" w:type="dxa"/>
            <w:tcBorders>
              <w:top w:val="single" w:sz="4" w:space="0" w:color="293F5B"/>
              <w:bottom w:val="single" w:sz="4" w:space="0" w:color="293F5B"/>
            </w:tcBorders>
          </w:tcPr>
          <w:p w14:paraId="42B267A1" w14:textId="77777777" w:rsidR="00BB2CB4" w:rsidRPr="00222C32" w:rsidRDefault="000674DA">
            <w:pPr>
              <w:pStyle w:val="Totaldatarowrightaligned"/>
              <w:keepNext/>
            </w:pPr>
            <w:r w:rsidRPr="00222C32">
              <w:t>-</w:t>
            </w:r>
          </w:p>
        </w:tc>
      </w:tr>
    </w:tbl>
    <w:p w14:paraId="013C66F7" w14:textId="77777777" w:rsidR="008B1629" w:rsidRDefault="008B1629" w:rsidP="008B1629">
      <w:pPr>
        <w:pStyle w:val="SingleParagraph"/>
      </w:pPr>
    </w:p>
    <w:p w14:paraId="00640D43" w14:textId="61273B6A" w:rsidR="00BB2CB4" w:rsidRDefault="000674DA">
      <w:pPr>
        <w:pStyle w:val="Normal2"/>
      </w:pPr>
      <w:r>
        <w:t>The Government will provide $30.6 million over three years from 2025–‍26 to improve Australia</w:t>
      </w:r>
      <w:r w:rsidR="00222C32">
        <w:t>’</w:t>
      </w:r>
      <w:r>
        <w:t>s resilience to natural hazards and preparedness to respond to disasters. Funding includes:</w:t>
      </w:r>
    </w:p>
    <w:p w14:paraId="195D6E80" w14:textId="77777777" w:rsidR="00BB2CB4" w:rsidRDefault="000674DA">
      <w:pPr>
        <w:pStyle w:val="Bullet"/>
      </w:pPr>
      <w:r>
        <w:t>$19.0 million in 2025–‍26 to deliver a new national cell broadcast messaging system to improve emergency warning communications and support public awareness of the new system</w:t>
      </w:r>
    </w:p>
    <w:p w14:paraId="3064EFF5" w14:textId="77777777" w:rsidR="00BB2CB4" w:rsidRDefault="000674DA">
      <w:pPr>
        <w:pStyle w:val="Bullet"/>
      </w:pPr>
      <w:r>
        <w:t>$7.0 million over two years from 2025–‍26 for the National Bushfire Intelligence Capability and North Australia and Rangelands Fire Information web service for continued availability of bushfire data and information</w:t>
      </w:r>
    </w:p>
    <w:p w14:paraId="2B56487A" w14:textId="77777777" w:rsidR="00BB2CB4" w:rsidRDefault="000674DA">
      <w:pPr>
        <w:pStyle w:val="Bullet"/>
      </w:pPr>
      <w:r>
        <w:t>$3.9 million over three years from 2025–‍26 to upgrade infrastructure at fire stations across Chidlow, Darlington, Glen Forrest, Mt Helena, Parkerville and Wooroloo in Perth, Western Australia</w:t>
      </w:r>
    </w:p>
    <w:p w14:paraId="28273E66" w14:textId="77777777" w:rsidR="00BB2CB4" w:rsidRDefault="000674DA">
      <w:pPr>
        <w:pStyle w:val="Bullet"/>
      </w:pPr>
      <w:r>
        <w:t>$0.7 million in 2025–‍26 for the National Resource Sharing Centre to enhance disaster response coordination and facilitate shared resources between jurisdictions to prepare and respond to disasters of national significance.</w:t>
      </w:r>
    </w:p>
    <w:p w14:paraId="04918CE0" w14:textId="77777777" w:rsidR="00BB2CB4" w:rsidRDefault="000674DA">
      <w:pPr>
        <w:pStyle w:val="Normal2"/>
      </w:pPr>
      <w:r w:rsidRPr="69C11E82">
        <w:rPr>
          <w:lang w:val="en-US"/>
        </w:rPr>
        <w:t>The support outlined in this measure is in addition to assistance provided under the Disaster Recovery Funding Arrangements through which the Australian Government provides funding to states and territories to share the financial burden of responding to significant natural disasters, and the provision of urgent financial assistance to disaster‑affected individuals.</w:t>
      </w:r>
    </w:p>
    <w:p w14:paraId="5ED61B3B" w14:textId="77777777" w:rsidR="00BB2CB4" w:rsidRDefault="000674DA">
      <w:pPr>
        <w:pStyle w:val="Normal2"/>
      </w:pPr>
      <w:r>
        <w:t>The Disaster Ready Fund will partially contribute to delivery of the national cell broadcast messaging system and bushfire data capabilities.</w:t>
      </w:r>
    </w:p>
    <w:p w14:paraId="56DF8691" w14:textId="77777777" w:rsidR="00BB2CB4" w:rsidRDefault="000674DA">
      <w:pPr>
        <w:pStyle w:val="Normal2"/>
      </w:pPr>
      <w:r>
        <w:t>The Treasury manages Commonwealth payments to the states and territories.</w:t>
      </w:r>
    </w:p>
    <w:p w14:paraId="583A443D" w14:textId="77777777" w:rsidR="00BB2CB4" w:rsidRDefault="000674DA">
      <w:pPr>
        <w:pStyle w:val="Normal2"/>
      </w:pPr>
      <w:r>
        <w:t xml:space="preserve">This measure builds on the 2023–‍24 Budget measure titled </w:t>
      </w:r>
      <w:r w:rsidRPr="000674DA">
        <w:rPr>
          <w:i/>
        </w:rPr>
        <w:t>Disaster Support</w:t>
      </w:r>
      <w:r>
        <w:t xml:space="preserve"> and the 2025–‍26 Budget measure titled </w:t>
      </w:r>
      <w:r w:rsidRPr="000674DA">
        <w:rPr>
          <w:i/>
        </w:rPr>
        <w:t>Disaster Support</w:t>
      </w:r>
      <w:r>
        <w:t>.</w:t>
      </w:r>
    </w:p>
    <w:p w14:paraId="4E58B0A6" w14:textId="4D53B3C9"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3B7DBE00" w14:textId="77777777" w:rsidR="00BB2CB4" w:rsidRDefault="000674DA">
      <w:pPr>
        <w:pStyle w:val="MeasureTitle"/>
      </w:pPr>
      <w:r w:rsidRPr="69C11E82">
        <w:rPr>
          <w:lang w:val="en-US"/>
        </w:rPr>
        <w:lastRenderedPageBreak/>
        <w:t>Home Affairs Portfolio – additional resourcing</w:t>
      </w:r>
    </w:p>
    <w:p w14:paraId="61EEDCD7"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7EF4803" w14:textId="77777777" w:rsidTr="00825163">
        <w:trPr>
          <w:cantSplit/>
        </w:trPr>
        <w:tc>
          <w:tcPr>
            <w:tcW w:w="2501" w:type="dxa"/>
            <w:tcBorders>
              <w:top w:val="single" w:sz="4" w:space="0" w:color="293F5B"/>
              <w:bottom w:val="single" w:sz="4" w:space="0" w:color="293F5B"/>
            </w:tcBorders>
          </w:tcPr>
          <w:p w14:paraId="239B11F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F0C7C0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D000AB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5A6E77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F0A9EDD"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57D6DEF" w14:textId="77777777" w:rsidR="00BB2CB4" w:rsidRPr="00222C32" w:rsidRDefault="000674DA">
            <w:pPr>
              <w:pStyle w:val="MeasureTableYearHeadings"/>
              <w:keepNext/>
            </w:pPr>
            <w:r w:rsidRPr="00222C32">
              <w:t>2028-29</w:t>
            </w:r>
          </w:p>
        </w:tc>
      </w:tr>
      <w:tr w:rsidR="00BB2CB4" w:rsidRPr="00222C32" w14:paraId="06FF5DE5" w14:textId="77777777" w:rsidTr="00825163">
        <w:trPr>
          <w:cantSplit/>
        </w:trPr>
        <w:tc>
          <w:tcPr>
            <w:tcW w:w="2501" w:type="dxa"/>
            <w:tcBorders>
              <w:top w:val="single" w:sz="4" w:space="0" w:color="293F5B"/>
              <w:bottom w:val="single" w:sz="4" w:space="0" w:color="293F5B"/>
            </w:tcBorders>
          </w:tcPr>
          <w:p w14:paraId="21AA5AEE"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1F6F2D0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71E89AF" w14:textId="77777777" w:rsidR="00BB2CB4" w:rsidRPr="00222C32" w:rsidRDefault="000674DA">
            <w:pPr>
              <w:pStyle w:val="MeasureTableDataRightAlignedwith2ptsspacing"/>
              <w:keepNext/>
            </w:pPr>
            <w:r w:rsidRPr="00222C32">
              <w:t>28.2</w:t>
            </w:r>
          </w:p>
        </w:tc>
        <w:tc>
          <w:tcPr>
            <w:tcW w:w="1044" w:type="dxa"/>
            <w:tcBorders>
              <w:top w:val="single" w:sz="4" w:space="0" w:color="293F5B"/>
              <w:bottom w:val="single" w:sz="4" w:space="0" w:color="293F5B"/>
            </w:tcBorders>
          </w:tcPr>
          <w:p w14:paraId="3994BDE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A4599F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B304CCD" w14:textId="77777777" w:rsidR="00BB2CB4" w:rsidRPr="00222C32" w:rsidRDefault="000674DA">
            <w:pPr>
              <w:pStyle w:val="MeasureTableDataRightAlignedwith2ptsspacing"/>
              <w:keepNext/>
            </w:pPr>
            <w:r w:rsidRPr="00222C32">
              <w:t>-</w:t>
            </w:r>
          </w:p>
        </w:tc>
      </w:tr>
      <w:tr w:rsidR="00BB2CB4" w:rsidRPr="00222C32" w14:paraId="4A37F851" w14:textId="77777777" w:rsidTr="00825163">
        <w:trPr>
          <w:cantSplit/>
        </w:trPr>
        <w:tc>
          <w:tcPr>
            <w:tcW w:w="2501" w:type="dxa"/>
            <w:tcBorders>
              <w:top w:val="single" w:sz="4" w:space="0" w:color="293F5B"/>
              <w:bottom w:val="single" w:sz="4" w:space="0" w:color="293F5B"/>
            </w:tcBorders>
          </w:tcPr>
          <w:p w14:paraId="0DC1D2C4" w14:textId="77777777" w:rsidR="00BB2CB4" w:rsidRPr="00222C32" w:rsidRDefault="000674DA">
            <w:pPr>
              <w:pStyle w:val="MeasureTableHeadingleftalignedwith2ptsspacing"/>
              <w:keepNext/>
            </w:pPr>
            <w:r w:rsidRPr="00222C32">
              <w:t>Australian Federal Police</w:t>
            </w:r>
          </w:p>
        </w:tc>
        <w:tc>
          <w:tcPr>
            <w:tcW w:w="1044" w:type="dxa"/>
            <w:tcBorders>
              <w:top w:val="single" w:sz="4" w:space="0" w:color="293F5B"/>
              <w:bottom w:val="single" w:sz="4" w:space="0" w:color="293F5B"/>
            </w:tcBorders>
          </w:tcPr>
          <w:p w14:paraId="5FBF61F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C1F67B3"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6BDA25BA"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2AE63966"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5D34B606" w14:textId="77777777" w:rsidR="00BB2CB4" w:rsidRPr="00222C32" w:rsidRDefault="000674DA">
            <w:pPr>
              <w:pStyle w:val="MeasureTableDataRightAlignedwith2ptsspacing"/>
              <w:keepNext/>
            </w:pPr>
            <w:r w:rsidRPr="00222C32">
              <w:t>nfp</w:t>
            </w:r>
          </w:p>
        </w:tc>
      </w:tr>
      <w:tr w:rsidR="00BB2CB4" w:rsidRPr="00222C32" w14:paraId="680706D3" w14:textId="77777777" w:rsidTr="00825163">
        <w:trPr>
          <w:cantSplit/>
        </w:trPr>
        <w:tc>
          <w:tcPr>
            <w:tcW w:w="2501" w:type="dxa"/>
            <w:tcBorders>
              <w:top w:val="single" w:sz="4" w:space="0" w:color="293F5B"/>
              <w:bottom w:val="single" w:sz="4" w:space="0" w:color="293F5B"/>
            </w:tcBorders>
          </w:tcPr>
          <w:p w14:paraId="603E2A18" w14:textId="77777777" w:rsidR="00BB2CB4" w:rsidRPr="00222C32" w:rsidRDefault="000674DA">
            <w:pPr>
              <w:pStyle w:val="MeasureTableHeadingleftalignedwith2ptsspacing"/>
              <w:keepNext/>
            </w:pPr>
            <w:r w:rsidRPr="00222C32">
              <w:t>Department of Finance</w:t>
            </w:r>
          </w:p>
        </w:tc>
        <w:tc>
          <w:tcPr>
            <w:tcW w:w="1044" w:type="dxa"/>
            <w:tcBorders>
              <w:top w:val="single" w:sz="4" w:space="0" w:color="293F5B"/>
              <w:bottom w:val="single" w:sz="4" w:space="0" w:color="293F5B"/>
            </w:tcBorders>
          </w:tcPr>
          <w:p w14:paraId="4BE1BF6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E7970DF"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03EBDE4D"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0ABBE7CC"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65B83CF2" w14:textId="77777777" w:rsidR="00BB2CB4" w:rsidRPr="00222C32" w:rsidRDefault="000674DA">
            <w:pPr>
              <w:pStyle w:val="MeasureTableDataRightAlignedwith2ptsspacing"/>
              <w:keepNext/>
            </w:pPr>
            <w:r w:rsidRPr="00222C32">
              <w:t>nfp</w:t>
            </w:r>
          </w:p>
        </w:tc>
      </w:tr>
      <w:tr w:rsidR="00BB2CB4" w:rsidRPr="00222C32" w14:paraId="0A1990DE" w14:textId="77777777" w:rsidTr="00825163">
        <w:trPr>
          <w:cantSplit/>
        </w:trPr>
        <w:tc>
          <w:tcPr>
            <w:tcW w:w="2501" w:type="dxa"/>
            <w:tcBorders>
              <w:top w:val="single" w:sz="4" w:space="0" w:color="293F5B"/>
              <w:bottom w:val="single" w:sz="4" w:space="0" w:color="293F5B"/>
            </w:tcBorders>
          </w:tcPr>
          <w:p w14:paraId="709DB09B" w14:textId="77777777" w:rsidR="00BB2CB4" w:rsidRPr="00222C32" w:rsidRDefault="000674DA">
            <w:pPr>
              <w:pStyle w:val="MeasureTableHeadingleftalignedwith2ptsspacing"/>
              <w:keepNext/>
            </w:pPr>
            <w:r w:rsidRPr="00222C32">
              <w:t>Digital Transformation Agency</w:t>
            </w:r>
          </w:p>
        </w:tc>
        <w:tc>
          <w:tcPr>
            <w:tcW w:w="1044" w:type="dxa"/>
            <w:tcBorders>
              <w:top w:val="single" w:sz="4" w:space="0" w:color="293F5B"/>
              <w:bottom w:val="single" w:sz="4" w:space="0" w:color="293F5B"/>
            </w:tcBorders>
          </w:tcPr>
          <w:p w14:paraId="6C8D0FF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AAB231D"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126F1762"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4AE0CA37"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2CBA81FD" w14:textId="77777777" w:rsidR="00BB2CB4" w:rsidRPr="00222C32" w:rsidRDefault="000674DA">
            <w:pPr>
              <w:pStyle w:val="MeasureTableDataRightAlignedwith2ptsspacing"/>
              <w:keepNext/>
            </w:pPr>
            <w:r w:rsidRPr="00222C32">
              <w:t>nfp</w:t>
            </w:r>
          </w:p>
        </w:tc>
      </w:tr>
      <w:tr w:rsidR="00BB2CB4" w:rsidRPr="00222C32" w14:paraId="0DAA6976" w14:textId="77777777" w:rsidTr="00825163">
        <w:trPr>
          <w:cantSplit/>
        </w:trPr>
        <w:tc>
          <w:tcPr>
            <w:tcW w:w="2501" w:type="dxa"/>
            <w:tcBorders>
              <w:top w:val="single" w:sz="4" w:space="0" w:color="293F5B"/>
              <w:bottom w:val="single" w:sz="4" w:space="0" w:color="293F5B"/>
            </w:tcBorders>
          </w:tcPr>
          <w:p w14:paraId="11D752D8"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0C91D2C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5150F45D" w14:textId="77777777" w:rsidR="00BB2CB4" w:rsidRPr="00222C32" w:rsidRDefault="000674DA">
            <w:pPr>
              <w:pStyle w:val="Totaldatarowrightaligned"/>
              <w:keepNext/>
            </w:pPr>
            <w:r w:rsidRPr="00222C32">
              <w:t>28.2</w:t>
            </w:r>
          </w:p>
        </w:tc>
        <w:tc>
          <w:tcPr>
            <w:tcW w:w="1044" w:type="dxa"/>
            <w:tcBorders>
              <w:top w:val="single" w:sz="4" w:space="0" w:color="293F5B"/>
              <w:bottom w:val="single" w:sz="4" w:space="0" w:color="293F5B"/>
            </w:tcBorders>
          </w:tcPr>
          <w:p w14:paraId="29BB7139"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6F35E98"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1809A41" w14:textId="77777777" w:rsidR="00BB2CB4" w:rsidRPr="00222C32" w:rsidRDefault="000674DA">
            <w:pPr>
              <w:pStyle w:val="Totaldatarowrightaligned"/>
              <w:keepNext/>
            </w:pPr>
            <w:r w:rsidRPr="00222C32">
              <w:t>-</w:t>
            </w:r>
          </w:p>
        </w:tc>
      </w:tr>
    </w:tbl>
    <w:p w14:paraId="457DE13C" w14:textId="77777777" w:rsidR="0063154B" w:rsidRDefault="0063154B" w:rsidP="0063154B">
      <w:pPr>
        <w:pStyle w:val="SingleParagraph"/>
      </w:pPr>
    </w:p>
    <w:p w14:paraId="5A4E7DA3" w14:textId="77777777" w:rsidR="00BB2CB4" w:rsidRDefault="000674DA">
      <w:pPr>
        <w:pStyle w:val="Normal2"/>
      </w:pPr>
      <w:r w:rsidRPr="69C11E82">
        <w:rPr>
          <w:lang w:val="en-US"/>
        </w:rPr>
        <w:t>The Government will provide additional resourcing to support the delivery of priorities in the Home Affairs portfolio, including:</w:t>
      </w:r>
    </w:p>
    <w:p w14:paraId="1036C44A" w14:textId="77777777" w:rsidR="00BB2CB4" w:rsidRDefault="000674DA">
      <w:pPr>
        <w:pStyle w:val="Bullet"/>
      </w:pPr>
      <w:r>
        <w:t>$28.2 million in 2025–‍26 to the Department of Home Affairs to sustain its protection visa processing capacity and legal assistance to protection visa applicants</w:t>
      </w:r>
    </w:p>
    <w:p w14:paraId="2014F7D8" w14:textId="77777777" w:rsidR="00BB2CB4" w:rsidRDefault="000674DA">
      <w:pPr>
        <w:pStyle w:val="Bullet"/>
      </w:pPr>
      <w:r>
        <w:t>funding over five years from 2025–‍26 for the Australian Federal Police (AFP) to strengthen its Information and Communication Technology (ICT) capabilities.</w:t>
      </w:r>
    </w:p>
    <w:p w14:paraId="5F74CC58" w14:textId="0769D7AA" w:rsidR="00BB2CB4" w:rsidRDefault="000674DA">
      <w:pPr>
        <w:pStyle w:val="Normal2"/>
      </w:pPr>
      <w:r>
        <w:t>Partial funding for this measure will be held in the Contingency Reserve pending the completion of assurance reviews for the AFP</w:t>
      </w:r>
      <w:r w:rsidR="00222C32">
        <w:t>’</w:t>
      </w:r>
      <w:r>
        <w:t>s ICT capabilities. The AFP will partially meet the cost of this measure from within existing resources.</w:t>
      </w:r>
    </w:p>
    <w:p w14:paraId="1ED0329F" w14:textId="77777777" w:rsidR="00BB2CB4" w:rsidRDefault="000674DA">
      <w:pPr>
        <w:pStyle w:val="Normal2"/>
      </w:pPr>
      <w:r w:rsidRPr="69C11E82">
        <w:rPr>
          <w:lang w:val="en-US"/>
        </w:rPr>
        <w:t>The financial implications of elements of this measure are not for publication (nfp) due to national security sensitivities.</w:t>
      </w:r>
    </w:p>
    <w:p w14:paraId="3432D1C2" w14:textId="77777777" w:rsidR="00BB2CB4" w:rsidRDefault="000674DA">
      <w:pPr>
        <w:pStyle w:val="Normal2"/>
      </w:pPr>
      <w:r>
        <w:t xml:space="preserve">Part of this measure builds on the 2023–‍24 MYEFO measure titled </w:t>
      </w:r>
      <w:r w:rsidRPr="000674DA">
        <w:rPr>
          <w:i/>
        </w:rPr>
        <w:t>Migration System Integrity</w:t>
      </w:r>
      <w:r>
        <w:t>.</w:t>
      </w:r>
    </w:p>
    <w:p w14:paraId="1CA5CAB5" w14:textId="77777777" w:rsidR="00BB2CB4" w:rsidRDefault="000674DA">
      <w:pPr>
        <w:pStyle w:val="MeasureTitle"/>
      </w:pPr>
      <w:r>
        <w:t>Strengthening Community Safety</w:t>
      </w:r>
    </w:p>
    <w:p w14:paraId="1F5E4352"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5BB9529" w14:textId="77777777" w:rsidTr="00825163">
        <w:trPr>
          <w:cantSplit/>
        </w:trPr>
        <w:tc>
          <w:tcPr>
            <w:tcW w:w="2501" w:type="dxa"/>
            <w:tcBorders>
              <w:top w:val="single" w:sz="4" w:space="0" w:color="293F5B"/>
              <w:bottom w:val="single" w:sz="4" w:space="0" w:color="293F5B"/>
            </w:tcBorders>
          </w:tcPr>
          <w:p w14:paraId="7E4951C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DD3AAA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C4643F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EA98A1B"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9241CED"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976983F" w14:textId="77777777" w:rsidR="00BB2CB4" w:rsidRPr="00222C32" w:rsidRDefault="000674DA">
            <w:pPr>
              <w:pStyle w:val="MeasureTableYearHeadings"/>
              <w:keepNext/>
            </w:pPr>
            <w:r w:rsidRPr="00222C32">
              <w:t>2028-29</w:t>
            </w:r>
          </w:p>
        </w:tc>
      </w:tr>
      <w:tr w:rsidR="00BB2CB4" w:rsidRPr="00222C32" w14:paraId="6E5D2EFC" w14:textId="77777777" w:rsidTr="00825163">
        <w:trPr>
          <w:cantSplit/>
        </w:trPr>
        <w:tc>
          <w:tcPr>
            <w:tcW w:w="2501" w:type="dxa"/>
            <w:tcBorders>
              <w:top w:val="single" w:sz="4" w:space="0" w:color="293F5B"/>
              <w:bottom w:val="single" w:sz="4" w:space="0" w:color="293F5B"/>
            </w:tcBorders>
          </w:tcPr>
          <w:p w14:paraId="78560B6D"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1801440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39B2B31" w14:textId="77777777" w:rsidR="00BB2CB4" w:rsidRPr="00222C32" w:rsidRDefault="000674DA">
            <w:pPr>
              <w:pStyle w:val="MeasureTableDataRightAlignedwith2ptsspacing"/>
              <w:keepNext/>
            </w:pPr>
            <w:r w:rsidRPr="00222C32">
              <w:t>8.3</w:t>
            </w:r>
          </w:p>
        </w:tc>
        <w:tc>
          <w:tcPr>
            <w:tcW w:w="1044" w:type="dxa"/>
            <w:tcBorders>
              <w:top w:val="single" w:sz="4" w:space="0" w:color="293F5B"/>
              <w:bottom w:val="single" w:sz="4" w:space="0" w:color="293F5B"/>
            </w:tcBorders>
          </w:tcPr>
          <w:p w14:paraId="72D4B331" w14:textId="77777777" w:rsidR="00BB2CB4" w:rsidRPr="00222C32" w:rsidRDefault="000674DA">
            <w:pPr>
              <w:pStyle w:val="MeasureTableDataRightAlignedwith2ptsspacing"/>
              <w:keepNext/>
            </w:pPr>
            <w:r w:rsidRPr="00222C32">
              <w:t>11.2</w:t>
            </w:r>
          </w:p>
        </w:tc>
        <w:tc>
          <w:tcPr>
            <w:tcW w:w="1044" w:type="dxa"/>
            <w:tcBorders>
              <w:top w:val="single" w:sz="4" w:space="0" w:color="293F5B"/>
              <w:bottom w:val="single" w:sz="4" w:space="0" w:color="293F5B"/>
            </w:tcBorders>
          </w:tcPr>
          <w:p w14:paraId="64EB4813" w14:textId="77777777" w:rsidR="00BB2CB4" w:rsidRPr="00222C32" w:rsidRDefault="000674DA">
            <w:pPr>
              <w:pStyle w:val="MeasureTableDataRightAlignedwith2ptsspacing"/>
              <w:keepNext/>
            </w:pPr>
            <w:r w:rsidRPr="00222C32">
              <w:t>2.9</w:t>
            </w:r>
          </w:p>
        </w:tc>
        <w:tc>
          <w:tcPr>
            <w:tcW w:w="1044" w:type="dxa"/>
            <w:tcBorders>
              <w:top w:val="single" w:sz="4" w:space="0" w:color="293F5B"/>
              <w:bottom w:val="single" w:sz="4" w:space="0" w:color="293F5B"/>
            </w:tcBorders>
          </w:tcPr>
          <w:p w14:paraId="3138E2AF" w14:textId="77777777" w:rsidR="00BB2CB4" w:rsidRPr="00222C32" w:rsidRDefault="000674DA">
            <w:pPr>
              <w:pStyle w:val="MeasureTableDataRightAlignedwith2ptsspacing"/>
              <w:keepNext/>
            </w:pPr>
            <w:r w:rsidRPr="00222C32">
              <w:t>-</w:t>
            </w:r>
          </w:p>
        </w:tc>
      </w:tr>
    </w:tbl>
    <w:p w14:paraId="6F13B2D1" w14:textId="77777777" w:rsidR="0063154B" w:rsidRDefault="0063154B" w:rsidP="0063154B">
      <w:pPr>
        <w:pStyle w:val="SingleParagraph"/>
      </w:pPr>
    </w:p>
    <w:p w14:paraId="476126E1" w14:textId="77777777" w:rsidR="00BB2CB4" w:rsidRDefault="000674DA">
      <w:pPr>
        <w:pStyle w:val="Normal2"/>
      </w:pPr>
      <w:r>
        <w:t>The Government will provide $22.4 million over three years from 2025–‍26 to support community safety. Funding includes:</w:t>
      </w:r>
    </w:p>
    <w:p w14:paraId="751D62CC" w14:textId="77777777" w:rsidR="00BB2CB4" w:rsidRDefault="000674DA">
      <w:pPr>
        <w:pStyle w:val="Bullet"/>
      </w:pPr>
      <w:r>
        <w:t>$17.3 million to local government areas to upgrade community security infrastructure</w:t>
      </w:r>
    </w:p>
    <w:p w14:paraId="03641CE1" w14:textId="77777777" w:rsidR="00BB2CB4" w:rsidRDefault="000674DA">
      <w:pPr>
        <w:pStyle w:val="Bullet"/>
      </w:pPr>
      <w:r>
        <w:t>$5.1 million to Crime Stoppers Australia to support its works for community safety.</w:t>
      </w:r>
    </w:p>
    <w:p w14:paraId="32B4A574" w14:textId="1F24F5B5"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573C1214" w14:textId="77777777" w:rsidR="00BB2CB4" w:rsidRDefault="000674DA" w:rsidP="0063154B">
      <w:pPr>
        <w:pStyle w:val="MeasureTitle"/>
        <w:keepLines/>
      </w:pPr>
      <w:r>
        <w:lastRenderedPageBreak/>
        <w:t>Support for Migrant and Refugee Settlement Services</w:t>
      </w:r>
    </w:p>
    <w:p w14:paraId="368E7949" w14:textId="77777777" w:rsidR="00BB2CB4" w:rsidRDefault="000674DA" w:rsidP="0063154B">
      <w:pPr>
        <w:pStyle w:val="MeasureTableHeading"/>
        <w:keepLines/>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ED394DB" w14:textId="77777777" w:rsidTr="00825163">
        <w:trPr>
          <w:cantSplit/>
        </w:trPr>
        <w:tc>
          <w:tcPr>
            <w:tcW w:w="2501" w:type="dxa"/>
            <w:tcBorders>
              <w:top w:val="single" w:sz="4" w:space="0" w:color="293F5B"/>
              <w:bottom w:val="single" w:sz="4" w:space="0" w:color="293F5B"/>
            </w:tcBorders>
          </w:tcPr>
          <w:p w14:paraId="12CFAE34" w14:textId="77777777" w:rsidR="00BB2CB4" w:rsidRPr="00222C32" w:rsidRDefault="00BB2CB4" w:rsidP="0063154B">
            <w:pPr>
              <w:pStyle w:val="MeasureTableYearHeadings"/>
              <w:keepNext/>
            </w:pPr>
          </w:p>
        </w:tc>
        <w:tc>
          <w:tcPr>
            <w:tcW w:w="1044" w:type="dxa"/>
            <w:tcBorders>
              <w:top w:val="single" w:sz="4" w:space="0" w:color="293F5B"/>
              <w:bottom w:val="single" w:sz="4" w:space="0" w:color="293F5B"/>
            </w:tcBorders>
          </w:tcPr>
          <w:p w14:paraId="445ABBB6" w14:textId="77777777" w:rsidR="00BB2CB4" w:rsidRPr="00222C32" w:rsidRDefault="000674DA" w:rsidP="0063154B">
            <w:pPr>
              <w:pStyle w:val="MeasureTableYearHeadings"/>
              <w:keepNext/>
            </w:pPr>
            <w:r w:rsidRPr="00222C32">
              <w:t>2024-25</w:t>
            </w:r>
          </w:p>
        </w:tc>
        <w:tc>
          <w:tcPr>
            <w:tcW w:w="1044" w:type="dxa"/>
            <w:tcBorders>
              <w:top w:val="single" w:sz="4" w:space="0" w:color="293F5B"/>
              <w:bottom w:val="single" w:sz="4" w:space="0" w:color="293F5B"/>
            </w:tcBorders>
          </w:tcPr>
          <w:p w14:paraId="67DFFF25" w14:textId="77777777" w:rsidR="00BB2CB4" w:rsidRPr="00222C32" w:rsidRDefault="000674DA" w:rsidP="0063154B">
            <w:pPr>
              <w:pStyle w:val="MeasureTableYearHeadings"/>
              <w:keepNext/>
            </w:pPr>
            <w:r w:rsidRPr="00222C32">
              <w:t>2025-26</w:t>
            </w:r>
          </w:p>
        </w:tc>
        <w:tc>
          <w:tcPr>
            <w:tcW w:w="1044" w:type="dxa"/>
            <w:tcBorders>
              <w:top w:val="single" w:sz="4" w:space="0" w:color="293F5B"/>
              <w:bottom w:val="single" w:sz="4" w:space="0" w:color="293F5B"/>
            </w:tcBorders>
          </w:tcPr>
          <w:p w14:paraId="174C19F7" w14:textId="77777777" w:rsidR="00BB2CB4" w:rsidRPr="00222C32" w:rsidRDefault="000674DA" w:rsidP="0063154B">
            <w:pPr>
              <w:pStyle w:val="MeasureTableYearHeadings"/>
              <w:keepNext/>
            </w:pPr>
            <w:r w:rsidRPr="00222C32">
              <w:t>2026-27</w:t>
            </w:r>
          </w:p>
        </w:tc>
        <w:tc>
          <w:tcPr>
            <w:tcW w:w="1044" w:type="dxa"/>
            <w:tcBorders>
              <w:top w:val="single" w:sz="4" w:space="0" w:color="293F5B"/>
              <w:bottom w:val="single" w:sz="4" w:space="0" w:color="293F5B"/>
            </w:tcBorders>
          </w:tcPr>
          <w:p w14:paraId="5D8CE54E" w14:textId="77777777" w:rsidR="00BB2CB4" w:rsidRPr="00222C32" w:rsidRDefault="000674DA" w:rsidP="0063154B">
            <w:pPr>
              <w:pStyle w:val="MeasureTableYearHeadings"/>
              <w:keepNext/>
            </w:pPr>
            <w:r w:rsidRPr="00222C32">
              <w:t>2027-28</w:t>
            </w:r>
          </w:p>
        </w:tc>
        <w:tc>
          <w:tcPr>
            <w:tcW w:w="1044" w:type="dxa"/>
            <w:tcBorders>
              <w:top w:val="single" w:sz="4" w:space="0" w:color="293F5B"/>
              <w:bottom w:val="single" w:sz="4" w:space="0" w:color="293F5B"/>
            </w:tcBorders>
          </w:tcPr>
          <w:p w14:paraId="0145D39B" w14:textId="77777777" w:rsidR="00BB2CB4" w:rsidRPr="00222C32" w:rsidRDefault="000674DA" w:rsidP="0063154B">
            <w:pPr>
              <w:pStyle w:val="MeasureTableYearHeadings"/>
              <w:keepNext/>
            </w:pPr>
            <w:r w:rsidRPr="00222C32">
              <w:t>2028-29</w:t>
            </w:r>
          </w:p>
        </w:tc>
      </w:tr>
      <w:tr w:rsidR="00BB2CB4" w:rsidRPr="00222C32" w14:paraId="72AF9850" w14:textId="77777777" w:rsidTr="00825163">
        <w:trPr>
          <w:cantSplit/>
        </w:trPr>
        <w:tc>
          <w:tcPr>
            <w:tcW w:w="2501" w:type="dxa"/>
            <w:tcBorders>
              <w:top w:val="single" w:sz="4" w:space="0" w:color="293F5B"/>
              <w:bottom w:val="single" w:sz="4" w:space="0" w:color="293F5B"/>
            </w:tcBorders>
          </w:tcPr>
          <w:p w14:paraId="46029490" w14:textId="77777777" w:rsidR="00BB2CB4" w:rsidRPr="00222C32" w:rsidRDefault="000674DA" w:rsidP="0063154B">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6C0A3931" w14:textId="77777777" w:rsidR="00BB2CB4" w:rsidRPr="00222C32" w:rsidRDefault="000674DA" w:rsidP="0063154B">
            <w:pPr>
              <w:pStyle w:val="MeasureTableDataRightAlignedwith2ptsspacing"/>
              <w:keepNext/>
            </w:pPr>
            <w:r w:rsidRPr="00222C32">
              <w:t>-</w:t>
            </w:r>
          </w:p>
        </w:tc>
        <w:tc>
          <w:tcPr>
            <w:tcW w:w="1044" w:type="dxa"/>
            <w:tcBorders>
              <w:top w:val="single" w:sz="4" w:space="0" w:color="293F5B"/>
              <w:bottom w:val="single" w:sz="4" w:space="0" w:color="293F5B"/>
            </w:tcBorders>
          </w:tcPr>
          <w:p w14:paraId="5F4107AE" w14:textId="77777777" w:rsidR="00BB2CB4" w:rsidRPr="00222C32" w:rsidRDefault="000674DA" w:rsidP="0063154B">
            <w:pPr>
              <w:pStyle w:val="MeasureTableDataRightAlignedwith2ptsspacing"/>
              <w:keepNext/>
            </w:pPr>
            <w:r w:rsidRPr="00222C32">
              <w:t>-</w:t>
            </w:r>
          </w:p>
        </w:tc>
        <w:tc>
          <w:tcPr>
            <w:tcW w:w="1044" w:type="dxa"/>
            <w:tcBorders>
              <w:top w:val="single" w:sz="4" w:space="0" w:color="293F5B"/>
              <w:bottom w:val="single" w:sz="4" w:space="0" w:color="293F5B"/>
            </w:tcBorders>
          </w:tcPr>
          <w:p w14:paraId="5CD09A37" w14:textId="77777777" w:rsidR="00BB2CB4" w:rsidRPr="00222C32" w:rsidRDefault="000674DA" w:rsidP="0063154B">
            <w:pPr>
              <w:pStyle w:val="MeasureTableDataRightAlignedwith2ptsspacing"/>
              <w:keepNext/>
            </w:pPr>
            <w:r w:rsidRPr="00222C32">
              <w:t>13.9</w:t>
            </w:r>
          </w:p>
        </w:tc>
        <w:tc>
          <w:tcPr>
            <w:tcW w:w="1044" w:type="dxa"/>
            <w:tcBorders>
              <w:top w:val="single" w:sz="4" w:space="0" w:color="293F5B"/>
              <w:bottom w:val="single" w:sz="4" w:space="0" w:color="293F5B"/>
            </w:tcBorders>
          </w:tcPr>
          <w:p w14:paraId="49B9216C" w14:textId="77777777" w:rsidR="00BB2CB4" w:rsidRPr="00222C32" w:rsidRDefault="000674DA" w:rsidP="0063154B">
            <w:pPr>
              <w:pStyle w:val="MeasureTableDataRightAlignedwith2ptsspacing"/>
              <w:keepNext/>
            </w:pPr>
            <w:r w:rsidRPr="00222C32">
              <w:t>-</w:t>
            </w:r>
          </w:p>
        </w:tc>
        <w:tc>
          <w:tcPr>
            <w:tcW w:w="1044" w:type="dxa"/>
            <w:tcBorders>
              <w:top w:val="single" w:sz="4" w:space="0" w:color="293F5B"/>
              <w:bottom w:val="single" w:sz="4" w:space="0" w:color="293F5B"/>
            </w:tcBorders>
          </w:tcPr>
          <w:p w14:paraId="5E440639" w14:textId="77777777" w:rsidR="00BB2CB4" w:rsidRPr="00222C32" w:rsidRDefault="000674DA" w:rsidP="0063154B">
            <w:pPr>
              <w:pStyle w:val="MeasureTableDataRightAlignedwith2ptsspacing"/>
              <w:keepNext/>
            </w:pPr>
            <w:r w:rsidRPr="00222C32">
              <w:t>-</w:t>
            </w:r>
          </w:p>
        </w:tc>
      </w:tr>
    </w:tbl>
    <w:p w14:paraId="7F87BB2E" w14:textId="77777777" w:rsidR="0063154B" w:rsidRDefault="0063154B" w:rsidP="0063154B">
      <w:pPr>
        <w:pStyle w:val="SingleParagraph"/>
        <w:keepNext/>
        <w:keepLines/>
      </w:pPr>
    </w:p>
    <w:p w14:paraId="3E81D274" w14:textId="77777777" w:rsidR="00BB2CB4" w:rsidRDefault="000674DA">
      <w:pPr>
        <w:pStyle w:val="Normal2"/>
      </w:pPr>
      <w:r>
        <w:t>The Government will provide $13.9 million in 2026–‍27 to extend programs that promote better economic and social outcomes for refugees and migrants. Funding includes:</w:t>
      </w:r>
    </w:p>
    <w:p w14:paraId="157377D2" w14:textId="77777777" w:rsidR="00BB2CB4" w:rsidRDefault="000674DA">
      <w:pPr>
        <w:pStyle w:val="Bullet"/>
      </w:pPr>
      <w:r>
        <w:t>$9.8 million in 2026–‍27 for Youth Transition Support services to assist refugee and migrant youth to access education, employment and government services</w:t>
      </w:r>
    </w:p>
    <w:p w14:paraId="09C8784D" w14:textId="77777777" w:rsidR="00BB2CB4" w:rsidRDefault="000674DA">
      <w:pPr>
        <w:pStyle w:val="Bullet"/>
      </w:pPr>
      <w:r>
        <w:t>$3.6 million in 2026–‍27 for the Settlement Engagement and Transition Support program to provide specialised support for refugee and migrant women experiencing domestic and family violence</w:t>
      </w:r>
    </w:p>
    <w:p w14:paraId="6ABBE09C" w14:textId="77777777" w:rsidR="00BB2CB4" w:rsidRDefault="000674DA">
      <w:pPr>
        <w:pStyle w:val="Bullet"/>
      </w:pPr>
      <w:r>
        <w:t>$0.5 million in 2026–‍27 to continue settlement support for Afghan humanitarian entrants.</w:t>
      </w:r>
    </w:p>
    <w:p w14:paraId="44A4BB2E" w14:textId="77777777" w:rsidR="00BB2CB4" w:rsidRDefault="000674DA">
      <w:pPr>
        <w:pStyle w:val="Normal2"/>
      </w:pPr>
      <w:r>
        <w:t xml:space="preserve">This measure builds on the 2024–‍25 Budget measure titled </w:t>
      </w:r>
      <w:r w:rsidRPr="000674DA">
        <w:rPr>
          <w:i/>
        </w:rPr>
        <w:t>Reforms to Migrant and Refugee Settlement Services</w:t>
      </w:r>
      <w:r>
        <w:t>.</w:t>
      </w:r>
    </w:p>
    <w:p w14:paraId="7EADACDF" w14:textId="77777777" w:rsidR="00BB2CB4" w:rsidRDefault="000674DA">
      <w:pPr>
        <w:pStyle w:val="MeasureTitle"/>
      </w:pPr>
      <w:r>
        <w:t>Supporting Multicultural Communities</w:t>
      </w:r>
    </w:p>
    <w:p w14:paraId="67CDED0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C898E13" w14:textId="77777777" w:rsidTr="00825163">
        <w:trPr>
          <w:cantSplit/>
        </w:trPr>
        <w:tc>
          <w:tcPr>
            <w:tcW w:w="2501" w:type="dxa"/>
            <w:tcBorders>
              <w:top w:val="single" w:sz="4" w:space="0" w:color="293F5B"/>
              <w:bottom w:val="single" w:sz="4" w:space="0" w:color="293F5B"/>
            </w:tcBorders>
          </w:tcPr>
          <w:p w14:paraId="620C30A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8B2D567"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FB19161"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A23229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0F2A0F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7171B92" w14:textId="77777777" w:rsidR="00BB2CB4" w:rsidRPr="00222C32" w:rsidRDefault="000674DA">
            <w:pPr>
              <w:pStyle w:val="MeasureTableYearHeadings"/>
              <w:keepNext/>
            </w:pPr>
            <w:r w:rsidRPr="00222C32">
              <w:t>2028-29</w:t>
            </w:r>
          </w:p>
        </w:tc>
      </w:tr>
      <w:tr w:rsidR="00BB2CB4" w:rsidRPr="00222C32" w14:paraId="57B2BF8E" w14:textId="77777777" w:rsidTr="00825163">
        <w:trPr>
          <w:cantSplit/>
        </w:trPr>
        <w:tc>
          <w:tcPr>
            <w:tcW w:w="2501" w:type="dxa"/>
            <w:tcBorders>
              <w:top w:val="single" w:sz="4" w:space="0" w:color="293F5B"/>
              <w:bottom w:val="single" w:sz="4" w:space="0" w:color="293F5B"/>
            </w:tcBorders>
          </w:tcPr>
          <w:p w14:paraId="341C472B"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3BE3156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1B9405A" w14:textId="77777777" w:rsidR="00BB2CB4" w:rsidRPr="00222C32" w:rsidRDefault="000674DA">
            <w:pPr>
              <w:pStyle w:val="MeasureTableDataRightAlignedwith2ptsspacing"/>
              <w:keepNext/>
            </w:pPr>
            <w:r w:rsidRPr="00222C32">
              <w:t>89.9</w:t>
            </w:r>
          </w:p>
        </w:tc>
        <w:tc>
          <w:tcPr>
            <w:tcW w:w="1044" w:type="dxa"/>
            <w:tcBorders>
              <w:top w:val="single" w:sz="4" w:space="0" w:color="293F5B"/>
              <w:bottom w:val="single" w:sz="4" w:space="0" w:color="293F5B"/>
            </w:tcBorders>
          </w:tcPr>
          <w:p w14:paraId="0AE6830E" w14:textId="77777777" w:rsidR="00BB2CB4" w:rsidRPr="00222C32" w:rsidRDefault="000674DA">
            <w:pPr>
              <w:pStyle w:val="MeasureTableDataRightAlignedwith2ptsspacing"/>
              <w:keepNext/>
            </w:pPr>
            <w:r w:rsidRPr="00222C32">
              <w:t>81.9</w:t>
            </w:r>
          </w:p>
        </w:tc>
        <w:tc>
          <w:tcPr>
            <w:tcW w:w="1044" w:type="dxa"/>
            <w:tcBorders>
              <w:top w:val="single" w:sz="4" w:space="0" w:color="293F5B"/>
              <w:bottom w:val="single" w:sz="4" w:space="0" w:color="293F5B"/>
            </w:tcBorders>
          </w:tcPr>
          <w:p w14:paraId="483E7911" w14:textId="77777777" w:rsidR="00BB2CB4" w:rsidRPr="00222C32" w:rsidRDefault="000674DA">
            <w:pPr>
              <w:pStyle w:val="MeasureTableDataRightAlignedwith2ptsspacing"/>
              <w:keepNext/>
            </w:pPr>
            <w:r w:rsidRPr="00222C32">
              <w:t>20.4</w:t>
            </w:r>
          </w:p>
        </w:tc>
        <w:tc>
          <w:tcPr>
            <w:tcW w:w="1044" w:type="dxa"/>
            <w:tcBorders>
              <w:top w:val="single" w:sz="4" w:space="0" w:color="293F5B"/>
              <w:bottom w:val="single" w:sz="4" w:space="0" w:color="293F5B"/>
            </w:tcBorders>
          </w:tcPr>
          <w:p w14:paraId="1FB757DF" w14:textId="77777777" w:rsidR="00BB2CB4" w:rsidRPr="00222C32" w:rsidRDefault="000674DA">
            <w:pPr>
              <w:pStyle w:val="MeasureTableDataRightAlignedwith2ptsspacing"/>
              <w:keepNext/>
            </w:pPr>
            <w:r w:rsidRPr="00222C32">
              <w:t>5.0</w:t>
            </w:r>
          </w:p>
        </w:tc>
      </w:tr>
      <w:tr w:rsidR="00BB2CB4" w:rsidRPr="00222C32" w14:paraId="201B30F4" w14:textId="77777777" w:rsidTr="00825163">
        <w:trPr>
          <w:cantSplit/>
        </w:trPr>
        <w:tc>
          <w:tcPr>
            <w:tcW w:w="2501" w:type="dxa"/>
            <w:tcBorders>
              <w:top w:val="single" w:sz="4" w:space="0" w:color="293F5B"/>
              <w:bottom w:val="single" w:sz="4" w:space="0" w:color="293F5B"/>
            </w:tcBorders>
          </w:tcPr>
          <w:p w14:paraId="7F6B979A"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5DA3FA2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6C0E39D" w14:textId="77777777" w:rsidR="00BB2CB4" w:rsidRPr="00222C32" w:rsidRDefault="000674DA">
            <w:pPr>
              <w:pStyle w:val="MeasureTableDataRightAlignedwith2ptsspacing"/>
              <w:keepNext/>
            </w:pPr>
            <w:r w:rsidRPr="00222C32">
              <w:t>1.1</w:t>
            </w:r>
          </w:p>
        </w:tc>
        <w:tc>
          <w:tcPr>
            <w:tcW w:w="1044" w:type="dxa"/>
            <w:tcBorders>
              <w:top w:val="single" w:sz="4" w:space="0" w:color="293F5B"/>
              <w:bottom w:val="single" w:sz="4" w:space="0" w:color="293F5B"/>
            </w:tcBorders>
          </w:tcPr>
          <w:p w14:paraId="60E8ED60" w14:textId="77777777" w:rsidR="00BB2CB4" w:rsidRPr="00222C32" w:rsidRDefault="000674DA">
            <w:pPr>
              <w:pStyle w:val="MeasureTableDataRightAlignedwith2ptsspacing"/>
              <w:keepNext/>
            </w:pPr>
            <w:r w:rsidRPr="00222C32">
              <w:t>0.9</w:t>
            </w:r>
          </w:p>
        </w:tc>
        <w:tc>
          <w:tcPr>
            <w:tcW w:w="1044" w:type="dxa"/>
            <w:tcBorders>
              <w:top w:val="single" w:sz="4" w:space="0" w:color="293F5B"/>
              <w:bottom w:val="single" w:sz="4" w:space="0" w:color="293F5B"/>
            </w:tcBorders>
          </w:tcPr>
          <w:p w14:paraId="62E7791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51CE21C" w14:textId="77777777" w:rsidR="00BB2CB4" w:rsidRPr="00222C32" w:rsidRDefault="000674DA">
            <w:pPr>
              <w:pStyle w:val="MeasureTableDataRightAlignedwith2ptsspacing"/>
              <w:keepNext/>
            </w:pPr>
            <w:r w:rsidRPr="00222C32">
              <w:t>-</w:t>
            </w:r>
          </w:p>
        </w:tc>
      </w:tr>
      <w:tr w:rsidR="00BB2CB4" w:rsidRPr="00222C32" w14:paraId="2855D76D" w14:textId="77777777" w:rsidTr="00825163">
        <w:trPr>
          <w:cantSplit/>
        </w:trPr>
        <w:tc>
          <w:tcPr>
            <w:tcW w:w="2501" w:type="dxa"/>
            <w:tcBorders>
              <w:top w:val="single" w:sz="4" w:space="0" w:color="293F5B"/>
              <w:bottom w:val="single" w:sz="4" w:space="0" w:color="293F5B"/>
            </w:tcBorders>
          </w:tcPr>
          <w:p w14:paraId="4E31BFE1"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659B004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6660F44"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14646006" w14:textId="77777777" w:rsidR="00BB2CB4" w:rsidRPr="00222C32" w:rsidRDefault="000674DA">
            <w:pPr>
              <w:pStyle w:val="MeasureTableDataRightAlignedwith2ptsspacing"/>
              <w:keepNext/>
            </w:pPr>
            <w:r w:rsidRPr="00222C32">
              <w:t>4.0</w:t>
            </w:r>
          </w:p>
        </w:tc>
        <w:tc>
          <w:tcPr>
            <w:tcW w:w="1044" w:type="dxa"/>
            <w:tcBorders>
              <w:top w:val="single" w:sz="4" w:space="0" w:color="293F5B"/>
              <w:bottom w:val="single" w:sz="4" w:space="0" w:color="293F5B"/>
            </w:tcBorders>
          </w:tcPr>
          <w:p w14:paraId="69C4821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2C0C517" w14:textId="77777777" w:rsidR="00BB2CB4" w:rsidRPr="00222C32" w:rsidRDefault="000674DA">
            <w:pPr>
              <w:pStyle w:val="MeasureTableDataRightAlignedwith2ptsspacing"/>
              <w:keepNext/>
            </w:pPr>
            <w:r w:rsidRPr="00222C32">
              <w:t>-</w:t>
            </w:r>
          </w:p>
        </w:tc>
      </w:tr>
      <w:tr w:rsidR="00BB2CB4" w:rsidRPr="00222C32" w14:paraId="28C2E45D" w14:textId="77777777" w:rsidTr="00825163">
        <w:trPr>
          <w:cantSplit/>
        </w:trPr>
        <w:tc>
          <w:tcPr>
            <w:tcW w:w="2501" w:type="dxa"/>
            <w:tcBorders>
              <w:top w:val="single" w:sz="4" w:space="0" w:color="293F5B"/>
              <w:bottom w:val="single" w:sz="4" w:space="0" w:color="293F5B"/>
            </w:tcBorders>
          </w:tcPr>
          <w:p w14:paraId="003642CC"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3CAD498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EEB7DF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B4C497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8AC3BA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279E13E" w14:textId="77777777" w:rsidR="00BB2CB4" w:rsidRPr="00222C32" w:rsidRDefault="000674DA">
            <w:pPr>
              <w:pStyle w:val="MeasureTableDataRightAlignedwith2ptsspacing"/>
              <w:keepNext/>
            </w:pPr>
            <w:r w:rsidRPr="00222C32">
              <w:t>-</w:t>
            </w:r>
          </w:p>
        </w:tc>
      </w:tr>
      <w:tr w:rsidR="00BB2CB4" w:rsidRPr="00222C32" w14:paraId="25260E0B" w14:textId="77777777" w:rsidTr="00825163">
        <w:trPr>
          <w:cantSplit/>
        </w:trPr>
        <w:tc>
          <w:tcPr>
            <w:tcW w:w="2501" w:type="dxa"/>
            <w:tcBorders>
              <w:top w:val="single" w:sz="4" w:space="0" w:color="293F5B"/>
              <w:bottom w:val="single" w:sz="4" w:space="0" w:color="293F5B"/>
            </w:tcBorders>
          </w:tcPr>
          <w:p w14:paraId="57BF7948"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79CB385"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19FD288" w14:textId="77777777" w:rsidR="00BB2CB4" w:rsidRPr="00222C32" w:rsidRDefault="000674DA">
            <w:pPr>
              <w:pStyle w:val="Totaldatarowrightaligned"/>
              <w:keepNext/>
            </w:pPr>
            <w:r w:rsidRPr="00222C32">
              <w:t>92.0</w:t>
            </w:r>
          </w:p>
        </w:tc>
        <w:tc>
          <w:tcPr>
            <w:tcW w:w="1044" w:type="dxa"/>
            <w:tcBorders>
              <w:top w:val="single" w:sz="4" w:space="0" w:color="293F5B"/>
              <w:bottom w:val="single" w:sz="4" w:space="0" w:color="293F5B"/>
            </w:tcBorders>
          </w:tcPr>
          <w:p w14:paraId="6B5C5D62" w14:textId="77777777" w:rsidR="00BB2CB4" w:rsidRPr="00222C32" w:rsidRDefault="000674DA">
            <w:pPr>
              <w:pStyle w:val="Totaldatarowrightaligned"/>
              <w:keepNext/>
            </w:pPr>
            <w:r w:rsidRPr="00222C32">
              <w:t>86.8</w:t>
            </w:r>
          </w:p>
        </w:tc>
        <w:tc>
          <w:tcPr>
            <w:tcW w:w="1044" w:type="dxa"/>
            <w:tcBorders>
              <w:top w:val="single" w:sz="4" w:space="0" w:color="293F5B"/>
              <w:bottom w:val="single" w:sz="4" w:space="0" w:color="293F5B"/>
            </w:tcBorders>
          </w:tcPr>
          <w:p w14:paraId="5177585C" w14:textId="77777777" w:rsidR="00BB2CB4" w:rsidRPr="00222C32" w:rsidRDefault="000674DA">
            <w:pPr>
              <w:pStyle w:val="Totaldatarowrightaligned"/>
              <w:keepNext/>
            </w:pPr>
            <w:r w:rsidRPr="00222C32">
              <w:t>20.4</w:t>
            </w:r>
          </w:p>
        </w:tc>
        <w:tc>
          <w:tcPr>
            <w:tcW w:w="1044" w:type="dxa"/>
            <w:tcBorders>
              <w:top w:val="single" w:sz="4" w:space="0" w:color="293F5B"/>
              <w:bottom w:val="single" w:sz="4" w:space="0" w:color="293F5B"/>
            </w:tcBorders>
          </w:tcPr>
          <w:p w14:paraId="6A85AC0B" w14:textId="77777777" w:rsidR="00BB2CB4" w:rsidRPr="00222C32" w:rsidRDefault="000674DA">
            <w:pPr>
              <w:pStyle w:val="Totaldatarowrightaligned"/>
              <w:keepNext/>
            </w:pPr>
            <w:r w:rsidRPr="00222C32">
              <w:t>5.0</w:t>
            </w:r>
          </w:p>
        </w:tc>
      </w:tr>
    </w:tbl>
    <w:p w14:paraId="6CB59D6E" w14:textId="77777777" w:rsidR="0063154B" w:rsidRDefault="0063154B" w:rsidP="0063154B">
      <w:pPr>
        <w:pStyle w:val="SingleParagraph"/>
      </w:pPr>
    </w:p>
    <w:p w14:paraId="4B14C954" w14:textId="77777777" w:rsidR="00BB2CB4" w:rsidRDefault="000674DA">
      <w:pPr>
        <w:pStyle w:val="Normal2"/>
      </w:pPr>
      <w:r>
        <w:t>The Government will provide</w:t>
      </w:r>
      <w:r w:rsidRPr="00624986">
        <w:rPr>
          <w:b/>
        </w:rPr>
        <w:t xml:space="preserve"> $</w:t>
      </w:r>
      <w:r>
        <w:t>220.6 million over four years from 2025–‍26 to support multiculturalism in Australia. Funding includes:</w:t>
      </w:r>
    </w:p>
    <w:p w14:paraId="777C780D" w14:textId="77777777" w:rsidR="00BB2CB4" w:rsidRDefault="000674DA">
      <w:pPr>
        <w:pStyle w:val="Bullet"/>
      </w:pPr>
      <w:r>
        <w:t>$171.3 million over three years from 2025–‍26 to support multicultural community organisations in delivering 164 priority infrastructure, amenities, and events initiatives</w:t>
      </w:r>
    </w:p>
    <w:p w14:paraId="7D167112" w14:textId="77777777" w:rsidR="00BB2CB4" w:rsidRDefault="000674DA">
      <w:pPr>
        <w:pStyle w:val="Bullet"/>
      </w:pPr>
      <w:r>
        <w:t>$25.6 million over four years from 2025–‍26 to support over 600 community language schools across Australia to help more than 90,000 students learn community languages</w:t>
      </w:r>
    </w:p>
    <w:p w14:paraId="60FCC489" w14:textId="77777777" w:rsidR="00BB2CB4" w:rsidRDefault="000674DA">
      <w:pPr>
        <w:pStyle w:val="Bullet"/>
      </w:pPr>
      <w:r>
        <w:t>$10.2 million over four years from 2025–‍26 to help deliver services that are culturally appropriate at Aman Aged Care in Sydney and Maurice Zeffert Home in Perth</w:t>
      </w:r>
    </w:p>
    <w:p w14:paraId="5C0CA57E" w14:textId="77777777" w:rsidR="00BB2CB4" w:rsidRDefault="000674DA">
      <w:pPr>
        <w:pStyle w:val="Bullet"/>
      </w:pPr>
      <w:r>
        <w:t>$6.5 million over three years from 2025–‍26 to establish 25 new Community Hubs across Australia to support humanitarian and migrant families</w:t>
      </w:r>
    </w:p>
    <w:p w14:paraId="6C35B7ED" w14:textId="6785E90F" w:rsidR="00BB2CB4" w:rsidRDefault="000674DA">
      <w:pPr>
        <w:pStyle w:val="Bullet"/>
      </w:pPr>
      <w:r>
        <w:lastRenderedPageBreak/>
        <w:t xml:space="preserve">$5.0 million over two years from 2025–‍26 for the Royal Life Saving Society Australia to deliver a Multicultural Communities Swimming and Water Safety </w:t>
      </w:r>
      <w:r w:rsidR="00E01328">
        <w:t>p</w:t>
      </w:r>
      <w:r>
        <w:t>rogram, targeting multicultural communities that lack access to essential water safety education</w:t>
      </w:r>
    </w:p>
    <w:p w14:paraId="63DDE12D" w14:textId="77777777" w:rsidR="00BB2CB4" w:rsidRDefault="000674DA">
      <w:pPr>
        <w:pStyle w:val="Bullet"/>
      </w:pPr>
      <w:r>
        <w:t>$2.0 million over two years from 2025–‍26 to Jewish House Bondi to expand its crisis accommodation services for people experiencing homelessness or domestic violence.</w:t>
      </w:r>
    </w:p>
    <w:p w14:paraId="521472B5" w14:textId="77777777" w:rsidR="00BB2CB4" w:rsidRDefault="000674DA">
      <w:pPr>
        <w:pStyle w:val="Normal2"/>
      </w:pPr>
      <w:r w:rsidRPr="69C11E82">
        <w:rPr>
          <w:lang w:val="en-US"/>
        </w:rPr>
        <w:t xml:space="preserve">The cost of this measure will be partially met from a reprioritisation of funding from the 2025 PEFO measure titled </w:t>
      </w:r>
      <w:r w:rsidRPr="69C11E82">
        <w:rPr>
          <w:i/>
          <w:lang w:val="en-US"/>
        </w:rPr>
        <w:t>Supporting Social Cohesion</w:t>
      </w:r>
      <w:r w:rsidRPr="69C11E82">
        <w:rPr>
          <w:lang w:val="en-US"/>
        </w:rPr>
        <w:t xml:space="preserve"> and within existing resources of the Department of Health, Disability and Ageing.</w:t>
      </w:r>
    </w:p>
    <w:p w14:paraId="75817127" w14:textId="67F2EE14" w:rsidR="00BB2CB4" w:rsidRDefault="000674DA">
      <w:pPr>
        <w:pStyle w:val="Normal2"/>
      </w:pPr>
      <w:r>
        <w:t>This measure delivers on the Government</w:t>
      </w:r>
      <w:r w:rsidR="00222C32">
        <w:t>’</w:t>
      </w:r>
      <w:r>
        <w:t>s election commitments made during the 2025</w:t>
      </w:r>
      <w:r w:rsidR="00C66B6B">
        <w:t> federal</w:t>
      </w:r>
      <w:r>
        <w:t xml:space="preserve"> election.</w:t>
      </w:r>
    </w:p>
    <w:p w14:paraId="01DED87D" w14:textId="77777777" w:rsidR="00BB2CB4" w:rsidRDefault="000674DA">
      <w:pPr>
        <w:pStyle w:val="MeasureTitle"/>
      </w:pPr>
      <w:r>
        <w:t>United States Global Entry Program (Phase Two)</w:t>
      </w:r>
    </w:p>
    <w:p w14:paraId="5D23D58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B129104" w14:textId="77777777" w:rsidTr="00825163">
        <w:tc>
          <w:tcPr>
            <w:tcW w:w="2501" w:type="dxa"/>
            <w:tcBorders>
              <w:top w:val="single" w:sz="4" w:space="0" w:color="293F5B"/>
              <w:bottom w:val="single" w:sz="4" w:space="0" w:color="293F5B"/>
            </w:tcBorders>
          </w:tcPr>
          <w:p w14:paraId="42C2822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B078C7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BA4DF4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F16F1D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E48F51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FF026F0" w14:textId="77777777" w:rsidR="00BB2CB4" w:rsidRPr="00222C32" w:rsidRDefault="000674DA">
            <w:pPr>
              <w:pStyle w:val="MeasureTableYearHeadings"/>
              <w:keepNext/>
            </w:pPr>
            <w:r w:rsidRPr="00222C32">
              <w:t>2028-29</w:t>
            </w:r>
          </w:p>
        </w:tc>
      </w:tr>
      <w:tr w:rsidR="00BB2CB4" w:rsidRPr="00222C32" w14:paraId="6420FF59" w14:textId="77777777" w:rsidTr="00825163">
        <w:tc>
          <w:tcPr>
            <w:tcW w:w="2501" w:type="dxa"/>
            <w:tcBorders>
              <w:top w:val="single" w:sz="4" w:space="0" w:color="293F5B"/>
              <w:bottom w:val="single" w:sz="4" w:space="0" w:color="293F5B"/>
            </w:tcBorders>
          </w:tcPr>
          <w:p w14:paraId="02521967"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22A53AD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7CE38D3" w14:textId="77777777" w:rsidR="00BB2CB4" w:rsidRPr="00222C32" w:rsidRDefault="000674DA">
            <w:pPr>
              <w:pStyle w:val="MeasureTableDataRightAlignedwith2ptsspacing"/>
              <w:keepNext/>
            </w:pPr>
            <w:r w:rsidRPr="00222C32">
              <w:t>1.6</w:t>
            </w:r>
          </w:p>
        </w:tc>
        <w:tc>
          <w:tcPr>
            <w:tcW w:w="1044" w:type="dxa"/>
            <w:tcBorders>
              <w:top w:val="single" w:sz="4" w:space="0" w:color="293F5B"/>
              <w:bottom w:val="single" w:sz="4" w:space="0" w:color="293F5B"/>
            </w:tcBorders>
          </w:tcPr>
          <w:p w14:paraId="7D66B969" w14:textId="77777777" w:rsidR="00BB2CB4" w:rsidRPr="00222C32" w:rsidRDefault="000674DA">
            <w:pPr>
              <w:pStyle w:val="MeasureTableDataRightAlignedwith2ptsspacing"/>
              <w:keepNext/>
            </w:pPr>
            <w:r w:rsidRPr="00222C32">
              <w:t>2.7</w:t>
            </w:r>
          </w:p>
        </w:tc>
        <w:tc>
          <w:tcPr>
            <w:tcW w:w="1044" w:type="dxa"/>
            <w:tcBorders>
              <w:top w:val="single" w:sz="4" w:space="0" w:color="293F5B"/>
              <w:bottom w:val="single" w:sz="4" w:space="0" w:color="293F5B"/>
            </w:tcBorders>
          </w:tcPr>
          <w:p w14:paraId="68E3EB47" w14:textId="77777777" w:rsidR="00BB2CB4" w:rsidRPr="00222C32" w:rsidRDefault="000674DA">
            <w:pPr>
              <w:pStyle w:val="MeasureTableDataRightAlignedwith2ptsspacing"/>
              <w:keepNext/>
            </w:pPr>
            <w:r w:rsidRPr="00222C32">
              <w:t>3.4</w:t>
            </w:r>
          </w:p>
        </w:tc>
        <w:tc>
          <w:tcPr>
            <w:tcW w:w="1044" w:type="dxa"/>
            <w:tcBorders>
              <w:top w:val="single" w:sz="4" w:space="0" w:color="293F5B"/>
              <w:bottom w:val="single" w:sz="4" w:space="0" w:color="293F5B"/>
            </w:tcBorders>
          </w:tcPr>
          <w:p w14:paraId="0AC5DFA2" w14:textId="77777777" w:rsidR="00BB2CB4" w:rsidRPr="00222C32" w:rsidRDefault="000674DA">
            <w:pPr>
              <w:pStyle w:val="MeasureTableDataRightAlignedwith2ptsspacing"/>
              <w:keepNext/>
            </w:pPr>
            <w:r w:rsidRPr="00222C32">
              <w:t>4.1</w:t>
            </w:r>
          </w:p>
        </w:tc>
      </w:tr>
      <w:tr w:rsidR="00BB2CB4" w:rsidRPr="00222C32" w14:paraId="47791E38" w14:textId="77777777" w:rsidTr="00825163">
        <w:tc>
          <w:tcPr>
            <w:tcW w:w="2501" w:type="dxa"/>
            <w:tcBorders>
              <w:top w:val="single" w:sz="4" w:space="0" w:color="293F5B"/>
              <w:bottom w:val="nil"/>
            </w:tcBorders>
          </w:tcPr>
          <w:p w14:paraId="60F0EDB2"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15DBA2E1" w14:textId="77777777" w:rsidR="00BB2CB4" w:rsidRPr="00222C32" w:rsidRDefault="00BB2CB4">
            <w:pPr>
              <w:pStyle w:val="AgencyName"/>
              <w:keepNext/>
            </w:pPr>
          </w:p>
        </w:tc>
        <w:tc>
          <w:tcPr>
            <w:tcW w:w="1044" w:type="dxa"/>
            <w:tcBorders>
              <w:top w:val="single" w:sz="4" w:space="0" w:color="293F5B"/>
              <w:bottom w:val="nil"/>
            </w:tcBorders>
          </w:tcPr>
          <w:p w14:paraId="260443B8" w14:textId="77777777" w:rsidR="00BB2CB4" w:rsidRPr="00222C32" w:rsidRDefault="00BB2CB4">
            <w:pPr>
              <w:pStyle w:val="AgencyName"/>
              <w:keepNext/>
            </w:pPr>
          </w:p>
        </w:tc>
        <w:tc>
          <w:tcPr>
            <w:tcW w:w="1044" w:type="dxa"/>
            <w:tcBorders>
              <w:top w:val="single" w:sz="4" w:space="0" w:color="293F5B"/>
              <w:bottom w:val="nil"/>
            </w:tcBorders>
          </w:tcPr>
          <w:p w14:paraId="0CA6A33E" w14:textId="77777777" w:rsidR="00BB2CB4" w:rsidRPr="00222C32" w:rsidRDefault="00BB2CB4">
            <w:pPr>
              <w:pStyle w:val="AgencyName"/>
              <w:keepNext/>
            </w:pPr>
          </w:p>
        </w:tc>
        <w:tc>
          <w:tcPr>
            <w:tcW w:w="1044" w:type="dxa"/>
            <w:tcBorders>
              <w:top w:val="single" w:sz="4" w:space="0" w:color="293F5B"/>
              <w:bottom w:val="nil"/>
            </w:tcBorders>
          </w:tcPr>
          <w:p w14:paraId="6FD13A3E" w14:textId="77777777" w:rsidR="00BB2CB4" w:rsidRPr="00222C32" w:rsidRDefault="00BB2CB4">
            <w:pPr>
              <w:pStyle w:val="AgencyName"/>
              <w:keepNext/>
            </w:pPr>
          </w:p>
        </w:tc>
        <w:tc>
          <w:tcPr>
            <w:tcW w:w="1044" w:type="dxa"/>
            <w:tcBorders>
              <w:top w:val="single" w:sz="4" w:space="0" w:color="293F5B"/>
              <w:bottom w:val="nil"/>
            </w:tcBorders>
          </w:tcPr>
          <w:p w14:paraId="48B4499E" w14:textId="77777777" w:rsidR="00BB2CB4" w:rsidRPr="00222C32" w:rsidRDefault="00BB2CB4">
            <w:pPr>
              <w:pStyle w:val="AgencyName"/>
              <w:keepNext/>
            </w:pPr>
          </w:p>
        </w:tc>
      </w:tr>
      <w:tr w:rsidR="00BB2CB4" w:rsidRPr="00222C32" w14:paraId="53D71EF4" w14:textId="77777777" w:rsidTr="00825163">
        <w:tc>
          <w:tcPr>
            <w:tcW w:w="2501" w:type="dxa"/>
            <w:tcBorders>
              <w:top w:val="nil"/>
              <w:bottom w:val="single" w:sz="4" w:space="0" w:color="293F5B"/>
            </w:tcBorders>
          </w:tcPr>
          <w:p w14:paraId="0C8932CC" w14:textId="77777777" w:rsidR="00BB2CB4" w:rsidRPr="00222C32" w:rsidRDefault="000674DA">
            <w:pPr>
              <w:pStyle w:val="AgencyNamewith2ptsspacing"/>
              <w:keepNext/>
            </w:pPr>
            <w:r w:rsidRPr="00222C32">
              <w:t>Department of Home Affairs</w:t>
            </w:r>
          </w:p>
        </w:tc>
        <w:tc>
          <w:tcPr>
            <w:tcW w:w="1044" w:type="dxa"/>
            <w:tcBorders>
              <w:top w:val="nil"/>
              <w:bottom w:val="single" w:sz="4" w:space="0" w:color="293F5B"/>
            </w:tcBorders>
          </w:tcPr>
          <w:p w14:paraId="066E7788"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6EC5174" w14:textId="77777777" w:rsidR="00BB2CB4" w:rsidRPr="00222C32" w:rsidRDefault="000674DA">
            <w:pPr>
              <w:pStyle w:val="Measuretabledatarightaligneditalics"/>
              <w:keepNext/>
            </w:pPr>
            <w:r w:rsidRPr="00222C32">
              <w:t>4.2</w:t>
            </w:r>
          </w:p>
        </w:tc>
        <w:tc>
          <w:tcPr>
            <w:tcW w:w="1044" w:type="dxa"/>
            <w:tcBorders>
              <w:top w:val="nil"/>
              <w:bottom w:val="single" w:sz="4" w:space="0" w:color="293F5B"/>
            </w:tcBorders>
          </w:tcPr>
          <w:p w14:paraId="42FDC00F" w14:textId="77777777" w:rsidR="00BB2CB4" w:rsidRPr="00222C32" w:rsidRDefault="000674DA">
            <w:pPr>
              <w:pStyle w:val="Measuretabledatarightaligneditalics"/>
              <w:keepNext/>
            </w:pPr>
            <w:r w:rsidRPr="00222C32">
              <w:t>6.3</w:t>
            </w:r>
          </w:p>
        </w:tc>
        <w:tc>
          <w:tcPr>
            <w:tcW w:w="1044" w:type="dxa"/>
            <w:tcBorders>
              <w:top w:val="nil"/>
              <w:bottom w:val="single" w:sz="4" w:space="0" w:color="293F5B"/>
            </w:tcBorders>
          </w:tcPr>
          <w:p w14:paraId="1BBDCF07" w14:textId="77777777" w:rsidR="00BB2CB4" w:rsidRPr="00222C32" w:rsidRDefault="000674DA">
            <w:pPr>
              <w:pStyle w:val="Measuretabledatarightaligneditalics"/>
              <w:keepNext/>
            </w:pPr>
            <w:r w:rsidRPr="00222C32">
              <w:t>6.3</w:t>
            </w:r>
          </w:p>
        </w:tc>
        <w:tc>
          <w:tcPr>
            <w:tcW w:w="1044" w:type="dxa"/>
            <w:tcBorders>
              <w:top w:val="nil"/>
              <w:bottom w:val="single" w:sz="4" w:space="0" w:color="293F5B"/>
            </w:tcBorders>
          </w:tcPr>
          <w:p w14:paraId="5BBBEF45" w14:textId="77777777" w:rsidR="00BB2CB4" w:rsidRPr="00222C32" w:rsidRDefault="000674DA">
            <w:pPr>
              <w:pStyle w:val="Measuretabledatarightaligneditalics"/>
              <w:keepNext/>
            </w:pPr>
            <w:r w:rsidRPr="00222C32">
              <w:t>6.3</w:t>
            </w:r>
          </w:p>
        </w:tc>
      </w:tr>
    </w:tbl>
    <w:p w14:paraId="4563BE84" w14:textId="77777777" w:rsidR="0063154B" w:rsidRDefault="0063154B" w:rsidP="0063154B">
      <w:pPr>
        <w:pStyle w:val="SingleParagraph"/>
      </w:pPr>
    </w:p>
    <w:p w14:paraId="5AEC388F" w14:textId="656F70A6" w:rsidR="00BB2CB4" w:rsidRDefault="000674DA">
      <w:pPr>
        <w:pStyle w:val="Normal2"/>
      </w:pPr>
      <w:r w:rsidRPr="69C11E82">
        <w:rPr>
          <w:lang w:val="en-US"/>
        </w:rPr>
        <w:t xml:space="preserve">The Government will provide $11.8 million over four years from 2025–‍26 (and $4.8 million per year ongoing) for Phase Two of the United States Global Entry </w:t>
      </w:r>
      <w:r w:rsidR="00E01328" w:rsidRPr="69C11E82">
        <w:rPr>
          <w:lang w:val="en-US"/>
        </w:rPr>
        <w:t>p</w:t>
      </w:r>
      <w:r w:rsidRPr="69C11E82">
        <w:rPr>
          <w:lang w:val="en-US"/>
        </w:rPr>
        <w:t>rogram to offer Australian travellers pre‑approved, expedited clearance to enter the United States for a period of five years.</w:t>
      </w:r>
    </w:p>
    <w:p w14:paraId="3342A87B" w14:textId="043E22D4" w:rsidR="00BB2CB4" w:rsidRDefault="000674DA">
      <w:pPr>
        <w:pStyle w:val="Normal2"/>
      </w:pPr>
      <w:r>
        <w:t xml:space="preserve">Under Phase Two, Australian participation in the United States Global Entry </w:t>
      </w:r>
      <w:r w:rsidR="00E01328">
        <w:t>p</w:t>
      </w:r>
      <w:r>
        <w:t>rogram will expand to an uncapped fee‑for‑service program and is estimated to increase receipts by $23.1 million over four years from 2025–‍26 and $6.3 million per year ongoing.</w:t>
      </w:r>
    </w:p>
    <w:p w14:paraId="1F464B0E" w14:textId="77777777" w:rsidR="00BB2CB4" w:rsidRDefault="000674DA">
      <w:pPr>
        <w:pStyle w:val="Normal2"/>
      </w:pPr>
      <w:r>
        <w:t xml:space="preserve">This measure builds on the 2024–‍25 MYEFO measure titled </w:t>
      </w:r>
      <w:r w:rsidRPr="000674DA">
        <w:rPr>
          <w:i/>
        </w:rPr>
        <w:t>United States Global Entry Program</w:t>
      </w:r>
      <w:r>
        <w:t>.</w:t>
      </w:r>
    </w:p>
    <w:p w14:paraId="66BA1FCA" w14:textId="77777777" w:rsidR="00BB2CB4" w:rsidRDefault="00BB2CB4">
      <w:pPr>
        <w:sectPr w:rsidR="00BB2CB4" w:rsidSect="00301ACF">
          <w:headerReference w:type="even" r:id="rId109"/>
          <w:headerReference w:type="default" r:id="rId110"/>
          <w:footerReference w:type="even" r:id="rId111"/>
          <w:footerReference w:type="default" r:id="rId112"/>
          <w:headerReference w:type="first" r:id="rId113"/>
          <w:footerReference w:type="first" r:id="rId114"/>
          <w:pgSz w:w="11906" w:h="16838" w:code="9"/>
          <w:pgMar w:top="2835" w:right="2098" w:bottom="2466" w:left="2098" w:header="1814" w:footer="1814" w:gutter="0"/>
          <w:cols w:space="720"/>
          <w:docGrid w:linePitch="272"/>
        </w:sectPr>
      </w:pPr>
    </w:p>
    <w:p w14:paraId="0D628212" w14:textId="77777777" w:rsidR="00BB2CB4" w:rsidRDefault="000674DA" w:rsidP="003D2403">
      <w:pPr>
        <w:pStyle w:val="PortfolioName"/>
        <w:spacing w:before="0"/>
      </w:pPr>
      <w:r>
        <w:lastRenderedPageBreak/>
        <w:t>Industry, Science and Resources</w:t>
      </w:r>
    </w:p>
    <w:p w14:paraId="17249F6B" w14:textId="77777777" w:rsidR="00BB2CB4" w:rsidRDefault="000674DA">
      <w:pPr>
        <w:pStyle w:val="MeasureTitle"/>
      </w:pPr>
      <w:r>
        <w:t>Building a Future Made in Australia</w:t>
      </w:r>
    </w:p>
    <w:p w14:paraId="73048C2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440455A" w14:textId="77777777" w:rsidTr="00825163">
        <w:tc>
          <w:tcPr>
            <w:tcW w:w="2501" w:type="dxa"/>
            <w:tcBorders>
              <w:top w:val="single" w:sz="4" w:space="0" w:color="293F5B"/>
              <w:bottom w:val="single" w:sz="4" w:space="0" w:color="293F5B"/>
            </w:tcBorders>
          </w:tcPr>
          <w:p w14:paraId="1081D4E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FD0FA2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F18B2E1"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1935B5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D2437A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178D996" w14:textId="77777777" w:rsidR="00BB2CB4" w:rsidRPr="00222C32" w:rsidRDefault="000674DA">
            <w:pPr>
              <w:pStyle w:val="MeasureTableYearHeadings"/>
              <w:keepNext/>
            </w:pPr>
            <w:r w:rsidRPr="00222C32">
              <w:t>2028-29</w:t>
            </w:r>
          </w:p>
        </w:tc>
      </w:tr>
      <w:tr w:rsidR="00BB2CB4" w:rsidRPr="00222C32" w14:paraId="205B6D9F" w14:textId="77777777" w:rsidTr="00825163">
        <w:tc>
          <w:tcPr>
            <w:tcW w:w="2501" w:type="dxa"/>
            <w:tcBorders>
              <w:top w:val="single" w:sz="4" w:space="0" w:color="293F5B"/>
              <w:bottom w:val="single" w:sz="4" w:space="0" w:color="293F5B"/>
            </w:tcBorders>
          </w:tcPr>
          <w:p w14:paraId="60B1832E" w14:textId="77777777" w:rsidR="00BB2CB4" w:rsidRPr="00222C32" w:rsidRDefault="000674DA">
            <w:pPr>
              <w:pStyle w:val="MeasureTableHeadingleftalignedwith2ptsspacing"/>
              <w:keepNext/>
            </w:pPr>
            <w:r w:rsidRPr="00222C32">
              <w:t>Department of Industry, Science and Resources</w:t>
            </w:r>
          </w:p>
        </w:tc>
        <w:tc>
          <w:tcPr>
            <w:tcW w:w="1044" w:type="dxa"/>
            <w:tcBorders>
              <w:top w:val="single" w:sz="4" w:space="0" w:color="293F5B"/>
              <w:bottom w:val="single" w:sz="4" w:space="0" w:color="293F5B"/>
            </w:tcBorders>
          </w:tcPr>
          <w:p w14:paraId="150274B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A449E19" w14:textId="77777777" w:rsidR="00BB2CB4" w:rsidRPr="00222C32" w:rsidRDefault="000674DA">
            <w:pPr>
              <w:pStyle w:val="MeasureTableDataRightAlignedwith2ptsspacing"/>
              <w:keepNext/>
            </w:pPr>
            <w:r w:rsidRPr="00222C32">
              <w:t>25.1</w:t>
            </w:r>
          </w:p>
        </w:tc>
        <w:tc>
          <w:tcPr>
            <w:tcW w:w="1044" w:type="dxa"/>
            <w:tcBorders>
              <w:top w:val="single" w:sz="4" w:space="0" w:color="293F5B"/>
              <w:bottom w:val="single" w:sz="4" w:space="0" w:color="293F5B"/>
            </w:tcBorders>
          </w:tcPr>
          <w:p w14:paraId="5571E419"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0D4863B5" w14:textId="77777777" w:rsidR="00BB2CB4" w:rsidRPr="00222C32" w:rsidRDefault="000674DA">
            <w:pPr>
              <w:pStyle w:val="MeasureTableDataRightAlignedwith2ptsspacing"/>
              <w:keepNext/>
            </w:pPr>
            <w:r w:rsidRPr="00222C32">
              <w:t>5.0</w:t>
            </w:r>
          </w:p>
        </w:tc>
        <w:tc>
          <w:tcPr>
            <w:tcW w:w="1044" w:type="dxa"/>
            <w:tcBorders>
              <w:top w:val="single" w:sz="4" w:space="0" w:color="293F5B"/>
              <w:bottom w:val="single" w:sz="4" w:space="0" w:color="293F5B"/>
            </w:tcBorders>
          </w:tcPr>
          <w:p w14:paraId="2D25DB51" w14:textId="77777777" w:rsidR="00BB2CB4" w:rsidRPr="00222C32" w:rsidRDefault="000674DA">
            <w:pPr>
              <w:pStyle w:val="MeasureTableDataRightAlignedwith2ptsspacing"/>
              <w:keepNext/>
            </w:pPr>
            <w:r w:rsidRPr="00222C32">
              <w:t>-</w:t>
            </w:r>
          </w:p>
        </w:tc>
      </w:tr>
      <w:tr w:rsidR="00BB2CB4" w:rsidRPr="00222C32" w14:paraId="5BB0656F" w14:textId="77777777" w:rsidTr="00825163">
        <w:tc>
          <w:tcPr>
            <w:tcW w:w="2501" w:type="dxa"/>
            <w:tcBorders>
              <w:top w:val="single" w:sz="4" w:space="0" w:color="293F5B"/>
              <w:bottom w:val="single" w:sz="4" w:space="0" w:color="293F5B"/>
            </w:tcBorders>
          </w:tcPr>
          <w:p w14:paraId="6E893344"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080B4F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4ABF600" w14:textId="77777777" w:rsidR="00BB2CB4" w:rsidRPr="00222C32" w:rsidRDefault="000674DA">
            <w:pPr>
              <w:pStyle w:val="MeasureTableDataRightAlignedwith2ptsspacing"/>
              <w:keepNext/>
            </w:pPr>
            <w:r w:rsidRPr="00222C32">
              <w:t>4.0</w:t>
            </w:r>
          </w:p>
        </w:tc>
        <w:tc>
          <w:tcPr>
            <w:tcW w:w="1044" w:type="dxa"/>
            <w:tcBorders>
              <w:top w:val="single" w:sz="4" w:space="0" w:color="293F5B"/>
              <w:bottom w:val="single" w:sz="4" w:space="0" w:color="293F5B"/>
            </w:tcBorders>
          </w:tcPr>
          <w:p w14:paraId="5409184B"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7BF5DB3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1E7FBB7" w14:textId="77777777" w:rsidR="00BB2CB4" w:rsidRPr="00222C32" w:rsidRDefault="000674DA">
            <w:pPr>
              <w:pStyle w:val="MeasureTableDataRightAlignedwith2ptsspacing"/>
              <w:keepNext/>
            </w:pPr>
            <w:r w:rsidRPr="00222C32">
              <w:t>-</w:t>
            </w:r>
          </w:p>
        </w:tc>
      </w:tr>
      <w:tr w:rsidR="00BB2CB4" w:rsidRPr="00222C32" w14:paraId="75A2F30C" w14:textId="77777777" w:rsidTr="00825163">
        <w:tc>
          <w:tcPr>
            <w:tcW w:w="2501" w:type="dxa"/>
            <w:tcBorders>
              <w:top w:val="single" w:sz="4" w:space="0" w:color="293F5B"/>
              <w:bottom w:val="single" w:sz="4" w:space="0" w:color="293F5B"/>
            </w:tcBorders>
          </w:tcPr>
          <w:p w14:paraId="193037E1" w14:textId="77777777" w:rsidR="00BB2CB4" w:rsidRPr="00222C32" w:rsidRDefault="000674DA">
            <w:pPr>
              <w:pStyle w:val="MeasureTableHeadingleftalignedwith2ptsspacing"/>
              <w:keepNext/>
            </w:pPr>
            <w:r w:rsidRPr="00222C32">
              <w:t>National Reconstruction Fund Corporation</w:t>
            </w:r>
          </w:p>
        </w:tc>
        <w:tc>
          <w:tcPr>
            <w:tcW w:w="1044" w:type="dxa"/>
            <w:tcBorders>
              <w:top w:val="single" w:sz="4" w:space="0" w:color="293F5B"/>
              <w:bottom w:val="single" w:sz="4" w:space="0" w:color="293F5B"/>
            </w:tcBorders>
          </w:tcPr>
          <w:p w14:paraId="69DC836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BAB2B3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0A5BA6C" w14:textId="77777777" w:rsidR="00BB2CB4" w:rsidRPr="00222C32" w:rsidRDefault="000674DA">
            <w:pPr>
              <w:pStyle w:val="MeasureTableDataRightAlignedwith2ptsspacing"/>
              <w:keepNext/>
            </w:pPr>
            <w:r w:rsidRPr="00222C32">
              <w:t>13.1</w:t>
            </w:r>
          </w:p>
        </w:tc>
        <w:tc>
          <w:tcPr>
            <w:tcW w:w="1044" w:type="dxa"/>
            <w:tcBorders>
              <w:top w:val="single" w:sz="4" w:space="0" w:color="293F5B"/>
              <w:bottom w:val="single" w:sz="4" w:space="0" w:color="293F5B"/>
            </w:tcBorders>
          </w:tcPr>
          <w:p w14:paraId="70ED61C0" w14:textId="77777777" w:rsidR="00BB2CB4" w:rsidRPr="00222C32" w:rsidRDefault="000674DA">
            <w:pPr>
              <w:pStyle w:val="MeasureTableDataRightAlignedwith2ptsspacing"/>
              <w:keepNext/>
            </w:pPr>
            <w:r w:rsidRPr="00222C32">
              <w:t>12.7</w:t>
            </w:r>
          </w:p>
        </w:tc>
        <w:tc>
          <w:tcPr>
            <w:tcW w:w="1044" w:type="dxa"/>
            <w:tcBorders>
              <w:top w:val="single" w:sz="4" w:space="0" w:color="293F5B"/>
              <w:bottom w:val="single" w:sz="4" w:space="0" w:color="293F5B"/>
            </w:tcBorders>
          </w:tcPr>
          <w:p w14:paraId="5DCBFC82" w14:textId="77777777" w:rsidR="00BB2CB4" w:rsidRPr="00222C32" w:rsidRDefault="000674DA">
            <w:pPr>
              <w:pStyle w:val="MeasureTableDataRightAlignedwith2ptsspacing"/>
              <w:keepNext/>
            </w:pPr>
            <w:r w:rsidRPr="00222C32">
              <w:t>-</w:t>
            </w:r>
          </w:p>
        </w:tc>
      </w:tr>
      <w:tr w:rsidR="00BB2CB4" w:rsidRPr="00222C32" w14:paraId="74BF8628" w14:textId="77777777" w:rsidTr="00825163">
        <w:tc>
          <w:tcPr>
            <w:tcW w:w="2501" w:type="dxa"/>
            <w:tcBorders>
              <w:top w:val="single" w:sz="4" w:space="0" w:color="293F5B"/>
              <w:bottom w:val="single" w:sz="4" w:space="0" w:color="293F5B"/>
            </w:tcBorders>
          </w:tcPr>
          <w:p w14:paraId="0752FBD0" w14:textId="77777777" w:rsidR="00BB2CB4" w:rsidRPr="00222C32" w:rsidRDefault="000674DA">
            <w:pPr>
              <w:pStyle w:val="MeasureTableHeadingleftalignedwith2ptsspacing"/>
              <w:keepNext/>
            </w:pPr>
            <w:r w:rsidRPr="00222C32">
              <w:t>Net Zero Economy Authority</w:t>
            </w:r>
          </w:p>
        </w:tc>
        <w:tc>
          <w:tcPr>
            <w:tcW w:w="1044" w:type="dxa"/>
            <w:tcBorders>
              <w:top w:val="single" w:sz="4" w:space="0" w:color="293F5B"/>
              <w:bottom w:val="single" w:sz="4" w:space="0" w:color="293F5B"/>
            </w:tcBorders>
          </w:tcPr>
          <w:p w14:paraId="1593162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6C4D95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8D2A0E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37427B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23A6B6" w14:textId="77777777" w:rsidR="00BB2CB4" w:rsidRPr="00222C32" w:rsidRDefault="000674DA">
            <w:pPr>
              <w:pStyle w:val="MeasureTableDataRightAlignedwith2ptsspacing"/>
              <w:keepNext/>
            </w:pPr>
            <w:r w:rsidRPr="00222C32">
              <w:t>-</w:t>
            </w:r>
          </w:p>
        </w:tc>
      </w:tr>
      <w:tr w:rsidR="00BB2CB4" w:rsidRPr="00222C32" w14:paraId="3BE3F5D0" w14:textId="77777777" w:rsidTr="00825163">
        <w:tc>
          <w:tcPr>
            <w:tcW w:w="2501" w:type="dxa"/>
            <w:tcBorders>
              <w:top w:val="single" w:sz="4" w:space="0" w:color="293F5B"/>
              <w:bottom w:val="single" w:sz="4" w:space="0" w:color="293F5B"/>
            </w:tcBorders>
          </w:tcPr>
          <w:p w14:paraId="728A97E7"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9F25DF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720CDAD2" w14:textId="77777777" w:rsidR="00BB2CB4" w:rsidRPr="00222C32" w:rsidRDefault="000674DA">
            <w:pPr>
              <w:pStyle w:val="Totaldatarowrightaligned"/>
              <w:keepNext/>
            </w:pPr>
            <w:r w:rsidRPr="00222C32">
              <w:t>29.1</w:t>
            </w:r>
          </w:p>
        </w:tc>
        <w:tc>
          <w:tcPr>
            <w:tcW w:w="1044" w:type="dxa"/>
            <w:tcBorders>
              <w:top w:val="single" w:sz="4" w:space="0" w:color="293F5B"/>
              <w:bottom w:val="single" w:sz="4" w:space="0" w:color="293F5B"/>
            </w:tcBorders>
          </w:tcPr>
          <w:p w14:paraId="7233ACA9" w14:textId="77777777" w:rsidR="00BB2CB4" w:rsidRPr="00222C32" w:rsidRDefault="000674DA">
            <w:pPr>
              <w:pStyle w:val="Totaldatarowrightaligned"/>
              <w:keepNext/>
            </w:pPr>
            <w:r w:rsidRPr="00222C32">
              <w:t>15.1</w:t>
            </w:r>
          </w:p>
        </w:tc>
        <w:tc>
          <w:tcPr>
            <w:tcW w:w="1044" w:type="dxa"/>
            <w:tcBorders>
              <w:top w:val="single" w:sz="4" w:space="0" w:color="293F5B"/>
              <w:bottom w:val="single" w:sz="4" w:space="0" w:color="293F5B"/>
            </w:tcBorders>
          </w:tcPr>
          <w:p w14:paraId="4373D1B2" w14:textId="77777777" w:rsidR="00BB2CB4" w:rsidRPr="00222C32" w:rsidRDefault="000674DA">
            <w:pPr>
              <w:pStyle w:val="Totaldatarowrightaligned"/>
              <w:keepNext/>
            </w:pPr>
            <w:r w:rsidRPr="00222C32">
              <w:t>17.7</w:t>
            </w:r>
          </w:p>
        </w:tc>
        <w:tc>
          <w:tcPr>
            <w:tcW w:w="1044" w:type="dxa"/>
            <w:tcBorders>
              <w:top w:val="single" w:sz="4" w:space="0" w:color="293F5B"/>
              <w:bottom w:val="single" w:sz="4" w:space="0" w:color="293F5B"/>
            </w:tcBorders>
          </w:tcPr>
          <w:p w14:paraId="4D406EB5" w14:textId="77777777" w:rsidR="00BB2CB4" w:rsidRPr="00222C32" w:rsidRDefault="000674DA">
            <w:pPr>
              <w:pStyle w:val="Totaldatarowrightaligned"/>
              <w:keepNext/>
            </w:pPr>
            <w:r w:rsidRPr="00222C32">
              <w:t>-</w:t>
            </w:r>
          </w:p>
        </w:tc>
      </w:tr>
      <w:tr w:rsidR="00BB2CB4" w:rsidRPr="00222C32" w14:paraId="14A7CD7F" w14:textId="77777777" w:rsidTr="00825163">
        <w:tc>
          <w:tcPr>
            <w:tcW w:w="2501" w:type="dxa"/>
            <w:tcBorders>
              <w:top w:val="single" w:sz="4" w:space="0" w:color="293F5B"/>
              <w:bottom w:val="nil"/>
            </w:tcBorders>
          </w:tcPr>
          <w:p w14:paraId="335A0128"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1EEB3825" w14:textId="77777777" w:rsidR="00BB2CB4" w:rsidRPr="00222C32" w:rsidRDefault="00BB2CB4">
            <w:pPr>
              <w:pStyle w:val="AgencyName"/>
              <w:keepNext/>
            </w:pPr>
          </w:p>
        </w:tc>
        <w:tc>
          <w:tcPr>
            <w:tcW w:w="1044" w:type="dxa"/>
            <w:tcBorders>
              <w:top w:val="single" w:sz="4" w:space="0" w:color="293F5B"/>
              <w:bottom w:val="nil"/>
            </w:tcBorders>
          </w:tcPr>
          <w:p w14:paraId="40D5AA66" w14:textId="77777777" w:rsidR="00BB2CB4" w:rsidRPr="00222C32" w:rsidRDefault="00BB2CB4">
            <w:pPr>
              <w:pStyle w:val="AgencyName"/>
              <w:keepNext/>
            </w:pPr>
          </w:p>
        </w:tc>
        <w:tc>
          <w:tcPr>
            <w:tcW w:w="1044" w:type="dxa"/>
            <w:tcBorders>
              <w:top w:val="single" w:sz="4" w:space="0" w:color="293F5B"/>
              <w:bottom w:val="nil"/>
            </w:tcBorders>
          </w:tcPr>
          <w:p w14:paraId="5FF6E56B" w14:textId="77777777" w:rsidR="00BB2CB4" w:rsidRPr="00222C32" w:rsidRDefault="00BB2CB4">
            <w:pPr>
              <w:pStyle w:val="AgencyName"/>
              <w:keepNext/>
            </w:pPr>
          </w:p>
        </w:tc>
        <w:tc>
          <w:tcPr>
            <w:tcW w:w="1044" w:type="dxa"/>
            <w:tcBorders>
              <w:top w:val="single" w:sz="4" w:space="0" w:color="293F5B"/>
              <w:bottom w:val="nil"/>
            </w:tcBorders>
          </w:tcPr>
          <w:p w14:paraId="1DCC15F6" w14:textId="77777777" w:rsidR="00BB2CB4" w:rsidRPr="00222C32" w:rsidRDefault="00BB2CB4">
            <w:pPr>
              <w:pStyle w:val="AgencyName"/>
              <w:keepNext/>
            </w:pPr>
          </w:p>
        </w:tc>
        <w:tc>
          <w:tcPr>
            <w:tcW w:w="1044" w:type="dxa"/>
            <w:tcBorders>
              <w:top w:val="single" w:sz="4" w:space="0" w:color="293F5B"/>
              <w:bottom w:val="nil"/>
            </w:tcBorders>
          </w:tcPr>
          <w:p w14:paraId="39733AE9" w14:textId="77777777" w:rsidR="00BB2CB4" w:rsidRPr="00222C32" w:rsidRDefault="00BB2CB4">
            <w:pPr>
              <w:pStyle w:val="AgencyName"/>
              <w:keepNext/>
            </w:pPr>
          </w:p>
        </w:tc>
      </w:tr>
      <w:tr w:rsidR="00BB2CB4" w:rsidRPr="00222C32" w14:paraId="418BFACE" w14:textId="77777777" w:rsidTr="00825163">
        <w:tc>
          <w:tcPr>
            <w:tcW w:w="2501" w:type="dxa"/>
            <w:tcBorders>
              <w:top w:val="nil"/>
              <w:bottom w:val="single" w:sz="4" w:space="0" w:color="293F5B"/>
            </w:tcBorders>
          </w:tcPr>
          <w:p w14:paraId="0483343E" w14:textId="77777777" w:rsidR="00BB2CB4" w:rsidRPr="00222C32" w:rsidRDefault="000674DA">
            <w:pPr>
              <w:pStyle w:val="AgencyNamewith2ptsspacing"/>
              <w:keepNext/>
            </w:pPr>
            <w:r w:rsidRPr="00222C32">
              <w:t>National Reconstruction Fund Corporation</w:t>
            </w:r>
          </w:p>
        </w:tc>
        <w:tc>
          <w:tcPr>
            <w:tcW w:w="1044" w:type="dxa"/>
            <w:tcBorders>
              <w:top w:val="nil"/>
              <w:bottom w:val="single" w:sz="4" w:space="0" w:color="293F5B"/>
            </w:tcBorders>
          </w:tcPr>
          <w:p w14:paraId="3877DD5B"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973B3B0" w14:textId="77777777" w:rsidR="00BB2CB4" w:rsidRPr="00222C32" w:rsidRDefault="000674DA">
            <w:pPr>
              <w:pStyle w:val="Measuretabledatarightaligneditalics"/>
              <w:keepNext/>
            </w:pPr>
            <w:r w:rsidRPr="00222C32">
              <w:t>-7.0</w:t>
            </w:r>
          </w:p>
        </w:tc>
        <w:tc>
          <w:tcPr>
            <w:tcW w:w="1044" w:type="dxa"/>
            <w:tcBorders>
              <w:top w:val="nil"/>
              <w:bottom w:val="single" w:sz="4" w:space="0" w:color="293F5B"/>
            </w:tcBorders>
          </w:tcPr>
          <w:p w14:paraId="16C159A8" w14:textId="77777777" w:rsidR="00BB2CB4" w:rsidRPr="00222C32" w:rsidRDefault="000674DA">
            <w:pPr>
              <w:pStyle w:val="Measuretabledatarightaligneditalics"/>
              <w:keepNext/>
            </w:pPr>
            <w:r w:rsidRPr="00222C32">
              <w:t>-10.5</w:t>
            </w:r>
          </w:p>
        </w:tc>
        <w:tc>
          <w:tcPr>
            <w:tcW w:w="1044" w:type="dxa"/>
            <w:tcBorders>
              <w:top w:val="nil"/>
              <w:bottom w:val="single" w:sz="4" w:space="0" w:color="293F5B"/>
            </w:tcBorders>
          </w:tcPr>
          <w:p w14:paraId="12993908" w14:textId="77777777" w:rsidR="00BB2CB4" w:rsidRPr="00222C32" w:rsidRDefault="000674DA">
            <w:pPr>
              <w:pStyle w:val="Measuretabledatarightaligneditalics"/>
              <w:keepNext/>
            </w:pPr>
            <w:r w:rsidRPr="00222C32">
              <w:t>-14.9</w:t>
            </w:r>
          </w:p>
        </w:tc>
        <w:tc>
          <w:tcPr>
            <w:tcW w:w="1044" w:type="dxa"/>
            <w:tcBorders>
              <w:top w:val="nil"/>
              <w:bottom w:val="single" w:sz="4" w:space="0" w:color="293F5B"/>
            </w:tcBorders>
          </w:tcPr>
          <w:p w14:paraId="1B2DA7D3" w14:textId="77777777" w:rsidR="00BB2CB4" w:rsidRPr="00222C32" w:rsidRDefault="000674DA">
            <w:pPr>
              <w:pStyle w:val="Measuretabledatarightaligneditalics"/>
              <w:keepNext/>
            </w:pPr>
            <w:r w:rsidRPr="00222C32">
              <w:t>-20.2</w:t>
            </w:r>
          </w:p>
        </w:tc>
      </w:tr>
    </w:tbl>
    <w:p w14:paraId="77B80DBE" w14:textId="77777777" w:rsidR="003452B3" w:rsidRDefault="003452B3" w:rsidP="003452B3">
      <w:pPr>
        <w:pStyle w:val="SingleParagraph"/>
      </w:pPr>
    </w:p>
    <w:p w14:paraId="4CB7D62C" w14:textId="0FD1D69D" w:rsidR="00BB2CB4" w:rsidRDefault="000674DA">
      <w:pPr>
        <w:pStyle w:val="Normal2"/>
      </w:pPr>
      <w:r w:rsidRPr="42F5CE43">
        <w:rPr>
          <w:lang w:val="en-US"/>
        </w:rPr>
        <w:t>The Government will provide $1.1 billion over five years from 2025–‍26 to deliver the Government</w:t>
      </w:r>
      <w:r w:rsidR="00222C32">
        <w:rPr>
          <w:lang w:val="en-US"/>
        </w:rPr>
        <w:t>’</w:t>
      </w:r>
      <w:r w:rsidRPr="42F5CE43">
        <w:rPr>
          <w:lang w:val="en-US"/>
        </w:rPr>
        <w:t>s commitments to protect and support Australian industry. Funding includes:</w:t>
      </w:r>
    </w:p>
    <w:p w14:paraId="43A03EF6" w14:textId="77777777" w:rsidR="00BB2CB4" w:rsidRDefault="000674DA">
      <w:pPr>
        <w:pStyle w:val="Bullet"/>
      </w:pPr>
      <w:r>
        <w:t>$1.0 billion over five years from 2025–‍26 in investments delivered through the National Reconstruction Fund Corporation within its existing capital to establish the Economic Resilience program to provide zero interest loans to support Australian manufacturing businesses to diversify and expand their export markets and build industrial capabilities in the national interest</w:t>
      </w:r>
    </w:p>
    <w:p w14:paraId="759C2933" w14:textId="77777777" w:rsidR="00BB2CB4" w:rsidRDefault="000674DA">
      <w:pPr>
        <w:pStyle w:val="Bullet"/>
      </w:pPr>
      <w:r>
        <w:t>$25.9 million over two years from 2026–‍27 in operational funding for the National Reconstruction Fund Corporation to support delivery of the Economic Resilience program</w:t>
      </w:r>
    </w:p>
    <w:p w14:paraId="02E56E76" w14:textId="77777777" w:rsidR="00BB2CB4" w:rsidRDefault="000674DA">
      <w:pPr>
        <w:pStyle w:val="Bullet"/>
      </w:pPr>
      <w:r>
        <w:t>$24.0 million over three years from 2025–‍26 to stabilise operations, support the transition to renewable energy, and diversify production for the Boyer Paper Mill</w:t>
      </w:r>
    </w:p>
    <w:p w14:paraId="36CB4BC2" w14:textId="77777777" w:rsidR="00BB2CB4" w:rsidRDefault="000674DA">
      <w:pPr>
        <w:pStyle w:val="Bullet"/>
      </w:pPr>
      <w:r>
        <w:t>$5.0 million in 2025–‍26 for the Anti‑Dumping Commission to expand its monitoring activities and investigation of claims of dumped imports into Australia</w:t>
      </w:r>
    </w:p>
    <w:p w14:paraId="30260F5F" w14:textId="77777777" w:rsidR="00BB2CB4" w:rsidRDefault="000674DA">
      <w:pPr>
        <w:pStyle w:val="Bullet"/>
      </w:pPr>
      <w:r>
        <w:t>$5.0 million over two years from 2025–‍26 towards the development of master plans for re‑zoned mine sites in the Hunter region to attract new investment and facilitate the net zero transition</w:t>
      </w:r>
    </w:p>
    <w:p w14:paraId="3F287B57" w14:textId="77777777" w:rsidR="00BB2CB4" w:rsidRDefault="000674DA">
      <w:pPr>
        <w:pStyle w:val="Bullet"/>
      </w:pPr>
      <w:r>
        <w:t>$1.0 million in 2025–‍26 to support the development of a roadmap to boost Australian content in renewable energy infrastructure, specifically locally made steel</w:t>
      </w:r>
    </w:p>
    <w:p w14:paraId="0F108B8E" w14:textId="597F016F" w:rsidR="00BB2CB4" w:rsidRDefault="000674DA">
      <w:pPr>
        <w:pStyle w:val="Bullet"/>
      </w:pPr>
      <w:r>
        <w:t>$1.0 million in 2026–‍27 to support Australia</w:t>
      </w:r>
      <w:r w:rsidR="00222C32">
        <w:t>’</w:t>
      </w:r>
      <w:r>
        <w:t>s textile, clothing and footwear industry.</w:t>
      </w:r>
    </w:p>
    <w:p w14:paraId="08C67CFD" w14:textId="77777777" w:rsidR="00BB2CB4" w:rsidRDefault="000674DA">
      <w:pPr>
        <w:pStyle w:val="Normal2"/>
      </w:pPr>
      <w:r w:rsidRPr="69C11E82">
        <w:rPr>
          <w:lang w:val="en-US"/>
        </w:rPr>
        <w:t xml:space="preserve">The cost of this measure will be partially met from savings identified in the 2025–‍26 MYEFO measure titled </w:t>
      </w:r>
      <w:r w:rsidRPr="69C11E82">
        <w:rPr>
          <w:i/>
          <w:lang w:val="en-US"/>
        </w:rPr>
        <w:t>Industry, Science and Resources – reprioritisation</w:t>
      </w:r>
      <w:r w:rsidRPr="69C11E82">
        <w:rPr>
          <w:lang w:val="en-US"/>
        </w:rPr>
        <w:t>.</w:t>
      </w:r>
    </w:p>
    <w:p w14:paraId="41B5A471" w14:textId="77777777" w:rsidR="00BB2CB4" w:rsidRDefault="000674DA">
      <w:pPr>
        <w:pStyle w:val="Normal2"/>
      </w:pPr>
      <w:r>
        <w:t>The Treasury manages Commonwealth payments to the states and territories.</w:t>
      </w:r>
    </w:p>
    <w:p w14:paraId="7072552B" w14:textId="6DA4607C" w:rsidR="00BB2CB4" w:rsidRDefault="000674DA">
      <w:pPr>
        <w:pStyle w:val="Normal2"/>
      </w:pPr>
      <w:r>
        <w:t>Parts of this measure deliver on the Government</w:t>
      </w:r>
      <w:r w:rsidR="00222C32">
        <w:t>’</w:t>
      </w:r>
      <w:r>
        <w:t>s election commitments made during the 2025</w:t>
      </w:r>
      <w:r w:rsidR="00C66B6B">
        <w:t> federal</w:t>
      </w:r>
      <w:r>
        <w:t xml:space="preserve"> election.</w:t>
      </w:r>
    </w:p>
    <w:p w14:paraId="6D3A55D1" w14:textId="77777777" w:rsidR="00BB2CB4" w:rsidRDefault="000674DA">
      <w:pPr>
        <w:pStyle w:val="MeasureTitle"/>
      </w:pPr>
      <w:r>
        <w:lastRenderedPageBreak/>
        <w:t>Establishing an Artificial Intelligence Safety Institute</w:t>
      </w:r>
    </w:p>
    <w:p w14:paraId="71FB353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B047B19" w14:textId="77777777" w:rsidTr="00825163">
        <w:trPr>
          <w:cantSplit/>
        </w:trPr>
        <w:tc>
          <w:tcPr>
            <w:tcW w:w="2501" w:type="dxa"/>
            <w:tcBorders>
              <w:top w:val="single" w:sz="4" w:space="0" w:color="293F5B"/>
              <w:bottom w:val="single" w:sz="4" w:space="0" w:color="293F5B"/>
            </w:tcBorders>
          </w:tcPr>
          <w:p w14:paraId="4D35C71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32483A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ADC12AF"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7C59C10"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300FF8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856F512" w14:textId="77777777" w:rsidR="00BB2CB4" w:rsidRPr="00222C32" w:rsidRDefault="000674DA">
            <w:pPr>
              <w:pStyle w:val="MeasureTableYearHeadings"/>
              <w:keepNext/>
            </w:pPr>
            <w:r w:rsidRPr="00222C32">
              <w:t>2028-29</w:t>
            </w:r>
          </w:p>
        </w:tc>
      </w:tr>
      <w:tr w:rsidR="00BB2CB4" w:rsidRPr="00222C32" w14:paraId="577FE420" w14:textId="77777777" w:rsidTr="00825163">
        <w:trPr>
          <w:cantSplit/>
        </w:trPr>
        <w:tc>
          <w:tcPr>
            <w:tcW w:w="2501" w:type="dxa"/>
            <w:tcBorders>
              <w:top w:val="single" w:sz="4" w:space="0" w:color="293F5B"/>
              <w:bottom w:val="single" w:sz="4" w:space="0" w:color="293F5B"/>
            </w:tcBorders>
          </w:tcPr>
          <w:p w14:paraId="45F33377" w14:textId="77777777" w:rsidR="00BB2CB4" w:rsidRPr="00222C32" w:rsidRDefault="000674DA">
            <w:pPr>
              <w:pStyle w:val="MeasureTableHeadingleftalignedwith2ptsspacing"/>
              <w:keepNext/>
            </w:pPr>
            <w:r w:rsidRPr="00222C32">
              <w:t>Department of Industry, Science and Resources</w:t>
            </w:r>
          </w:p>
        </w:tc>
        <w:tc>
          <w:tcPr>
            <w:tcW w:w="1044" w:type="dxa"/>
            <w:tcBorders>
              <w:top w:val="single" w:sz="4" w:space="0" w:color="293F5B"/>
              <w:bottom w:val="single" w:sz="4" w:space="0" w:color="293F5B"/>
            </w:tcBorders>
          </w:tcPr>
          <w:p w14:paraId="1E0A3DB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9EE5506" w14:textId="77777777" w:rsidR="00BB2CB4" w:rsidRPr="00222C32" w:rsidRDefault="000674DA">
            <w:pPr>
              <w:pStyle w:val="MeasureTableDataRightAlignedwith2ptsspacing"/>
              <w:keepNext/>
            </w:pPr>
            <w:r w:rsidRPr="00222C32">
              <w:t>3.6</w:t>
            </w:r>
          </w:p>
        </w:tc>
        <w:tc>
          <w:tcPr>
            <w:tcW w:w="1044" w:type="dxa"/>
            <w:tcBorders>
              <w:top w:val="single" w:sz="4" w:space="0" w:color="293F5B"/>
              <w:bottom w:val="single" w:sz="4" w:space="0" w:color="293F5B"/>
            </w:tcBorders>
          </w:tcPr>
          <w:p w14:paraId="17407BDB" w14:textId="77777777" w:rsidR="00BB2CB4" w:rsidRPr="00222C32" w:rsidRDefault="000674DA">
            <w:pPr>
              <w:pStyle w:val="MeasureTableDataRightAlignedwith2ptsspacing"/>
              <w:keepNext/>
            </w:pPr>
            <w:r w:rsidRPr="00222C32">
              <w:t>10.5</w:t>
            </w:r>
          </w:p>
        </w:tc>
        <w:tc>
          <w:tcPr>
            <w:tcW w:w="1044" w:type="dxa"/>
            <w:tcBorders>
              <w:top w:val="single" w:sz="4" w:space="0" w:color="293F5B"/>
              <w:bottom w:val="single" w:sz="4" w:space="0" w:color="293F5B"/>
            </w:tcBorders>
          </w:tcPr>
          <w:p w14:paraId="1FDC4EA3" w14:textId="77777777" w:rsidR="00BB2CB4" w:rsidRPr="00222C32" w:rsidRDefault="000674DA">
            <w:pPr>
              <w:pStyle w:val="MeasureTableDataRightAlignedwith2ptsspacing"/>
              <w:keepNext/>
            </w:pPr>
            <w:r w:rsidRPr="00222C32">
              <w:t>7.8</w:t>
            </w:r>
          </w:p>
        </w:tc>
        <w:tc>
          <w:tcPr>
            <w:tcW w:w="1044" w:type="dxa"/>
            <w:tcBorders>
              <w:top w:val="single" w:sz="4" w:space="0" w:color="293F5B"/>
              <w:bottom w:val="single" w:sz="4" w:space="0" w:color="293F5B"/>
            </w:tcBorders>
          </w:tcPr>
          <w:p w14:paraId="61C18107" w14:textId="77777777" w:rsidR="00BB2CB4" w:rsidRPr="00222C32" w:rsidRDefault="000674DA">
            <w:pPr>
              <w:pStyle w:val="MeasureTableDataRightAlignedwith2ptsspacing"/>
              <w:keepNext/>
            </w:pPr>
            <w:r w:rsidRPr="00222C32">
              <w:t>8.0</w:t>
            </w:r>
          </w:p>
        </w:tc>
      </w:tr>
    </w:tbl>
    <w:p w14:paraId="245544FD" w14:textId="77777777" w:rsidR="003452B3" w:rsidRDefault="003452B3" w:rsidP="003452B3">
      <w:pPr>
        <w:pStyle w:val="SingleParagraph"/>
      </w:pPr>
    </w:p>
    <w:p w14:paraId="4AB5110A" w14:textId="77777777" w:rsidR="00BB2CB4" w:rsidRDefault="000674DA">
      <w:pPr>
        <w:pStyle w:val="Normal2"/>
      </w:pPr>
      <w:r>
        <w:t>The Government will provide $29.8 million over four years from 2025–‍26 (and $7.9 million per year ongoing from 2029–‍30) to establish an Artificial Intelligence (AI) Safety Institute within the Department of Industry, Science and Resources to provide the capability within government to monitor and respond to the risks of AI over time, supporting agencies and regulators to ensure fit‑for‑purpose protections for Australians.</w:t>
      </w:r>
    </w:p>
    <w:p w14:paraId="1F5B8520" w14:textId="77777777" w:rsidR="00BB2CB4" w:rsidRDefault="000674DA">
      <w:pPr>
        <w:pStyle w:val="Normal2"/>
      </w:pPr>
      <w:r>
        <w:t xml:space="preserve">This measure builds on the 2024–‍25 Budget measure titled </w:t>
      </w:r>
      <w:r w:rsidRPr="000674DA">
        <w:rPr>
          <w:i/>
        </w:rPr>
        <w:t>Supporting Safe and Responsible AI.</w:t>
      </w:r>
    </w:p>
    <w:p w14:paraId="150EE3F6" w14:textId="77777777" w:rsidR="00BB2CB4" w:rsidRDefault="000674DA">
      <w:pPr>
        <w:pStyle w:val="MeasureTitle"/>
        <w:rPr>
          <w:lang w:val="en-US"/>
        </w:rPr>
      </w:pPr>
      <w:r w:rsidRPr="69C11E82">
        <w:rPr>
          <w:lang w:val="en-US"/>
        </w:rPr>
        <w:t>Industry, Science and Resources – reprioritisation</w:t>
      </w:r>
    </w:p>
    <w:p w14:paraId="774C04D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A8A9B6A" w14:textId="77777777" w:rsidTr="00825163">
        <w:trPr>
          <w:cantSplit/>
        </w:trPr>
        <w:tc>
          <w:tcPr>
            <w:tcW w:w="2501" w:type="dxa"/>
            <w:tcBorders>
              <w:top w:val="single" w:sz="4" w:space="0" w:color="293F5B"/>
              <w:bottom w:val="single" w:sz="4" w:space="0" w:color="293F5B"/>
            </w:tcBorders>
          </w:tcPr>
          <w:p w14:paraId="3A62C050"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978A1F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3EB5A7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6F9CB3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7F5C3D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A67C8AD" w14:textId="77777777" w:rsidR="00BB2CB4" w:rsidRPr="00222C32" w:rsidRDefault="000674DA">
            <w:pPr>
              <w:pStyle w:val="MeasureTableYearHeadings"/>
              <w:keepNext/>
            </w:pPr>
            <w:r w:rsidRPr="00222C32">
              <w:t>2028-29</w:t>
            </w:r>
          </w:p>
        </w:tc>
      </w:tr>
      <w:tr w:rsidR="00BB2CB4" w:rsidRPr="00222C32" w14:paraId="020677FE" w14:textId="77777777" w:rsidTr="00825163">
        <w:trPr>
          <w:cantSplit/>
        </w:trPr>
        <w:tc>
          <w:tcPr>
            <w:tcW w:w="2501" w:type="dxa"/>
            <w:tcBorders>
              <w:top w:val="single" w:sz="4" w:space="0" w:color="293F5B"/>
              <w:bottom w:val="single" w:sz="4" w:space="0" w:color="293F5B"/>
            </w:tcBorders>
          </w:tcPr>
          <w:p w14:paraId="32793A67" w14:textId="77777777" w:rsidR="00BB2CB4" w:rsidRPr="00222C32" w:rsidRDefault="000674DA">
            <w:pPr>
              <w:pStyle w:val="MeasureTableHeadingleftalignedwith2ptsspacing"/>
              <w:keepNext/>
            </w:pPr>
            <w:r w:rsidRPr="00222C32">
              <w:t>Department of Industry, Science and Resources</w:t>
            </w:r>
          </w:p>
        </w:tc>
        <w:tc>
          <w:tcPr>
            <w:tcW w:w="1044" w:type="dxa"/>
            <w:tcBorders>
              <w:top w:val="single" w:sz="4" w:space="0" w:color="293F5B"/>
              <w:bottom w:val="single" w:sz="4" w:space="0" w:color="293F5B"/>
            </w:tcBorders>
          </w:tcPr>
          <w:p w14:paraId="6FC255D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D64CDF7" w14:textId="77777777" w:rsidR="00BB2CB4" w:rsidRPr="00222C32" w:rsidRDefault="000674DA">
            <w:pPr>
              <w:pStyle w:val="MeasureTableDataRightAlignedwith2ptsspacing"/>
              <w:keepNext/>
            </w:pPr>
            <w:r w:rsidRPr="00222C32">
              <w:t>-30.9</w:t>
            </w:r>
          </w:p>
        </w:tc>
        <w:tc>
          <w:tcPr>
            <w:tcW w:w="1044" w:type="dxa"/>
            <w:tcBorders>
              <w:top w:val="single" w:sz="4" w:space="0" w:color="293F5B"/>
              <w:bottom w:val="single" w:sz="4" w:space="0" w:color="293F5B"/>
            </w:tcBorders>
          </w:tcPr>
          <w:p w14:paraId="6F3E25B7" w14:textId="77777777" w:rsidR="00BB2CB4" w:rsidRPr="00222C32" w:rsidRDefault="000674DA">
            <w:pPr>
              <w:pStyle w:val="MeasureTableDataRightAlignedwith2ptsspacing"/>
              <w:keepNext/>
            </w:pPr>
            <w:r w:rsidRPr="00222C32">
              <w:t>-41.7</w:t>
            </w:r>
          </w:p>
        </w:tc>
        <w:tc>
          <w:tcPr>
            <w:tcW w:w="1044" w:type="dxa"/>
            <w:tcBorders>
              <w:top w:val="single" w:sz="4" w:space="0" w:color="293F5B"/>
              <w:bottom w:val="single" w:sz="4" w:space="0" w:color="293F5B"/>
            </w:tcBorders>
          </w:tcPr>
          <w:p w14:paraId="3E39C508" w14:textId="77777777" w:rsidR="00BB2CB4" w:rsidRPr="00222C32" w:rsidRDefault="000674DA">
            <w:pPr>
              <w:pStyle w:val="MeasureTableDataRightAlignedwith2ptsspacing"/>
              <w:keepNext/>
            </w:pPr>
            <w:r w:rsidRPr="00222C32">
              <w:t>-55.8</w:t>
            </w:r>
          </w:p>
        </w:tc>
        <w:tc>
          <w:tcPr>
            <w:tcW w:w="1044" w:type="dxa"/>
            <w:tcBorders>
              <w:top w:val="single" w:sz="4" w:space="0" w:color="293F5B"/>
              <w:bottom w:val="single" w:sz="4" w:space="0" w:color="293F5B"/>
            </w:tcBorders>
          </w:tcPr>
          <w:p w14:paraId="49489EF2" w14:textId="77777777" w:rsidR="00BB2CB4" w:rsidRPr="00222C32" w:rsidRDefault="000674DA">
            <w:pPr>
              <w:pStyle w:val="MeasureTableDataRightAlignedwith2ptsspacing"/>
              <w:keepNext/>
            </w:pPr>
            <w:r w:rsidRPr="00222C32">
              <w:t>-24.0</w:t>
            </w:r>
          </w:p>
        </w:tc>
      </w:tr>
    </w:tbl>
    <w:p w14:paraId="0338254A" w14:textId="77777777" w:rsidR="003452B3" w:rsidRDefault="003452B3" w:rsidP="003452B3">
      <w:pPr>
        <w:pStyle w:val="SingleParagraph"/>
      </w:pPr>
    </w:p>
    <w:p w14:paraId="2D078B94" w14:textId="77777777" w:rsidR="00BB2CB4" w:rsidRDefault="000674DA">
      <w:pPr>
        <w:pStyle w:val="Normal2"/>
      </w:pPr>
      <w:r w:rsidRPr="69C11E82">
        <w:rPr>
          <w:lang w:val="en-US"/>
        </w:rPr>
        <w:t>The Government will achieve savings of $147.6 million over five years from 2025–‍26 (and an additional $1.1 million over seven years from 2030–‍31) by redirecting funding across the Industry, Science and Resources portfolio. Savings include:</w:t>
      </w:r>
    </w:p>
    <w:p w14:paraId="15827D8B" w14:textId="0F777746" w:rsidR="00BB2CB4" w:rsidRDefault="000674DA">
      <w:pPr>
        <w:pStyle w:val="Bullet"/>
      </w:pPr>
      <w:r>
        <w:t xml:space="preserve">$102.0 million over five years from 2025–‍26 by reducing uncommitted funding available under the Industry Growth </w:t>
      </w:r>
      <w:r w:rsidR="00E01328">
        <w:t>p</w:t>
      </w:r>
      <w:r>
        <w:t>rogram</w:t>
      </w:r>
    </w:p>
    <w:p w14:paraId="4A16E9A1" w14:textId="77777777" w:rsidR="00BB2CB4" w:rsidRDefault="000674DA">
      <w:pPr>
        <w:pStyle w:val="Bullet"/>
      </w:pPr>
      <w:r>
        <w:t>$31.3 million over three years from 2025–‍26 by reducing uncommitted funding from the Modern Manufacturing Initiative</w:t>
      </w:r>
    </w:p>
    <w:p w14:paraId="6C0D9ECD" w14:textId="00DE9A14" w:rsidR="00BB2CB4" w:rsidRDefault="000674DA">
      <w:pPr>
        <w:pStyle w:val="Bullet"/>
      </w:pPr>
      <w:r>
        <w:t xml:space="preserve">$12.3 million over five years from 2025–‍26 (and an additional $1.1 million over seven years from 2030–‍31) by reducing funding for the Global Science and Technology Diplomacy Fund, elements of the Inspiring All Australians in STEM program and the Entrepreneurs </w:t>
      </w:r>
      <w:r w:rsidR="00E01328">
        <w:t>p</w:t>
      </w:r>
      <w:r>
        <w:t>rogramme</w:t>
      </w:r>
    </w:p>
    <w:p w14:paraId="61920C17" w14:textId="77777777" w:rsidR="00BB2CB4" w:rsidRDefault="000674DA">
      <w:pPr>
        <w:pStyle w:val="Bullet"/>
      </w:pPr>
      <w:r>
        <w:t>$2.0 million in 2027–‍28 by reducing uncommitted funding for the Australian Radioactive Waste Agency.</w:t>
      </w:r>
    </w:p>
    <w:p w14:paraId="3AE6C4AB" w14:textId="77777777" w:rsidR="00BB2CB4" w:rsidRDefault="000674DA">
      <w:pPr>
        <w:pStyle w:val="Normal2"/>
      </w:pPr>
      <w:r w:rsidRPr="69C11E82">
        <w:rPr>
          <w:lang w:val="en-US"/>
        </w:rPr>
        <w:t>The savings from this measure will be redirected to other Government policy priorities in the Industry, Science and Resources portfolio.</w:t>
      </w:r>
    </w:p>
    <w:p w14:paraId="4213A6B1" w14:textId="77777777" w:rsidR="00BB2CB4" w:rsidRDefault="000674DA">
      <w:pPr>
        <w:pStyle w:val="MeasureTitle"/>
      </w:pPr>
      <w:r>
        <w:lastRenderedPageBreak/>
        <w:t>Investing in Science Agencies</w:t>
      </w:r>
    </w:p>
    <w:p w14:paraId="06EEB496"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085A9C0" w14:textId="77777777" w:rsidTr="00825163">
        <w:trPr>
          <w:cantSplit/>
        </w:trPr>
        <w:tc>
          <w:tcPr>
            <w:tcW w:w="2501" w:type="dxa"/>
            <w:tcBorders>
              <w:top w:val="single" w:sz="4" w:space="0" w:color="293F5B"/>
              <w:bottom w:val="single" w:sz="4" w:space="0" w:color="293F5B"/>
            </w:tcBorders>
          </w:tcPr>
          <w:p w14:paraId="0E92A1A2"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A4F6DB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431B3B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1C94FD3"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3081649"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84BD70B" w14:textId="77777777" w:rsidR="00BB2CB4" w:rsidRPr="00222C32" w:rsidRDefault="000674DA">
            <w:pPr>
              <w:pStyle w:val="MeasureTableYearHeadings"/>
              <w:keepNext/>
            </w:pPr>
            <w:r w:rsidRPr="00222C32">
              <w:t>2028-29</w:t>
            </w:r>
          </w:p>
        </w:tc>
      </w:tr>
      <w:tr w:rsidR="00BB2CB4" w:rsidRPr="00222C32" w14:paraId="4D2F66AD" w14:textId="77777777" w:rsidTr="00825163">
        <w:trPr>
          <w:cantSplit/>
        </w:trPr>
        <w:tc>
          <w:tcPr>
            <w:tcW w:w="2501" w:type="dxa"/>
            <w:tcBorders>
              <w:top w:val="single" w:sz="4" w:space="0" w:color="293F5B"/>
              <w:bottom w:val="single" w:sz="4" w:space="0" w:color="293F5B"/>
            </w:tcBorders>
          </w:tcPr>
          <w:p w14:paraId="42CDDBAE" w14:textId="77777777" w:rsidR="00BB2CB4" w:rsidRPr="00222C32" w:rsidRDefault="000674DA">
            <w:pPr>
              <w:pStyle w:val="MeasureTableHeadingleftalignedwith2ptsspacing"/>
              <w:keepNext/>
            </w:pPr>
            <w:r w:rsidRPr="00222C32">
              <w:t>Commonwealth Scientific and Industrial Research Organisation</w:t>
            </w:r>
          </w:p>
        </w:tc>
        <w:tc>
          <w:tcPr>
            <w:tcW w:w="1044" w:type="dxa"/>
            <w:tcBorders>
              <w:top w:val="single" w:sz="4" w:space="0" w:color="293F5B"/>
              <w:bottom w:val="single" w:sz="4" w:space="0" w:color="293F5B"/>
            </w:tcBorders>
          </w:tcPr>
          <w:p w14:paraId="6E716D2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074CA22" w14:textId="77777777" w:rsidR="00BB2CB4" w:rsidRPr="00222C32" w:rsidRDefault="000674DA">
            <w:pPr>
              <w:pStyle w:val="MeasureTableDataRightAlignedwith2ptsspacing"/>
              <w:keepNext/>
            </w:pPr>
            <w:r w:rsidRPr="00222C32">
              <w:t>121.0</w:t>
            </w:r>
          </w:p>
        </w:tc>
        <w:tc>
          <w:tcPr>
            <w:tcW w:w="1044" w:type="dxa"/>
            <w:tcBorders>
              <w:top w:val="single" w:sz="4" w:space="0" w:color="293F5B"/>
              <w:bottom w:val="single" w:sz="4" w:space="0" w:color="293F5B"/>
            </w:tcBorders>
          </w:tcPr>
          <w:p w14:paraId="6B7B3BE9" w14:textId="77777777" w:rsidR="00BB2CB4" w:rsidRPr="00222C32" w:rsidRDefault="000674DA">
            <w:pPr>
              <w:pStyle w:val="MeasureTableDataRightAlignedwith2ptsspacing"/>
              <w:keepNext/>
            </w:pPr>
            <w:r w:rsidRPr="00222C32">
              <w:t>112.0</w:t>
            </w:r>
          </w:p>
        </w:tc>
        <w:tc>
          <w:tcPr>
            <w:tcW w:w="1044" w:type="dxa"/>
            <w:tcBorders>
              <w:top w:val="single" w:sz="4" w:space="0" w:color="293F5B"/>
              <w:bottom w:val="single" w:sz="4" w:space="0" w:color="293F5B"/>
            </w:tcBorders>
          </w:tcPr>
          <w:p w14:paraId="71B6575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B42CFEB" w14:textId="77777777" w:rsidR="00BB2CB4" w:rsidRPr="00222C32" w:rsidRDefault="000674DA">
            <w:pPr>
              <w:pStyle w:val="MeasureTableDataRightAlignedwith2ptsspacing"/>
              <w:keepNext/>
            </w:pPr>
            <w:r w:rsidRPr="00222C32">
              <w:t>-</w:t>
            </w:r>
          </w:p>
        </w:tc>
      </w:tr>
      <w:tr w:rsidR="00BB2CB4" w:rsidRPr="00222C32" w14:paraId="646938D2" w14:textId="77777777" w:rsidTr="00825163">
        <w:trPr>
          <w:cantSplit/>
        </w:trPr>
        <w:tc>
          <w:tcPr>
            <w:tcW w:w="2501" w:type="dxa"/>
            <w:tcBorders>
              <w:top w:val="single" w:sz="4" w:space="0" w:color="293F5B"/>
              <w:bottom w:val="single" w:sz="4" w:space="0" w:color="293F5B"/>
            </w:tcBorders>
          </w:tcPr>
          <w:p w14:paraId="2E82E1E0" w14:textId="77777777" w:rsidR="00BB2CB4" w:rsidRPr="00222C32" w:rsidRDefault="000674DA">
            <w:pPr>
              <w:pStyle w:val="MeasureTableHeadingleftalignedwith2ptsspacing"/>
              <w:keepNext/>
            </w:pPr>
            <w:r w:rsidRPr="00222C32">
              <w:t>Australian Nuclear Science and Technology Organisation</w:t>
            </w:r>
          </w:p>
        </w:tc>
        <w:tc>
          <w:tcPr>
            <w:tcW w:w="1044" w:type="dxa"/>
            <w:tcBorders>
              <w:top w:val="single" w:sz="4" w:space="0" w:color="293F5B"/>
              <w:bottom w:val="single" w:sz="4" w:space="0" w:color="293F5B"/>
            </w:tcBorders>
          </w:tcPr>
          <w:p w14:paraId="6E201ED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14C47D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66C06CD" w14:textId="77777777" w:rsidR="00BB2CB4" w:rsidRPr="00222C32" w:rsidRDefault="000674DA">
            <w:pPr>
              <w:pStyle w:val="MeasureTableDataRightAlignedwith2ptsspacing"/>
              <w:keepNext/>
            </w:pPr>
            <w:r w:rsidRPr="00222C32">
              <w:t>40.8</w:t>
            </w:r>
          </w:p>
        </w:tc>
        <w:tc>
          <w:tcPr>
            <w:tcW w:w="1044" w:type="dxa"/>
            <w:tcBorders>
              <w:top w:val="single" w:sz="4" w:space="0" w:color="293F5B"/>
              <w:bottom w:val="single" w:sz="4" w:space="0" w:color="293F5B"/>
            </w:tcBorders>
          </w:tcPr>
          <w:p w14:paraId="394DB33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4E0855D" w14:textId="77777777" w:rsidR="00BB2CB4" w:rsidRPr="00222C32" w:rsidRDefault="000674DA">
            <w:pPr>
              <w:pStyle w:val="MeasureTableDataRightAlignedwith2ptsspacing"/>
              <w:keepNext/>
            </w:pPr>
            <w:r w:rsidRPr="00222C32">
              <w:t>-</w:t>
            </w:r>
          </w:p>
        </w:tc>
      </w:tr>
      <w:tr w:rsidR="00BB2CB4" w:rsidRPr="00222C32" w14:paraId="15A054B9" w14:textId="77777777" w:rsidTr="00825163">
        <w:trPr>
          <w:cantSplit/>
        </w:trPr>
        <w:tc>
          <w:tcPr>
            <w:tcW w:w="2501" w:type="dxa"/>
            <w:tcBorders>
              <w:top w:val="single" w:sz="4" w:space="0" w:color="293F5B"/>
              <w:bottom w:val="single" w:sz="4" w:space="0" w:color="293F5B"/>
            </w:tcBorders>
          </w:tcPr>
          <w:p w14:paraId="33B5A9D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B41062D"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896D638" w14:textId="77777777" w:rsidR="00BB2CB4" w:rsidRPr="00222C32" w:rsidRDefault="000674DA">
            <w:pPr>
              <w:pStyle w:val="Totaldatarowrightaligned"/>
              <w:keepNext/>
            </w:pPr>
            <w:r w:rsidRPr="00222C32">
              <w:t>121.0</w:t>
            </w:r>
          </w:p>
        </w:tc>
        <w:tc>
          <w:tcPr>
            <w:tcW w:w="1044" w:type="dxa"/>
            <w:tcBorders>
              <w:top w:val="single" w:sz="4" w:space="0" w:color="293F5B"/>
              <w:bottom w:val="single" w:sz="4" w:space="0" w:color="293F5B"/>
            </w:tcBorders>
          </w:tcPr>
          <w:p w14:paraId="7DA5156E" w14:textId="77777777" w:rsidR="00BB2CB4" w:rsidRPr="00222C32" w:rsidRDefault="000674DA">
            <w:pPr>
              <w:pStyle w:val="Totaldatarowrightaligned"/>
              <w:keepNext/>
            </w:pPr>
            <w:r w:rsidRPr="00222C32">
              <w:t>152.8</w:t>
            </w:r>
          </w:p>
        </w:tc>
        <w:tc>
          <w:tcPr>
            <w:tcW w:w="1044" w:type="dxa"/>
            <w:tcBorders>
              <w:top w:val="single" w:sz="4" w:space="0" w:color="293F5B"/>
              <w:bottom w:val="single" w:sz="4" w:space="0" w:color="293F5B"/>
            </w:tcBorders>
          </w:tcPr>
          <w:p w14:paraId="41341D2A"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74FA602" w14:textId="77777777" w:rsidR="00BB2CB4" w:rsidRPr="00222C32" w:rsidRDefault="000674DA">
            <w:pPr>
              <w:pStyle w:val="Totaldatarowrightaligned"/>
              <w:keepNext/>
            </w:pPr>
            <w:r w:rsidRPr="00222C32">
              <w:t>-</w:t>
            </w:r>
          </w:p>
        </w:tc>
      </w:tr>
    </w:tbl>
    <w:p w14:paraId="36A15DC5" w14:textId="77777777" w:rsidR="003452B3" w:rsidRDefault="003452B3" w:rsidP="003452B3">
      <w:pPr>
        <w:pStyle w:val="SingleParagraph"/>
      </w:pPr>
    </w:p>
    <w:p w14:paraId="01285432" w14:textId="0B71822F" w:rsidR="00BB2CB4" w:rsidRDefault="000674DA">
      <w:pPr>
        <w:pStyle w:val="Normal2"/>
      </w:pPr>
      <w:r>
        <w:t>The Government will provide $273.8 million over two years from 2025–‍26 to support the sustainability of Australia</w:t>
      </w:r>
      <w:r w:rsidR="00222C32">
        <w:t>’</w:t>
      </w:r>
      <w:r>
        <w:t>s science agencies. Funding includes:</w:t>
      </w:r>
    </w:p>
    <w:p w14:paraId="0332A443" w14:textId="77777777" w:rsidR="00BB2CB4" w:rsidRDefault="000674DA">
      <w:pPr>
        <w:pStyle w:val="Bullet"/>
      </w:pPr>
      <w:r>
        <w:t>$233.0 million over two years from 2025–‍26 for the Commonwealth Scientific and Industrial Research Organisation to maintain research capability and undertake property consolidation planning</w:t>
      </w:r>
    </w:p>
    <w:p w14:paraId="48D44441" w14:textId="77777777" w:rsidR="00BB2CB4" w:rsidRDefault="000674DA">
      <w:pPr>
        <w:pStyle w:val="Bullet"/>
      </w:pPr>
      <w:r>
        <w:t>$40.8 million in 2026–‍27 for the Australian Nuclear Science and Technology Organisation to continue production of affordable nuclear medicines and support the ongoing operations transferred from the now wound‑up subsidiary ANSTO Nuclear Medicine (ANM) Pty Ltd.</w:t>
      </w:r>
    </w:p>
    <w:p w14:paraId="124B5382" w14:textId="77777777" w:rsidR="00BB2CB4" w:rsidRDefault="000674DA">
      <w:pPr>
        <w:pStyle w:val="Normal2"/>
      </w:pPr>
      <w:r>
        <w:t xml:space="preserve">This measure builds on the 2025–‍26 Budget measure titled </w:t>
      </w:r>
      <w:r w:rsidRPr="000674DA">
        <w:rPr>
          <w:i/>
        </w:rPr>
        <w:t>Investing in the Future of Science</w:t>
      </w:r>
      <w:r>
        <w:t xml:space="preserve">, the 2024–‍25 Budget measure titled </w:t>
      </w:r>
      <w:r w:rsidRPr="000674DA">
        <w:rPr>
          <w:i/>
        </w:rPr>
        <w:t>Investing in the Future of Industry and Science</w:t>
      </w:r>
      <w:r>
        <w:t xml:space="preserve">, and the 2023–‍24 Budget measure titled </w:t>
      </w:r>
      <w:r w:rsidRPr="000674DA">
        <w:rPr>
          <w:i/>
        </w:rPr>
        <w:t>Securing a Responsive Nuclear Medicine and Science Capability for Australia</w:t>
      </w:r>
      <w:r>
        <w:t>.</w:t>
      </w:r>
    </w:p>
    <w:p w14:paraId="6ECF5DF1" w14:textId="77777777" w:rsidR="00BB2CB4" w:rsidRDefault="000674DA">
      <w:pPr>
        <w:pStyle w:val="Normal2"/>
      </w:pPr>
      <w:r>
        <w:t xml:space="preserve">The Government will consider future funding for </w:t>
      </w:r>
      <w:r w:rsidRPr="000674DA">
        <w:rPr>
          <w:i/>
        </w:rPr>
        <w:t>Investing in Science Agencies</w:t>
      </w:r>
      <w:r>
        <w:t xml:space="preserve"> pending further consideration of broader policy priorities.</w:t>
      </w:r>
    </w:p>
    <w:p w14:paraId="2F6F3455" w14:textId="77777777" w:rsidR="00EC187E" w:rsidRDefault="00EC187E">
      <w:pPr>
        <w:pStyle w:val="MeasureTitle"/>
      </w:pPr>
      <w:r>
        <w:br w:type="page"/>
      </w:r>
    </w:p>
    <w:p w14:paraId="2453DDD7" w14:textId="0565DA2A" w:rsidR="00BB2CB4" w:rsidRDefault="000674DA">
      <w:pPr>
        <w:pStyle w:val="MeasureTitle"/>
      </w:pPr>
      <w:r>
        <w:lastRenderedPageBreak/>
        <w:t>Supporting Australia</w:t>
      </w:r>
      <w:r w:rsidR="00222C32">
        <w:t>’</w:t>
      </w:r>
      <w:r>
        <w:t>s Heavy Industry Transformation</w:t>
      </w:r>
    </w:p>
    <w:p w14:paraId="40723B2D"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D0CC13B" w14:textId="77777777" w:rsidTr="00825163">
        <w:tc>
          <w:tcPr>
            <w:tcW w:w="2501" w:type="dxa"/>
            <w:tcBorders>
              <w:top w:val="single" w:sz="4" w:space="0" w:color="293F5B"/>
              <w:bottom w:val="single" w:sz="4" w:space="0" w:color="293F5B"/>
            </w:tcBorders>
          </w:tcPr>
          <w:p w14:paraId="7954FE6B"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CB13D3D"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6873C6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D2617A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967789A"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18A9898" w14:textId="77777777" w:rsidR="00BB2CB4" w:rsidRPr="00222C32" w:rsidRDefault="000674DA">
            <w:pPr>
              <w:pStyle w:val="MeasureTableYearHeadings"/>
              <w:keepNext/>
            </w:pPr>
            <w:r w:rsidRPr="00222C32">
              <w:t>2028-29</w:t>
            </w:r>
          </w:p>
        </w:tc>
      </w:tr>
      <w:tr w:rsidR="00BB2CB4" w:rsidRPr="00222C32" w14:paraId="2400CF17" w14:textId="77777777" w:rsidTr="00825163">
        <w:tc>
          <w:tcPr>
            <w:tcW w:w="2501" w:type="dxa"/>
            <w:tcBorders>
              <w:top w:val="single" w:sz="4" w:space="0" w:color="293F5B"/>
              <w:bottom w:val="single" w:sz="4" w:space="0" w:color="293F5B"/>
            </w:tcBorders>
          </w:tcPr>
          <w:p w14:paraId="4D5DCF3F"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2E4836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392906A" w14:textId="77777777" w:rsidR="00BB2CB4" w:rsidRPr="00222C32" w:rsidRDefault="000674DA">
            <w:pPr>
              <w:pStyle w:val="MeasureTableDataRightAlignedwith2ptsspacing"/>
              <w:keepNext/>
            </w:pPr>
            <w:r w:rsidRPr="00222C32">
              <w:t>253.0</w:t>
            </w:r>
          </w:p>
        </w:tc>
        <w:tc>
          <w:tcPr>
            <w:tcW w:w="1044" w:type="dxa"/>
            <w:tcBorders>
              <w:top w:val="single" w:sz="4" w:space="0" w:color="293F5B"/>
              <w:bottom w:val="single" w:sz="4" w:space="0" w:color="293F5B"/>
            </w:tcBorders>
          </w:tcPr>
          <w:p w14:paraId="18BB059B" w14:textId="77777777" w:rsidR="00BB2CB4" w:rsidRPr="00222C32" w:rsidRDefault="000674DA">
            <w:pPr>
              <w:pStyle w:val="MeasureTableDataRightAlignedwith2ptsspacing"/>
              <w:keepNext/>
            </w:pPr>
            <w:r w:rsidRPr="00222C32">
              <w:t>100.0</w:t>
            </w:r>
          </w:p>
        </w:tc>
        <w:tc>
          <w:tcPr>
            <w:tcW w:w="1044" w:type="dxa"/>
            <w:tcBorders>
              <w:top w:val="single" w:sz="4" w:space="0" w:color="293F5B"/>
              <w:bottom w:val="single" w:sz="4" w:space="0" w:color="293F5B"/>
            </w:tcBorders>
          </w:tcPr>
          <w:p w14:paraId="59D2CFA4" w14:textId="77777777" w:rsidR="00BB2CB4" w:rsidRPr="00222C32" w:rsidRDefault="000674DA">
            <w:pPr>
              <w:pStyle w:val="MeasureTableDataRightAlignedwith2ptsspacing"/>
              <w:keepNext/>
            </w:pPr>
            <w:r w:rsidRPr="00222C32">
              <w:t>100.0</w:t>
            </w:r>
          </w:p>
        </w:tc>
        <w:tc>
          <w:tcPr>
            <w:tcW w:w="1044" w:type="dxa"/>
            <w:tcBorders>
              <w:top w:val="single" w:sz="4" w:space="0" w:color="293F5B"/>
              <w:bottom w:val="single" w:sz="4" w:space="0" w:color="293F5B"/>
            </w:tcBorders>
          </w:tcPr>
          <w:p w14:paraId="0774B999" w14:textId="77777777" w:rsidR="00BB2CB4" w:rsidRPr="00222C32" w:rsidRDefault="000674DA">
            <w:pPr>
              <w:pStyle w:val="MeasureTableDataRightAlignedwith2ptsspacing"/>
              <w:keepNext/>
            </w:pPr>
            <w:r w:rsidRPr="00222C32">
              <w:t>50.0</w:t>
            </w:r>
          </w:p>
        </w:tc>
      </w:tr>
      <w:tr w:rsidR="00BB2CB4" w:rsidRPr="00222C32" w14:paraId="39DE8BCA" w14:textId="77777777" w:rsidTr="00825163">
        <w:tc>
          <w:tcPr>
            <w:tcW w:w="2501" w:type="dxa"/>
            <w:tcBorders>
              <w:top w:val="single" w:sz="4" w:space="0" w:color="293F5B"/>
              <w:bottom w:val="single" w:sz="4" w:space="0" w:color="293F5B"/>
            </w:tcBorders>
          </w:tcPr>
          <w:p w14:paraId="4E157B26" w14:textId="77777777" w:rsidR="00BB2CB4" w:rsidRPr="00222C32" w:rsidRDefault="000674DA">
            <w:pPr>
              <w:pStyle w:val="MeasureTableHeadingleftalignedwith2ptsspacing"/>
              <w:keepNext/>
            </w:pPr>
            <w:r w:rsidRPr="00222C32">
              <w:t>Department of Industry, Science and Resources</w:t>
            </w:r>
          </w:p>
        </w:tc>
        <w:tc>
          <w:tcPr>
            <w:tcW w:w="1044" w:type="dxa"/>
            <w:tcBorders>
              <w:top w:val="single" w:sz="4" w:space="0" w:color="293F5B"/>
              <w:bottom w:val="single" w:sz="4" w:space="0" w:color="293F5B"/>
            </w:tcBorders>
          </w:tcPr>
          <w:p w14:paraId="292239D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110FF0A" w14:textId="77777777" w:rsidR="00BB2CB4" w:rsidRPr="00222C32" w:rsidRDefault="000674DA">
            <w:pPr>
              <w:pStyle w:val="MeasureTableDataRightAlignedwith2ptsspacing"/>
              <w:keepNext/>
            </w:pPr>
            <w:r w:rsidRPr="00222C32">
              <w:t>7.1</w:t>
            </w:r>
          </w:p>
        </w:tc>
        <w:tc>
          <w:tcPr>
            <w:tcW w:w="1044" w:type="dxa"/>
            <w:tcBorders>
              <w:top w:val="single" w:sz="4" w:space="0" w:color="293F5B"/>
              <w:bottom w:val="single" w:sz="4" w:space="0" w:color="293F5B"/>
            </w:tcBorders>
          </w:tcPr>
          <w:p w14:paraId="2414DCA1" w14:textId="77777777" w:rsidR="00BB2CB4" w:rsidRPr="00222C32" w:rsidRDefault="000674DA">
            <w:pPr>
              <w:pStyle w:val="MeasureTableDataRightAlignedwith2ptsspacing"/>
              <w:keepNext/>
            </w:pPr>
            <w:r w:rsidRPr="00222C32">
              <w:t>-9.7</w:t>
            </w:r>
          </w:p>
        </w:tc>
        <w:tc>
          <w:tcPr>
            <w:tcW w:w="1044" w:type="dxa"/>
            <w:tcBorders>
              <w:top w:val="single" w:sz="4" w:space="0" w:color="293F5B"/>
              <w:bottom w:val="single" w:sz="4" w:space="0" w:color="293F5B"/>
            </w:tcBorders>
          </w:tcPr>
          <w:p w14:paraId="4F60D697" w14:textId="77777777" w:rsidR="00BB2CB4" w:rsidRPr="00222C32" w:rsidRDefault="000674DA">
            <w:pPr>
              <w:pStyle w:val="MeasureTableDataRightAlignedwith2ptsspacing"/>
              <w:keepNext/>
            </w:pPr>
            <w:r w:rsidRPr="00222C32">
              <w:t>-10.5</w:t>
            </w:r>
          </w:p>
        </w:tc>
        <w:tc>
          <w:tcPr>
            <w:tcW w:w="1044" w:type="dxa"/>
            <w:tcBorders>
              <w:top w:val="single" w:sz="4" w:space="0" w:color="293F5B"/>
              <w:bottom w:val="single" w:sz="4" w:space="0" w:color="293F5B"/>
            </w:tcBorders>
          </w:tcPr>
          <w:p w14:paraId="51155158" w14:textId="77777777" w:rsidR="00BB2CB4" w:rsidRPr="00222C32" w:rsidRDefault="000674DA">
            <w:pPr>
              <w:pStyle w:val="MeasureTableDataRightAlignedwith2ptsspacing"/>
              <w:keepNext/>
            </w:pPr>
            <w:r w:rsidRPr="00222C32">
              <w:t>0.2</w:t>
            </w:r>
          </w:p>
        </w:tc>
      </w:tr>
      <w:tr w:rsidR="00BB2CB4" w:rsidRPr="00222C32" w14:paraId="6936BC11" w14:textId="77777777" w:rsidTr="00825163">
        <w:tc>
          <w:tcPr>
            <w:tcW w:w="2501" w:type="dxa"/>
            <w:tcBorders>
              <w:top w:val="single" w:sz="4" w:space="0" w:color="293F5B"/>
              <w:bottom w:val="single" w:sz="4" w:space="0" w:color="293F5B"/>
            </w:tcBorders>
          </w:tcPr>
          <w:p w14:paraId="29A590A9" w14:textId="77777777" w:rsidR="00BB2CB4" w:rsidRPr="00222C32" w:rsidRDefault="000674DA">
            <w:pPr>
              <w:pStyle w:val="MeasureTableHeadingleftalignedwith2ptsspacing"/>
              <w:keepNext/>
            </w:pPr>
            <w:r w:rsidRPr="00222C32">
              <w:t>Department of Finance</w:t>
            </w:r>
          </w:p>
        </w:tc>
        <w:tc>
          <w:tcPr>
            <w:tcW w:w="1044" w:type="dxa"/>
            <w:tcBorders>
              <w:top w:val="single" w:sz="4" w:space="0" w:color="293F5B"/>
              <w:bottom w:val="single" w:sz="4" w:space="0" w:color="293F5B"/>
            </w:tcBorders>
          </w:tcPr>
          <w:p w14:paraId="4FAB79C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06BFE6C" w14:textId="77777777" w:rsidR="00BB2CB4" w:rsidRPr="00222C32" w:rsidRDefault="000674DA">
            <w:pPr>
              <w:pStyle w:val="MeasureTableDataRightAlignedwith2ptsspacing"/>
              <w:keepNext/>
            </w:pPr>
            <w:r w:rsidRPr="00222C32">
              <w:t>1.4</w:t>
            </w:r>
          </w:p>
        </w:tc>
        <w:tc>
          <w:tcPr>
            <w:tcW w:w="1044" w:type="dxa"/>
            <w:tcBorders>
              <w:top w:val="single" w:sz="4" w:space="0" w:color="293F5B"/>
              <w:bottom w:val="single" w:sz="4" w:space="0" w:color="293F5B"/>
            </w:tcBorders>
          </w:tcPr>
          <w:p w14:paraId="4A0C260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F1B247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F52092C" w14:textId="77777777" w:rsidR="00BB2CB4" w:rsidRPr="00222C32" w:rsidRDefault="000674DA">
            <w:pPr>
              <w:pStyle w:val="MeasureTableDataRightAlignedwith2ptsspacing"/>
              <w:keepNext/>
            </w:pPr>
            <w:r w:rsidRPr="00222C32">
              <w:t>-</w:t>
            </w:r>
          </w:p>
        </w:tc>
      </w:tr>
      <w:tr w:rsidR="00BB2CB4" w:rsidRPr="00222C32" w14:paraId="1F4269B4" w14:textId="77777777" w:rsidTr="00825163">
        <w:tc>
          <w:tcPr>
            <w:tcW w:w="2501" w:type="dxa"/>
            <w:tcBorders>
              <w:top w:val="single" w:sz="4" w:space="0" w:color="293F5B"/>
              <w:bottom w:val="single" w:sz="4" w:space="0" w:color="293F5B"/>
            </w:tcBorders>
          </w:tcPr>
          <w:p w14:paraId="73D9C545"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0471D3E4"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DDA93FE" w14:textId="77777777" w:rsidR="00BB2CB4" w:rsidRPr="00222C32" w:rsidRDefault="000674DA">
            <w:pPr>
              <w:pStyle w:val="Totaldatarowrightaligned"/>
              <w:keepNext/>
            </w:pPr>
            <w:r w:rsidRPr="00222C32">
              <w:t>261.5</w:t>
            </w:r>
          </w:p>
        </w:tc>
        <w:tc>
          <w:tcPr>
            <w:tcW w:w="1044" w:type="dxa"/>
            <w:tcBorders>
              <w:top w:val="single" w:sz="4" w:space="0" w:color="293F5B"/>
              <w:bottom w:val="single" w:sz="4" w:space="0" w:color="293F5B"/>
            </w:tcBorders>
          </w:tcPr>
          <w:p w14:paraId="656C39A8" w14:textId="77777777" w:rsidR="00BB2CB4" w:rsidRPr="00222C32" w:rsidRDefault="000674DA">
            <w:pPr>
              <w:pStyle w:val="Totaldatarowrightaligned"/>
              <w:keepNext/>
            </w:pPr>
            <w:r w:rsidRPr="00222C32">
              <w:t>90.3</w:t>
            </w:r>
          </w:p>
        </w:tc>
        <w:tc>
          <w:tcPr>
            <w:tcW w:w="1044" w:type="dxa"/>
            <w:tcBorders>
              <w:top w:val="single" w:sz="4" w:space="0" w:color="293F5B"/>
              <w:bottom w:val="single" w:sz="4" w:space="0" w:color="293F5B"/>
            </w:tcBorders>
          </w:tcPr>
          <w:p w14:paraId="03ECDFB1" w14:textId="77777777" w:rsidR="00BB2CB4" w:rsidRPr="00222C32" w:rsidRDefault="000674DA">
            <w:pPr>
              <w:pStyle w:val="Totaldatarowrightaligned"/>
              <w:keepNext/>
            </w:pPr>
            <w:r w:rsidRPr="00222C32">
              <w:t>89.5</w:t>
            </w:r>
          </w:p>
        </w:tc>
        <w:tc>
          <w:tcPr>
            <w:tcW w:w="1044" w:type="dxa"/>
            <w:tcBorders>
              <w:top w:val="single" w:sz="4" w:space="0" w:color="293F5B"/>
              <w:bottom w:val="single" w:sz="4" w:space="0" w:color="293F5B"/>
            </w:tcBorders>
          </w:tcPr>
          <w:p w14:paraId="314E2DDE" w14:textId="77777777" w:rsidR="00BB2CB4" w:rsidRPr="00222C32" w:rsidRDefault="000674DA">
            <w:pPr>
              <w:pStyle w:val="Totaldatarowrightaligned"/>
              <w:keepNext/>
            </w:pPr>
            <w:r w:rsidRPr="00222C32">
              <w:t>50.2</w:t>
            </w:r>
          </w:p>
        </w:tc>
      </w:tr>
      <w:tr w:rsidR="00BB2CB4" w:rsidRPr="00222C32" w14:paraId="3D7F43CF" w14:textId="77777777" w:rsidTr="00825163">
        <w:tc>
          <w:tcPr>
            <w:tcW w:w="2501" w:type="dxa"/>
            <w:tcBorders>
              <w:top w:val="single" w:sz="4" w:space="0" w:color="293F5B"/>
              <w:bottom w:val="nil"/>
            </w:tcBorders>
          </w:tcPr>
          <w:p w14:paraId="51DDDFE1"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7E28B23" w14:textId="77777777" w:rsidR="00BB2CB4" w:rsidRPr="00222C32" w:rsidRDefault="00BB2CB4">
            <w:pPr>
              <w:pStyle w:val="AgencyName"/>
              <w:keepNext/>
            </w:pPr>
          </w:p>
        </w:tc>
        <w:tc>
          <w:tcPr>
            <w:tcW w:w="1044" w:type="dxa"/>
            <w:tcBorders>
              <w:top w:val="single" w:sz="4" w:space="0" w:color="293F5B"/>
              <w:bottom w:val="nil"/>
            </w:tcBorders>
          </w:tcPr>
          <w:p w14:paraId="590093BB" w14:textId="77777777" w:rsidR="00BB2CB4" w:rsidRPr="00222C32" w:rsidRDefault="00BB2CB4">
            <w:pPr>
              <w:pStyle w:val="AgencyName"/>
              <w:keepNext/>
            </w:pPr>
          </w:p>
        </w:tc>
        <w:tc>
          <w:tcPr>
            <w:tcW w:w="1044" w:type="dxa"/>
            <w:tcBorders>
              <w:top w:val="single" w:sz="4" w:space="0" w:color="293F5B"/>
              <w:bottom w:val="nil"/>
            </w:tcBorders>
          </w:tcPr>
          <w:p w14:paraId="06305ADB" w14:textId="77777777" w:rsidR="00BB2CB4" w:rsidRPr="00222C32" w:rsidRDefault="00BB2CB4">
            <w:pPr>
              <w:pStyle w:val="AgencyName"/>
              <w:keepNext/>
            </w:pPr>
          </w:p>
        </w:tc>
        <w:tc>
          <w:tcPr>
            <w:tcW w:w="1044" w:type="dxa"/>
            <w:tcBorders>
              <w:top w:val="single" w:sz="4" w:space="0" w:color="293F5B"/>
              <w:bottom w:val="nil"/>
            </w:tcBorders>
          </w:tcPr>
          <w:p w14:paraId="081A48F2" w14:textId="77777777" w:rsidR="00BB2CB4" w:rsidRPr="00222C32" w:rsidRDefault="00BB2CB4">
            <w:pPr>
              <w:pStyle w:val="AgencyName"/>
              <w:keepNext/>
            </w:pPr>
          </w:p>
        </w:tc>
        <w:tc>
          <w:tcPr>
            <w:tcW w:w="1044" w:type="dxa"/>
            <w:tcBorders>
              <w:top w:val="single" w:sz="4" w:space="0" w:color="293F5B"/>
              <w:bottom w:val="nil"/>
            </w:tcBorders>
          </w:tcPr>
          <w:p w14:paraId="736D2708" w14:textId="77777777" w:rsidR="00BB2CB4" w:rsidRPr="00222C32" w:rsidRDefault="00BB2CB4">
            <w:pPr>
              <w:pStyle w:val="AgencyName"/>
              <w:keepNext/>
            </w:pPr>
          </w:p>
        </w:tc>
      </w:tr>
      <w:tr w:rsidR="00BB2CB4" w:rsidRPr="00222C32" w14:paraId="52F25190" w14:textId="77777777" w:rsidTr="00825163">
        <w:tc>
          <w:tcPr>
            <w:tcW w:w="2501" w:type="dxa"/>
            <w:tcBorders>
              <w:top w:val="nil"/>
              <w:bottom w:val="single" w:sz="4" w:space="0" w:color="293F5B"/>
            </w:tcBorders>
          </w:tcPr>
          <w:p w14:paraId="5659373C" w14:textId="77777777" w:rsidR="00BB2CB4" w:rsidRPr="00222C32" w:rsidRDefault="000674DA">
            <w:pPr>
              <w:pStyle w:val="AgencyNamewith2ptsspacing"/>
              <w:keepNext/>
            </w:pPr>
            <w:r w:rsidRPr="00222C32">
              <w:t>Department of Industry, Science and Resources</w:t>
            </w:r>
          </w:p>
        </w:tc>
        <w:tc>
          <w:tcPr>
            <w:tcW w:w="1044" w:type="dxa"/>
            <w:tcBorders>
              <w:top w:val="nil"/>
              <w:bottom w:val="single" w:sz="4" w:space="0" w:color="293F5B"/>
            </w:tcBorders>
          </w:tcPr>
          <w:p w14:paraId="37A8ED3C"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6A1FAF9" w14:textId="77777777" w:rsidR="00BB2CB4" w:rsidRPr="00222C32" w:rsidRDefault="000674DA">
            <w:pPr>
              <w:pStyle w:val="Measuretabledatarightaligneditalics"/>
              <w:keepNext/>
            </w:pPr>
            <w:r w:rsidRPr="00222C32">
              <w:t>8.8</w:t>
            </w:r>
          </w:p>
        </w:tc>
        <w:tc>
          <w:tcPr>
            <w:tcW w:w="1044" w:type="dxa"/>
            <w:tcBorders>
              <w:top w:val="nil"/>
              <w:bottom w:val="single" w:sz="4" w:space="0" w:color="293F5B"/>
            </w:tcBorders>
          </w:tcPr>
          <w:p w14:paraId="6F261D0A"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434E8C5"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1CD282D8" w14:textId="77777777" w:rsidR="00BB2CB4" w:rsidRPr="00222C32" w:rsidRDefault="000674DA">
            <w:pPr>
              <w:pStyle w:val="Measuretabledatarightaligneditalics"/>
              <w:keepNext/>
            </w:pPr>
            <w:r w:rsidRPr="00222C32">
              <w:t>-</w:t>
            </w:r>
          </w:p>
        </w:tc>
      </w:tr>
    </w:tbl>
    <w:p w14:paraId="11F72AC2" w14:textId="77777777" w:rsidR="003452B3" w:rsidRDefault="003452B3" w:rsidP="003452B3">
      <w:pPr>
        <w:pStyle w:val="SingleParagraph"/>
      </w:pPr>
    </w:p>
    <w:p w14:paraId="0A52DDAF" w14:textId="3271466E" w:rsidR="00BB2CB4" w:rsidRDefault="000674DA">
      <w:pPr>
        <w:pStyle w:val="Normal2"/>
      </w:pPr>
      <w:r>
        <w:t>The Government will provide $522.2 million over four years from 2025–‍26 to support Australia</w:t>
      </w:r>
      <w:r w:rsidR="00222C32">
        <w:t>’</w:t>
      </w:r>
      <w:r>
        <w:t>s heavy industry. Funding includes:</w:t>
      </w:r>
    </w:p>
    <w:p w14:paraId="280F4689" w14:textId="41FBC494" w:rsidR="00BB2CB4" w:rsidRDefault="000674DA">
      <w:pPr>
        <w:pStyle w:val="Bullet"/>
      </w:pPr>
      <w:r>
        <w:t>$301.3 million over four years from 2025–‍26 to maintain the operation of Glencore</w:t>
      </w:r>
      <w:r w:rsidR="00222C32">
        <w:t>’</w:t>
      </w:r>
      <w:r>
        <w:t>s Mount Isa copper smelter and Townsville copper refinery, to support the surrounding communities and workforce, with:</w:t>
      </w:r>
    </w:p>
    <w:p w14:paraId="6D11C5F1" w14:textId="16B55F0D" w:rsidR="00BB2CB4" w:rsidRDefault="000674DA">
      <w:pPr>
        <w:pStyle w:val="Dash"/>
      </w:pPr>
      <w:r>
        <w:t>$300.0 million over four years from 2025–‍26 as the Commonwealth</w:t>
      </w:r>
      <w:r w:rsidR="00222C32">
        <w:t>’</w:t>
      </w:r>
      <w:r>
        <w:t>s co‑contribution to Queensland to prevent the imminent closure of Glencore</w:t>
      </w:r>
    </w:p>
    <w:p w14:paraId="5DE39606" w14:textId="77777777" w:rsidR="00BB2CB4" w:rsidRDefault="000674DA">
      <w:pPr>
        <w:pStyle w:val="Dash"/>
      </w:pPr>
      <w:r>
        <w:t>$1.3 million over four years from 2025–‍26 for independent legal, commercial and probity advice and to facilitate negotiations with the Queensland Government and Glencore Australia</w:t>
      </w:r>
    </w:p>
    <w:p w14:paraId="7EFF5E89" w14:textId="77777777" w:rsidR="00BB2CB4" w:rsidRDefault="000674DA">
      <w:pPr>
        <w:pStyle w:val="Bullet"/>
      </w:pPr>
      <w:r>
        <w:t>$163.3 million in 2025–‍26 to continue providing support and stabilisation to the Whyalla steelworks during administration. Funding includes:</w:t>
      </w:r>
    </w:p>
    <w:p w14:paraId="25DA9F5D" w14:textId="5616727A" w:rsidR="00BB2CB4" w:rsidRDefault="000674DA">
      <w:pPr>
        <w:pStyle w:val="Dash"/>
      </w:pPr>
      <w:r>
        <w:t>$145.5 million in 2025–‍26 as the Commonwealth</w:t>
      </w:r>
      <w:r w:rsidR="00222C32">
        <w:t>’</w:t>
      </w:r>
      <w:r>
        <w:t xml:space="preserve">s co‑contribution to South Australia for the administration costs of the Whyalla </w:t>
      </w:r>
      <w:r w:rsidR="00F72AD5">
        <w:t>s</w:t>
      </w:r>
      <w:r>
        <w:t>teelworks</w:t>
      </w:r>
    </w:p>
    <w:p w14:paraId="4F207459" w14:textId="36328EDC" w:rsidR="00BB2CB4" w:rsidRDefault="000674DA">
      <w:pPr>
        <w:pStyle w:val="Dash"/>
      </w:pPr>
      <w:r>
        <w:t xml:space="preserve">$17.8 million in 2025–‍26 to continue the joint taskforce with the South Australian Government through the provision of independent legal, commercial and probity advice and to facilitate negotiations with potential buyers of the Whyalla </w:t>
      </w:r>
      <w:r w:rsidR="00F72AD5">
        <w:t>s</w:t>
      </w:r>
      <w:r>
        <w:t>teelworks</w:t>
      </w:r>
    </w:p>
    <w:p w14:paraId="2B1C51B3" w14:textId="7A655352" w:rsidR="00BB2CB4" w:rsidRDefault="000674DA">
      <w:pPr>
        <w:pStyle w:val="Bullet"/>
      </w:pPr>
      <w:r>
        <w:t>$57.5 million in 2025–‍26 as the Commonwealth</w:t>
      </w:r>
      <w:r w:rsidR="00222C32">
        <w:t>’</w:t>
      </w:r>
      <w:r>
        <w:t>s contribution to a support package for Nyrstar Australia</w:t>
      </w:r>
      <w:r w:rsidR="00222C32">
        <w:t>’</w:t>
      </w:r>
      <w:r>
        <w:t>s Hobart and Port Pirie facilities.</w:t>
      </w:r>
    </w:p>
    <w:p w14:paraId="787711EC" w14:textId="088957F9" w:rsidR="00BB2CB4" w:rsidRDefault="000674DA">
      <w:pPr>
        <w:pStyle w:val="Normal2"/>
      </w:pPr>
      <w:r>
        <w:t>Partial funding for this measure will be held in the Contingency Reserve pending the outcomes of a review of market conditions for Glencore</w:t>
      </w:r>
      <w:r w:rsidR="00222C32">
        <w:t>’</w:t>
      </w:r>
      <w:r>
        <w:t>s Mount Isa copper smelter and Townsville copper refinery.</w:t>
      </w:r>
    </w:p>
    <w:p w14:paraId="0AF77908" w14:textId="77777777" w:rsidR="00BB2CB4" w:rsidRDefault="000674DA">
      <w:pPr>
        <w:pStyle w:val="Normal2"/>
      </w:pPr>
      <w:r w:rsidRPr="69C11E82">
        <w:rPr>
          <w:lang w:val="en-US"/>
        </w:rPr>
        <w:t xml:space="preserve">The cost of this measure will be partially met from a reprioritisation of funding from the 2022–‍23 October Budget measure titled </w:t>
      </w:r>
      <w:r w:rsidRPr="69C11E82">
        <w:rPr>
          <w:i/>
          <w:lang w:val="en-US"/>
        </w:rPr>
        <w:t>Supporting Australian Industry</w:t>
      </w:r>
      <w:r w:rsidRPr="69C11E82">
        <w:rPr>
          <w:lang w:val="en-US"/>
        </w:rPr>
        <w:t>.</w:t>
      </w:r>
    </w:p>
    <w:p w14:paraId="52EAE9C4" w14:textId="77777777" w:rsidR="00BB2CB4" w:rsidRDefault="000674DA">
      <w:pPr>
        <w:pStyle w:val="Normal2"/>
      </w:pPr>
      <w:r>
        <w:t>The Treasury manages Commonwealth payments to the states and territories.</w:t>
      </w:r>
    </w:p>
    <w:p w14:paraId="1916F772" w14:textId="77777777" w:rsidR="00BB2CB4" w:rsidRDefault="00BB2CB4">
      <w:pPr>
        <w:sectPr w:rsidR="00BB2CB4" w:rsidSect="00301ACF">
          <w:headerReference w:type="even" r:id="rId115"/>
          <w:headerReference w:type="default" r:id="rId116"/>
          <w:footerReference w:type="even" r:id="rId117"/>
          <w:footerReference w:type="default" r:id="rId118"/>
          <w:headerReference w:type="first" r:id="rId119"/>
          <w:footerReference w:type="first" r:id="rId120"/>
          <w:pgSz w:w="11906" w:h="16838" w:code="9"/>
          <w:pgMar w:top="2835" w:right="2098" w:bottom="2466" w:left="2098" w:header="1814" w:footer="1814" w:gutter="0"/>
          <w:cols w:space="720"/>
          <w:docGrid w:linePitch="272"/>
        </w:sectPr>
      </w:pPr>
    </w:p>
    <w:p w14:paraId="211F91D4" w14:textId="77777777" w:rsidR="00BB2CB4" w:rsidRDefault="000674DA" w:rsidP="00BA09AF">
      <w:pPr>
        <w:pStyle w:val="PortfolioName"/>
        <w:spacing w:before="0"/>
      </w:pPr>
      <w:r w:rsidRPr="69C11E82">
        <w:rPr>
          <w:lang w:val="en-US"/>
        </w:rPr>
        <w:lastRenderedPageBreak/>
        <w:t>Infrastructure, Transport, Regional Development, Communications, Sport and the Arts</w:t>
      </w:r>
    </w:p>
    <w:p w14:paraId="532A3B72" w14:textId="77777777" w:rsidR="00BB2CB4" w:rsidRDefault="000674DA">
      <w:pPr>
        <w:pStyle w:val="MeasureTitle"/>
      </w:pPr>
      <w:r>
        <w:t>Additional Funding for the Australian Broadcasting Corporation</w:t>
      </w:r>
    </w:p>
    <w:p w14:paraId="16375E8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84FAB6D" w14:textId="77777777" w:rsidTr="00825163">
        <w:trPr>
          <w:cantSplit/>
        </w:trPr>
        <w:tc>
          <w:tcPr>
            <w:tcW w:w="2501" w:type="dxa"/>
            <w:tcBorders>
              <w:top w:val="single" w:sz="4" w:space="0" w:color="293F5B"/>
              <w:bottom w:val="single" w:sz="4" w:space="0" w:color="293F5B"/>
            </w:tcBorders>
          </w:tcPr>
          <w:p w14:paraId="653334C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87C327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FA91BAE"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597C63E"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A9CFEC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3E80D37" w14:textId="77777777" w:rsidR="00BB2CB4" w:rsidRPr="00222C32" w:rsidRDefault="000674DA">
            <w:pPr>
              <w:pStyle w:val="MeasureTableYearHeadings"/>
              <w:keepNext/>
            </w:pPr>
            <w:r w:rsidRPr="00222C32">
              <w:t>2028-29</w:t>
            </w:r>
          </w:p>
        </w:tc>
      </w:tr>
      <w:tr w:rsidR="00BB2CB4" w:rsidRPr="00222C32" w14:paraId="5DC54EE9" w14:textId="77777777" w:rsidTr="00825163">
        <w:trPr>
          <w:cantSplit/>
        </w:trPr>
        <w:tc>
          <w:tcPr>
            <w:tcW w:w="2501" w:type="dxa"/>
            <w:tcBorders>
              <w:top w:val="single" w:sz="4" w:space="0" w:color="293F5B"/>
              <w:bottom w:val="single" w:sz="4" w:space="0" w:color="293F5B"/>
            </w:tcBorders>
          </w:tcPr>
          <w:p w14:paraId="23707A7F" w14:textId="77777777" w:rsidR="00BB2CB4" w:rsidRPr="00222C32" w:rsidRDefault="000674DA">
            <w:pPr>
              <w:pStyle w:val="MeasureTableHeadingleftalignedwith2ptsspacing"/>
              <w:keepNext/>
            </w:pPr>
            <w:r w:rsidRPr="00222C32">
              <w:t>Australian Broadcasting Corporation</w:t>
            </w:r>
          </w:p>
        </w:tc>
        <w:tc>
          <w:tcPr>
            <w:tcW w:w="1044" w:type="dxa"/>
            <w:tcBorders>
              <w:top w:val="single" w:sz="4" w:space="0" w:color="293F5B"/>
              <w:bottom w:val="single" w:sz="4" w:space="0" w:color="293F5B"/>
            </w:tcBorders>
          </w:tcPr>
          <w:p w14:paraId="2D18246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38EA6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84E4E8" w14:textId="77777777" w:rsidR="00BB2CB4" w:rsidRPr="00222C32" w:rsidRDefault="000674DA">
            <w:pPr>
              <w:pStyle w:val="MeasureTableDataRightAlignedwith2ptsspacing"/>
              <w:keepNext/>
            </w:pPr>
            <w:r w:rsidRPr="00222C32">
              <w:t>16.7</w:t>
            </w:r>
          </w:p>
        </w:tc>
        <w:tc>
          <w:tcPr>
            <w:tcW w:w="1044" w:type="dxa"/>
            <w:tcBorders>
              <w:top w:val="single" w:sz="4" w:space="0" w:color="293F5B"/>
              <w:bottom w:val="single" w:sz="4" w:space="0" w:color="293F5B"/>
            </w:tcBorders>
          </w:tcPr>
          <w:p w14:paraId="014E6550" w14:textId="77777777" w:rsidR="00BB2CB4" w:rsidRPr="00222C32" w:rsidRDefault="000674DA">
            <w:pPr>
              <w:pStyle w:val="MeasureTableDataRightAlignedwith2ptsspacing"/>
              <w:keepNext/>
            </w:pPr>
            <w:r w:rsidRPr="00222C32">
              <w:t>16.7</w:t>
            </w:r>
          </w:p>
        </w:tc>
        <w:tc>
          <w:tcPr>
            <w:tcW w:w="1044" w:type="dxa"/>
            <w:tcBorders>
              <w:top w:val="single" w:sz="4" w:space="0" w:color="293F5B"/>
              <w:bottom w:val="single" w:sz="4" w:space="0" w:color="293F5B"/>
            </w:tcBorders>
          </w:tcPr>
          <w:p w14:paraId="3791570D" w14:textId="77777777" w:rsidR="00BB2CB4" w:rsidRPr="00222C32" w:rsidRDefault="000674DA">
            <w:pPr>
              <w:pStyle w:val="MeasureTableDataRightAlignedwith2ptsspacing"/>
              <w:keepNext/>
            </w:pPr>
            <w:r w:rsidRPr="00222C32">
              <w:t>16.7</w:t>
            </w:r>
          </w:p>
        </w:tc>
      </w:tr>
    </w:tbl>
    <w:p w14:paraId="5891CE7D" w14:textId="77777777" w:rsidR="003452B3" w:rsidRDefault="003452B3" w:rsidP="003452B3">
      <w:pPr>
        <w:pStyle w:val="SingleParagraph"/>
      </w:pPr>
    </w:p>
    <w:p w14:paraId="10F1E320" w14:textId="6B81E11F" w:rsidR="00BB2CB4" w:rsidRDefault="000674DA">
      <w:pPr>
        <w:pStyle w:val="Normal2"/>
      </w:pPr>
      <w:r>
        <w:t>The Government will provide $50.0 million over three years from 2026–‍27 to the Australian Broadcasting Corporation to support the production of Australian children</w:t>
      </w:r>
      <w:r w:rsidR="00222C32">
        <w:t>’</w:t>
      </w:r>
      <w:r>
        <w:t>s and drama content.</w:t>
      </w:r>
    </w:p>
    <w:p w14:paraId="2AA2F80D" w14:textId="77777777" w:rsidR="00BB2CB4" w:rsidRDefault="000674DA">
      <w:pPr>
        <w:pStyle w:val="Normal2"/>
      </w:pPr>
      <w:r>
        <w:t xml:space="preserve">This measure builds on the 2023–‍24 Budget measure titled </w:t>
      </w:r>
      <w:r w:rsidRPr="000674DA">
        <w:rPr>
          <w:i/>
        </w:rPr>
        <w:t>Revive – National Cultural Policy and Location Incentive.</w:t>
      </w:r>
    </w:p>
    <w:p w14:paraId="4912D1C1" w14:textId="77777777" w:rsidR="00BB2CB4" w:rsidRDefault="000674DA">
      <w:pPr>
        <w:pStyle w:val="MeasureTitle"/>
      </w:pPr>
      <w:r>
        <w:t>Building a Better Future Through Considered Infrastructure Investment</w:t>
      </w:r>
    </w:p>
    <w:p w14:paraId="7205BA7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E25D9F3" w14:textId="77777777" w:rsidTr="00825163">
        <w:trPr>
          <w:cantSplit/>
        </w:trPr>
        <w:tc>
          <w:tcPr>
            <w:tcW w:w="2501" w:type="dxa"/>
            <w:tcBorders>
              <w:top w:val="single" w:sz="4" w:space="0" w:color="293F5B"/>
              <w:bottom w:val="single" w:sz="4" w:space="0" w:color="293F5B"/>
            </w:tcBorders>
          </w:tcPr>
          <w:p w14:paraId="60CE7F6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CF98FAA"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D096E6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DDC88B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07653B1"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675540A" w14:textId="77777777" w:rsidR="00BB2CB4" w:rsidRPr="00222C32" w:rsidRDefault="000674DA">
            <w:pPr>
              <w:pStyle w:val="MeasureTableYearHeadings"/>
              <w:keepNext/>
            </w:pPr>
            <w:r w:rsidRPr="00222C32">
              <w:t>2028-29</w:t>
            </w:r>
          </w:p>
        </w:tc>
      </w:tr>
      <w:tr w:rsidR="00BB2CB4" w:rsidRPr="00222C32" w14:paraId="7769C793" w14:textId="77777777" w:rsidTr="00825163">
        <w:trPr>
          <w:cantSplit/>
        </w:trPr>
        <w:tc>
          <w:tcPr>
            <w:tcW w:w="2501" w:type="dxa"/>
            <w:tcBorders>
              <w:top w:val="single" w:sz="4" w:space="0" w:color="293F5B"/>
              <w:bottom w:val="single" w:sz="4" w:space="0" w:color="293F5B"/>
            </w:tcBorders>
          </w:tcPr>
          <w:p w14:paraId="3D272E2C"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323213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5BEA6B5" w14:textId="77777777" w:rsidR="00BB2CB4" w:rsidRPr="00222C32" w:rsidRDefault="000674DA">
            <w:pPr>
              <w:pStyle w:val="MeasureTableDataRightAlignedwith2ptsspacing"/>
              <w:keepNext/>
            </w:pPr>
            <w:r w:rsidRPr="00222C32">
              <w:t>147.9</w:t>
            </w:r>
          </w:p>
        </w:tc>
        <w:tc>
          <w:tcPr>
            <w:tcW w:w="1044" w:type="dxa"/>
            <w:tcBorders>
              <w:top w:val="single" w:sz="4" w:space="0" w:color="293F5B"/>
              <w:bottom w:val="single" w:sz="4" w:space="0" w:color="293F5B"/>
            </w:tcBorders>
          </w:tcPr>
          <w:p w14:paraId="4E0E322A" w14:textId="77777777" w:rsidR="00BB2CB4" w:rsidRPr="00222C32" w:rsidRDefault="000674DA">
            <w:pPr>
              <w:pStyle w:val="MeasureTableDataRightAlignedwith2ptsspacing"/>
              <w:keepNext/>
            </w:pPr>
            <w:r w:rsidRPr="00222C32">
              <w:t>87.5</w:t>
            </w:r>
          </w:p>
        </w:tc>
        <w:tc>
          <w:tcPr>
            <w:tcW w:w="1044" w:type="dxa"/>
            <w:tcBorders>
              <w:top w:val="single" w:sz="4" w:space="0" w:color="293F5B"/>
              <w:bottom w:val="single" w:sz="4" w:space="0" w:color="293F5B"/>
            </w:tcBorders>
          </w:tcPr>
          <w:p w14:paraId="11A748E2" w14:textId="77777777" w:rsidR="00BB2CB4" w:rsidRPr="00222C32" w:rsidRDefault="000674DA">
            <w:pPr>
              <w:pStyle w:val="MeasureTableDataRightAlignedwith2ptsspacing"/>
              <w:keepNext/>
            </w:pPr>
            <w:r w:rsidRPr="00222C32">
              <w:t>175.3</w:t>
            </w:r>
          </w:p>
        </w:tc>
        <w:tc>
          <w:tcPr>
            <w:tcW w:w="1044" w:type="dxa"/>
            <w:tcBorders>
              <w:top w:val="single" w:sz="4" w:space="0" w:color="293F5B"/>
              <w:bottom w:val="single" w:sz="4" w:space="0" w:color="293F5B"/>
            </w:tcBorders>
          </w:tcPr>
          <w:p w14:paraId="59A3AE7D" w14:textId="77777777" w:rsidR="00BB2CB4" w:rsidRPr="00222C32" w:rsidRDefault="000674DA">
            <w:pPr>
              <w:pStyle w:val="MeasureTableDataRightAlignedwith2ptsspacing"/>
              <w:keepNext/>
            </w:pPr>
            <w:r w:rsidRPr="00222C32">
              <w:t>160.6</w:t>
            </w:r>
          </w:p>
        </w:tc>
      </w:tr>
      <w:tr w:rsidR="00BB2CB4" w:rsidRPr="00222C32" w14:paraId="15BCC355" w14:textId="77777777" w:rsidTr="00825163">
        <w:trPr>
          <w:cantSplit/>
        </w:trPr>
        <w:tc>
          <w:tcPr>
            <w:tcW w:w="2501" w:type="dxa"/>
            <w:tcBorders>
              <w:top w:val="single" w:sz="4" w:space="0" w:color="293F5B"/>
              <w:bottom w:val="single" w:sz="4" w:space="0" w:color="293F5B"/>
            </w:tcBorders>
          </w:tcPr>
          <w:p w14:paraId="301A4E43"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7C391D8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62FB9C9" w14:textId="77777777" w:rsidR="00BB2CB4" w:rsidRPr="00222C32" w:rsidRDefault="000674DA">
            <w:pPr>
              <w:pStyle w:val="MeasureTableDataRightAlignedwith2ptsspacing"/>
              <w:keepNext/>
            </w:pPr>
            <w:r w:rsidRPr="00222C32">
              <w:t>2.5</w:t>
            </w:r>
          </w:p>
        </w:tc>
        <w:tc>
          <w:tcPr>
            <w:tcW w:w="1044" w:type="dxa"/>
            <w:tcBorders>
              <w:top w:val="single" w:sz="4" w:space="0" w:color="293F5B"/>
              <w:bottom w:val="single" w:sz="4" w:space="0" w:color="293F5B"/>
            </w:tcBorders>
          </w:tcPr>
          <w:p w14:paraId="5FF72EC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8C9A10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A33F14B" w14:textId="77777777" w:rsidR="00BB2CB4" w:rsidRPr="00222C32" w:rsidRDefault="000674DA">
            <w:pPr>
              <w:pStyle w:val="MeasureTableDataRightAlignedwith2ptsspacing"/>
              <w:keepNext/>
            </w:pPr>
            <w:r w:rsidRPr="00222C32">
              <w:t>-</w:t>
            </w:r>
          </w:p>
        </w:tc>
      </w:tr>
      <w:tr w:rsidR="00BB2CB4" w:rsidRPr="00222C32" w14:paraId="2E951A25" w14:textId="77777777" w:rsidTr="00825163">
        <w:trPr>
          <w:cantSplit/>
        </w:trPr>
        <w:tc>
          <w:tcPr>
            <w:tcW w:w="2501" w:type="dxa"/>
            <w:tcBorders>
              <w:top w:val="single" w:sz="4" w:space="0" w:color="293F5B"/>
              <w:bottom w:val="single" w:sz="4" w:space="0" w:color="293F5B"/>
            </w:tcBorders>
          </w:tcPr>
          <w:p w14:paraId="059E5BBD"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27321C8E"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87E4495" w14:textId="77777777" w:rsidR="00BB2CB4" w:rsidRPr="00222C32" w:rsidRDefault="000674DA">
            <w:pPr>
              <w:pStyle w:val="Totaldatarowrightaligned"/>
              <w:keepNext/>
            </w:pPr>
            <w:r w:rsidRPr="00222C32">
              <w:t>150.4</w:t>
            </w:r>
          </w:p>
        </w:tc>
        <w:tc>
          <w:tcPr>
            <w:tcW w:w="1044" w:type="dxa"/>
            <w:tcBorders>
              <w:top w:val="single" w:sz="4" w:space="0" w:color="293F5B"/>
              <w:bottom w:val="single" w:sz="4" w:space="0" w:color="293F5B"/>
            </w:tcBorders>
          </w:tcPr>
          <w:p w14:paraId="2F19EF88" w14:textId="77777777" w:rsidR="00BB2CB4" w:rsidRPr="00222C32" w:rsidRDefault="000674DA">
            <w:pPr>
              <w:pStyle w:val="Totaldatarowrightaligned"/>
              <w:keepNext/>
            </w:pPr>
            <w:r w:rsidRPr="00222C32">
              <w:t>87.5</w:t>
            </w:r>
          </w:p>
        </w:tc>
        <w:tc>
          <w:tcPr>
            <w:tcW w:w="1044" w:type="dxa"/>
            <w:tcBorders>
              <w:top w:val="single" w:sz="4" w:space="0" w:color="293F5B"/>
              <w:bottom w:val="single" w:sz="4" w:space="0" w:color="293F5B"/>
            </w:tcBorders>
          </w:tcPr>
          <w:p w14:paraId="1107015C" w14:textId="77777777" w:rsidR="00BB2CB4" w:rsidRPr="00222C32" w:rsidRDefault="000674DA">
            <w:pPr>
              <w:pStyle w:val="Totaldatarowrightaligned"/>
              <w:keepNext/>
            </w:pPr>
            <w:r w:rsidRPr="00222C32">
              <w:t>175.3</w:t>
            </w:r>
          </w:p>
        </w:tc>
        <w:tc>
          <w:tcPr>
            <w:tcW w:w="1044" w:type="dxa"/>
            <w:tcBorders>
              <w:top w:val="single" w:sz="4" w:space="0" w:color="293F5B"/>
              <w:bottom w:val="single" w:sz="4" w:space="0" w:color="293F5B"/>
            </w:tcBorders>
          </w:tcPr>
          <w:p w14:paraId="54CBEECD" w14:textId="77777777" w:rsidR="00BB2CB4" w:rsidRPr="00222C32" w:rsidRDefault="000674DA">
            <w:pPr>
              <w:pStyle w:val="Totaldatarowrightaligned"/>
              <w:keepNext/>
            </w:pPr>
            <w:r w:rsidRPr="00222C32">
              <w:t>160.6</w:t>
            </w:r>
          </w:p>
        </w:tc>
      </w:tr>
    </w:tbl>
    <w:p w14:paraId="7D7D1D9D" w14:textId="77777777" w:rsidR="003452B3" w:rsidRDefault="003452B3" w:rsidP="003452B3">
      <w:pPr>
        <w:pStyle w:val="SingleParagraph"/>
      </w:pPr>
    </w:p>
    <w:p w14:paraId="392195AA" w14:textId="77777777" w:rsidR="00BB2CB4" w:rsidRDefault="000674DA">
      <w:pPr>
        <w:pStyle w:val="Normal2"/>
      </w:pPr>
      <w:r w:rsidRPr="42F5CE43">
        <w:rPr>
          <w:lang w:val="en-US"/>
        </w:rPr>
        <w:t>The Government will provide $1.1 billion over seven years from 2025–‍26 for road and rail infrastructure priorities to support productivity and jobs. Funding includes:</w:t>
      </w:r>
    </w:p>
    <w:p w14:paraId="5877756B" w14:textId="4C9F4DE9" w:rsidR="00BB2CB4" w:rsidRDefault="000674DA">
      <w:pPr>
        <w:pStyle w:val="Bullet"/>
      </w:pPr>
      <w:r>
        <w:t xml:space="preserve">$656.3 million over seven years from 2025–‍26 for existing Infrastructure Investment </w:t>
      </w:r>
      <w:r w:rsidR="00171442">
        <w:t>P</w:t>
      </w:r>
      <w:r>
        <w:t>rogram (IIP) projects, including:</w:t>
      </w:r>
    </w:p>
    <w:p w14:paraId="79E081D4" w14:textId="77777777" w:rsidR="00BB2CB4" w:rsidRDefault="000674DA">
      <w:pPr>
        <w:pStyle w:val="Dash"/>
      </w:pPr>
      <w:r>
        <w:t>$237.0 million for Stage 1 of the Coomera Connector (Coomera to Nerang) and $37.7 million for Peninsula Developmental Road in Queensland</w:t>
      </w:r>
    </w:p>
    <w:p w14:paraId="34E19ACD" w14:textId="77777777" w:rsidR="00BB2CB4" w:rsidRDefault="000674DA">
      <w:pPr>
        <w:pStyle w:val="Dash"/>
      </w:pPr>
      <w:r>
        <w:t>$105.0 million for Stage 1 of the High Productivity Vehicle Network in South Australia</w:t>
      </w:r>
    </w:p>
    <w:p w14:paraId="4DFC7CD1" w14:textId="77777777" w:rsidR="00BB2CB4" w:rsidRDefault="000674DA">
      <w:pPr>
        <w:pStyle w:val="Dash"/>
      </w:pPr>
      <w:r>
        <w:t>$54.4 million for the Pacific Highway – Wyong Town Centre and $38.9 million for the Medlow Bath Upgrade in New South Wales</w:t>
      </w:r>
    </w:p>
    <w:p w14:paraId="6A4D4FAA" w14:textId="77777777" w:rsidR="00BB2CB4" w:rsidRDefault="000674DA">
      <w:pPr>
        <w:pStyle w:val="Dash"/>
      </w:pPr>
      <w:r>
        <w:t>$48.8 million for the Toodyay Road Upgrade – Dryandra to Toodyay and $40.0 million for the Tonkin Highway Interchanges in Western Australia</w:t>
      </w:r>
    </w:p>
    <w:p w14:paraId="32F6229F" w14:textId="77777777" w:rsidR="00BB2CB4" w:rsidRDefault="000674DA">
      <w:pPr>
        <w:pStyle w:val="Dash"/>
      </w:pPr>
      <w:r>
        <w:t>$3.4 million for the Ballan Road Intersection Upgrade, Wyndham Vale in Victoria</w:t>
      </w:r>
    </w:p>
    <w:p w14:paraId="279AFCE3" w14:textId="77777777" w:rsidR="00BB2CB4" w:rsidRDefault="000674DA">
      <w:pPr>
        <w:pStyle w:val="Dash"/>
      </w:pPr>
      <w:r>
        <w:t>$2.0 million for Carpentaria Highway strengthening and widening in the Northern Territory</w:t>
      </w:r>
    </w:p>
    <w:p w14:paraId="7FE4631B" w14:textId="77777777" w:rsidR="00BB2CB4" w:rsidRDefault="000674DA">
      <w:pPr>
        <w:pStyle w:val="Bullet"/>
      </w:pPr>
      <w:r>
        <w:lastRenderedPageBreak/>
        <w:t>$487.5 million over six years from 2025–‍26 for new IIP projects. Funding includes:</w:t>
      </w:r>
    </w:p>
    <w:p w14:paraId="77BB106C" w14:textId="77777777" w:rsidR="00BB2CB4" w:rsidRDefault="000674DA">
      <w:pPr>
        <w:pStyle w:val="Dash"/>
      </w:pPr>
      <w:r>
        <w:t>$200.0 million to upgrade Windsor Road and $20.0 million to plan future upgrades along Old Windsor Road in New South Wales</w:t>
      </w:r>
    </w:p>
    <w:p w14:paraId="5E71E4C3" w14:textId="77777777" w:rsidR="00BB2CB4" w:rsidRDefault="000674DA">
      <w:pPr>
        <w:pStyle w:val="Dash"/>
      </w:pPr>
      <w:r>
        <w:t>$200.0 million for the Amberley Road Upgrade on the Cunningham Highway in Queensland</w:t>
      </w:r>
    </w:p>
    <w:p w14:paraId="5261EB79" w14:textId="77777777" w:rsidR="00BB2CB4" w:rsidRDefault="000674DA">
      <w:pPr>
        <w:pStyle w:val="Dash"/>
      </w:pPr>
      <w:r>
        <w:t>$60.0 million to expand the Swan River ferry network in Western Australia</w:t>
      </w:r>
    </w:p>
    <w:p w14:paraId="11936A9C" w14:textId="77777777" w:rsidR="00BB2CB4" w:rsidRDefault="000674DA">
      <w:pPr>
        <w:pStyle w:val="Dash"/>
      </w:pPr>
      <w:r>
        <w:t>$5.0 million for Avalon Airport Road Upgrades planning in Victoria</w:t>
      </w:r>
    </w:p>
    <w:p w14:paraId="5F6D9A7E" w14:textId="77777777" w:rsidR="00BB2CB4" w:rsidRDefault="000674DA">
      <w:pPr>
        <w:pStyle w:val="Dash"/>
      </w:pPr>
      <w:r>
        <w:t>$2.5 million for the Australian Rail Track Corporation to undertake a feasibility study on the Western Australia Freight Rail network.</w:t>
      </w:r>
    </w:p>
    <w:p w14:paraId="0ACCB9FB" w14:textId="77777777" w:rsidR="00BB2CB4" w:rsidRDefault="000674DA">
      <w:pPr>
        <w:pStyle w:val="Normal2"/>
      </w:pPr>
      <w:r>
        <w:t>The cost of this measure will be partially met from existing funding for the IIP.</w:t>
      </w:r>
    </w:p>
    <w:p w14:paraId="6B077C5E" w14:textId="77777777" w:rsidR="00BB2CB4" w:rsidRDefault="000674DA">
      <w:pPr>
        <w:pStyle w:val="Normal2"/>
      </w:pPr>
      <w:r>
        <w:t>The Treasury manages Commonwealth payments to the states and territories.</w:t>
      </w:r>
    </w:p>
    <w:p w14:paraId="193B061B" w14:textId="77777777" w:rsidR="00BB2CB4" w:rsidRDefault="000674DA">
      <w:pPr>
        <w:pStyle w:val="Normal2"/>
      </w:pPr>
      <w:r>
        <w:t xml:space="preserve">This measure builds on the 2025–‍26 Budget measure titled </w:t>
      </w:r>
      <w:r w:rsidRPr="000674DA">
        <w:rPr>
          <w:i/>
        </w:rPr>
        <w:t>Building a Better Future Through Considered Infrastructure Investment</w:t>
      </w:r>
      <w:r>
        <w:t>.</w:t>
      </w:r>
    </w:p>
    <w:p w14:paraId="0865F947" w14:textId="167CC222"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4B18C680" w14:textId="77777777" w:rsidR="00BB2CB4" w:rsidRDefault="000674DA">
      <w:pPr>
        <w:pStyle w:val="MeasureTitle"/>
      </w:pPr>
      <w:r>
        <w:t>Further Commitments Under the National Cultural Policy – Revive</w:t>
      </w:r>
    </w:p>
    <w:p w14:paraId="1083EEB3"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0095563" w14:textId="77777777" w:rsidTr="00825163">
        <w:trPr>
          <w:cantSplit/>
        </w:trPr>
        <w:tc>
          <w:tcPr>
            <w:tcW w:w="2501" w:type="dxa"/>
            <w:tcBorders>
              <w:top w:val="single" w:sz="4" w:space="0" w:color="293F5B"/>
              <w:bottom w:val="single" w:sz="4" w:space="0" w:color="293F5B"/>
            </w:tcBorders>
          </w:tcPr>
          <w:p w14:paraId="3069067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82A015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E820E9F"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E779D1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DD23F17"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5CB36FD" w14:textId="77777777" w:rsidR="00BB2CB4" w:rsidRPr="00222C32" w:rsidRDefault="000674DA">
            <w:pPr>
              <w:pStyle w:val="MeasureTableYearHeadings"/>
              <w:keepNext/>
            </w:pPr>
            <w:r w:rsidRPr="00222C32">
              <w:t>2028-29</w:t>
            </w:r>
          </w:p>
        </w:tc>
      </w:tr>
      <w:tr w:rsidR="00BB2CB4" w:rsidRPr="00222C32" w14:paraId="1EC4FDD9" w14:textId="77777777" w:rsidTr="00825163">
        <w:trPr>
          <w:cantSplit/>
        </w:trPr>
        <w:tc>
          <w:tcPr>
            <w:tcW w:w="2501" w:type="dxa"/>
            <w:tcBorders>
              <w:top w:val="single" w:sz="4" w:space="0" w:color="293F5B"/>
              <w:bottom w:val="single" w:sz="4" w:space="0" w:color="293F5B"/>
            </w:tcBorders>
          </w:tcPr>
          <w:p w14:paraId="211D89C3"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053ACCA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CA72E5" w14:textId="77777777" w:rsidR="00BB2CB4" w:rsidRPr="00222C32" w:rsidRDefault="000674DA">
            <w:pPr>
              <w:pStyle w:val="MeasureTableDataRightAlignedwith2ptsspacing"/>
              <w:keepNext/>
            </w:pPr>
            <w:r w:rsidRPr="00222C32">
              <w:t>30.0</w:t>
            </w:r>
          </w:p>
        </w:tc>
        <w:tc>
          <w:tcPr>
            <w:tcW w:w="1044" w:type="dxa"/>
            <w:tcBorders>
              <w:top w:val="single" w:sz="4" w:space="0" w:color="293F5B"/>
              <w:bottom w:val="single" w:sz="4" w:space="0" w:color="293F5B"/>
            </w:tcBorders>
          </w:tcPr>
          <w:p w14:paraId="60A68C90" w14:textId="77777777" w:rsidR="00BB2CB4" w:rsidRPr="00222C32" w:rsidRDefault="000674DA">
            <w:pPr>
              <w:pStyle w:val="MeasureTableDataRightAlignedwith2ptsspacing"/>
              <w:keepNext/>
            </w:pPr>
            <w:r w:rsidRPr="00222C32">
              <w:t>25.0</w:t>
            </w:r>
          </w:p>
        </w:tc>
        <w:tc>
          <w:tcPr>
            <w:tcW w:w="1044" w:type="dxa"/>
            <w:tcBorders>
              <w:top w:val="single" w:sz="4" w:space="0" w:color="293F5B"/>
              <w:bottom w:val="single" w:sz="4" w:space="0" w:color="293F5B"/>
            </w:tcBorders>
          </w:tcPr>
          <w:p w14:paraId="706B5430" w14:textId="77777777" w:rsidR="00BB2CB4" w:rsidRPr="00222C32" w:rsidRDefault="000674DA">
            <w:pPr>
              <w:pStyle w:val="MeasureTableDataRightAlignedwith2ptsspacing"/>
              <w:keepNext/>
            </w:pPr>
            <w:r w:rsidRPr="00222C32">
              <w:t>25.0</w:t>
            </w:r>
          </w:p>
        </w:tc>
        <w:tc>
          <w:tcPr>
            <w:tcW w:w="1044" w:type="dxa"/>
            <w:tcBorders>
              <w:top w:val="single" w:sz="4" w:space="0" w:color="293F5B"/>
              <w:bottom w:val="single" w:sz="4" w:space="0" w:color="293F5B"/>
            </w:tcBorders>
          </w:tcPr>
          <w:p w14:paraId="6089BA82" w14:textId="77777777" w:rsidR="00BB2CB4" w:rsidRPr="00222C32" w:rsidRDefault="000674DA">
            <w:pPr>
              <w:pStyle w:val="MeasureTableDataRightAlignedwith2ptsspacing"/>
              <w:keepNext/>
            </w:pPr>
            <w:r w:rsidRPr="00222C32">
              <w:t>15.0</w:t>
            </w:r>
          </w:p>
        </w:tc>
      </w:tr>
      <w:tr w:rsidR="00BB2CB4" w:rsidRPr="00222C32" w14:paraId="75C92350" w14:textId="77777777" w:rsidTr="00825163">
        <w:trPr>
          <w:cantSplit/>
        </w:trPr>
        <w:tc>
          <w:tcPr>
            <w:tcW w:w="2501" w:type="dxa"/>
            <w:tcBorders>
              <w:top w:val="single" w:sz="4" w:space="0" w:color="293F5B"/>
              <w:bottom w:val="single" w:sz="4" w:space="0" w:color="293F5B"/>
            </w:tcBorders>
          </w:tcPr>
          <w:p w14:paraId="064B2189"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0B5244F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E2D4492" w14:textId="77777777" w:rsidR="00BB2CB4" w:rsidRPr="00222C32" w:rsidRDefault="000674DA">
            <w:pPr>
              <w:pStyle w:val="MeasureTableDataRightAlignedwith2ptsspacing"/>
              <w:keepNext/>
            </w:pPr>
            <w:r w:rsidRPr="00222C32">
              <w:t>8.8</w:t>
            </w:r>
          </w:p>
        </w:tc>
        <w:tc>
          <w:tcPr>
            <w:tcW w:w="1044" w:type="dxa"/>
            <w:tcBorders>
              <w:top w:val="single" w:sz="4" w:space="0" w:color="293F5B"/>
              <w:bottom w:val="single" w:sz="4" w:space="0" w:color="293F5B"/>
            </w:tcBorders>
          </w:tcPr>
          <w:p w14:paraId="59AC8AC0" w14:textId="77777777" w:rsidR="00BB2CB4" w:rsidRPr="00222C32" w:rsidRDefault="000674DA">
            <w:pPr>
              <w:pStyle w:val="MeasureTableDataRightAlignedwith2ptsspacing"/>
              <w:keepNext/>
            </w:pPr>
            <w:r w:rsidRPr="00222C32">
              <w:t>16.5</w:t>
            </w:r>
          </w:p>
        </w:tc>
        <w:tc>
          <w:tcPr>
            <w:tcW w:w="1044" w:type="dxa"/>
            <w:tcBorders>
              <w:top w:val="single" w:sz="4" w:space="0" w:color="293F5B"/>
              <w:bottom w:val="single" w:sz="4" w:space="0" w:color="293F5B"/>
            </w:tcBorders>
          </w:tcPr>
          <w:p w14:paraId="4B53CF60" w14:textId="77777777" w:rsidR="00BB2CB4" w:rsidRPr="00222C32" w:rsidRDefault="000674DA">
            <w:pPr>
              <w:pStyle w:val="MeasureTableDataRightAlignedwith2ptsspacing"/>
              <w:keepNext/>
            </w:pPr>
            <w:r w:rsidRPr="00222C32">
              <w:t>4.0</w:t>
            </w:r>
          </w:p>
        </w:tc>
        <w:tc>
          <w:tcPr>
            <w:tcW w:w="1044" w:type="dxa"/>
            <w:tcBorders>
              <w:top w:val="single" w:sz="4" w:space="0" w:color="293F5B"/>
              <w:bottom w:val="single" w:sz="4" w:space="0" w:color="293F5B"/>
            </w:tcBorders>
          </w:tcPr>
          <w:p w14:paraId="694777BB" w14:textId="77777777" w:rsidR="00BB2CB4" w:rsidRPr="00222C32" w:rsidRDefault="000674DA">
            <w:pPr>
              <w:pStyle w:val="MeasureTableDataRightAlignedwith2ptsspacing"/>
              <w:keepNext/>
            </w:pPr>
            <w:r w:rsidRPr="00222C32">
              <w:t>-</w:t>
            </w:r>
          </w:p>
        </w:tc>
      </w:tr>
      <w:tr w:rsidR="00BB2CB4" w:rsidRPr="00222C32" w14:paraId="18AD7AE2" w14:textId="77777777" w:rsidTr="00825163">
        <w:trPr>
          <w:cantSplit/>
        </w:trPr>
        <w:tc>
          <w:tcPr>
            <w:tcW w:w="2501" w:type="dxa"/>
            <w:tcBorders>
              <w:top w:val="single" w:sz="4" w:space="0" w:color="293F5B"/>
              <w:bottom w:val="single" w:sz="4" w:space="0" w:color="293F5B"/>
            </w:tcBorders>
          </w:tcPr>
          <w:p w14:paraId="405CA0DC"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C93E7D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1332896" w14:textId="77777777" w:rsidR="00BB2CB4" w:rsidRPr="00222C32" w:rsidRDefault="000674DA">
            <w:pPr>
              <w:pStyle w:val="Totaldatarowrightaligned"/>
              <w:keepNext/>
            </w:pPr>
            <w:r w:rsidRPr="00222C32">
              <w:t>38.8</w:t>
            </w:r>
          </w:p>
        </w:tc>
        <w:tc>
          <w:tcPr>
            <w:tcW w:w="1044" w:type="dxa"/>
            <w:tcBorders>
              <w:top w:val="single" w:sz="4" w:space="0" w:color="293F5B"/>
              <w:bottom w:val="single" w:sz="4" w:space="0" w:color="293F5B"/>
            </w:tcBorders>
          </w:tcPr>
          <w:p w14:paraId="72A8BC69" w14:textId="77777777" w:rsidR="00BB2CB4" w:rsidRPr="00222C32" w:rsidRDefault="000674DA">
            <w:pPr>
              <w:pStyle w:val="Totaldatarowrightaligned"/>
              <w:keepNext/>
            </w:pPr>
            <w:r w:rsidRPr="00222C32">
              <w:t>41.5</w:t>
            </w:r>
          </w:p>
        </w:tc>
        <w:tc>
          <w:tcPr>
            <w:tcW w:w="1044" w:type="dxa"/>
            <w:tcBorders>
              <w:top w:val="single" w:sz="4" w:space="0" w:color="293F5B"/>
              <w:bottom w:val="single" w:sz="4" w:space="0" w:color="293F5B"/>
            </w:tcBorders>
          </w:tcPr>
          <w:p w14:paraId="4E50F1A5" w14:textId="77777777" w:rsidR="00BB2CB4" w:rsidRPr="00222C32" w:rsidRDefault="000674DA">
            <w:pPr>
              <w:pStyle w:val="Totaldatarowrightaligned"/>
              <w:keepNext/>
            </w:pPr>
            <w:r w:rsidRPr="00222C32">
              <w:t>29.0</w:t>
            </w:r>
          </w:p>
        </w:tc>
        <w:tc>
          <w:tcPr>
            <w:tcW w:w="1044" w:type="dxa"/>
            <w:tcBorders>
              <w:top w:val="single" w:sz="4" w:space="0" w:color="293F5B"/>
              <w:bottom w:val="single" w:sz="4" w:space="0" w:color="293F5B"/>
            </w:tcBorders>
          </w:tcPr>
          <w:p w14:paraId="12531731" w14:textId="77777777" w:rsidR="00BB2CB4" w:rsidRPr="00222C32" w:rsidRDefault="000674DA">
            <w:pPr>
              <w:pStyle w:val="Totaldatarowrightaligned"/>
              <w:keepNext/>
            </w:pPr>
            <w:r w:rsidRPr="00222C32">
              <w:t>15.0</w:t>
            </w:r>
          </w:p>
        </w:tc>
      </w:tr>
    </w:tbl>
    <w:p w14:paraId="2663AD98" w14:textId="77777777" w:rsidR="003452B3" w:rsidRDefault="003452B3" w:rsidP="003452B3">
      <w:pPr>
        <w:pStyle w:val="SingleParagraph"/>
      </w:pPr>
    </w:p>
    <w:p w14:paraId="6219058D" w14:textId="3B6D3596" w:rsidR="00BB2CB4" w:rsidRDefault="000674DA">
      <w:pPr>
        <w:pStyle w:val="Normal2"/>
      </w:pPr>
      <w:r>
        <w:t>The Government will provide $124.3 million over four years from 2025–‍26 to support Australia</w:t>
      </w:r>
      <w:r w:rsidR="00222C32">
        <w:t>’</w:t>
      </w:r>
      <w:r>
        <w:t>s arts sector. Funding includes:</w:t>
      </w:r>
    </w:p>
    <w:p w14:paraId="74F6DABF" w14:textId="77777777" w:rsidR="00BB2CB4" w:rsidRDefault="000674DA">
      <w:pPr>
        <w:pStyle w:val="Bullet"/>
      </w:pPr>
      <w:r>
        <w:t>$95.0 million over four years from 2025–‍26 to support the delivery of The Fox: National Gallery of Victoria Contemporary building</w:t>
      </w:r>
    </w:p>
    <w:p w14:paraId="3D32BA23" w14:textId="77777777" w:rsidR="00BB2CB4" w:rsidRDefault="000674DA">
      <w:pPr>
        <w:pStyle w:val="Bullet"/>
      </w:pPr>
      <w:r>
        <w:t>$16.4 million over two years from 2025–‍26 to extend the Revive Live program to support Australian live music venues and festivals showcasing Australian bands and artists and improve participation and accessibility at live music performances</w:t>
      </w:r>
    </w:p>
    <w:p w14:paraId="5E1BA828" w14:textId="77777777" w:rsidR="00BB2CB4" w:rsidRDefault="000674DA">
      <w:pPr>
        <w:pStyle w:val="Bullet"/>
      </w:pPr>
      <w:r>
        <w:t>$12.5 million over three years from 2025–‍26 to the Australian National Academy of Music to redevelop its South Melbourne Town Hall premises</w:t>
      </w:r>
    </w:p>
    <w:p w14:paraId="660EDF65" w14:textId="77777777" w:rsidR="00BB2CB4" w:rsidRDefault="000674DA">
      <w:pPr>
        <w:pStyle w:val="Bullet"/>
      </w:pPr>
      <w:r>
        <w:t>$0.4 million in 2025–‍26 to the Hellenic Museum to deliver cultural exhibitions and upgrade its Pavilion space.</w:t>
      </w:r>
    </w:p>
    <w:p w14:paraId="639D0FDD" w14:textId="77777777" w:rsidR="00BB2CB4" w:rsidRDefault="000674DA">
      <w:pPr>
        <w:pStyle w:val="Normal2"/>
      </w:pPr>
      <w:r>
        <w:t>Partial funding for this measure will be held in the Contingency Reserve until final project details are settled.</w:t>
      </w:r>
    </w:p>
    <w:p w14:paraId="1B7679E3" w14:textId="77777777" w:rsidR="00BB2CB4" w:rsidRDefault="000674DA">
      <w:pPr>
        <w:pStyle w:val="Normal2"/>
      </w:pPr>
      <w:r>
        <w:lastRenderedPageBreak/>
        <w:t>The Treasury manages Commonwealth payments to the states and territories.</w:t>
      </w:r>
    </w:p>
    <w:p w14:paraId="2B2EC2D2" w14:textId="77777777" w:rsidR="00BB2CB4" w:rsidRDefault="000674DA">
      <w:pPr>
        <w:pStyle w:val="Normal2"/>
      </w:pPr>
      <w:r>
        <w:t xml:space="preserve">This measure extends the 2025–‍26 Budget measure titled </w:t>
      </w:r>
      <w:r w:rsidRPr="000674DA">
        <w:rPr>
          <w:i/>
        </w:rPr>
        <w:t>Revive – National Cultural Policy</w:t>
      </w:r>
      <w:r>
        <w:t>.</w:t>
      </w:r>
    </w:p>
    <w:p w14:paraId="3BF4C576" w14:textId="4B3047B3"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38480B2C" w14:textId="77777777" w:rsidR="00BB2CB4" w:rsidRDefault="000674DA">
      <w:pPr>
        <w:pStyle w:val="MeasureTitle"/>
      </w:pPr>
      <w:r>
        <w:t>Future of the Northern Australia Infrastructure Facility</w:t>
      </w:r>
    </w:p>
    <w:p w14:paraId="3EE15F8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10E6D2AF" w14:textId="77777777" w:rsidTr="00825163">
        <w:tc>
          <w:tcPr>
            <w:tcW w:w="2501" w:type="dxa"/>
            <w:tcBorders>
              <w:top w:val="single" w:sz="4" w:space="0" w:color="293F5B"/>
              <w:bottom w:val="single" w:sz="4" w:space="0" w:color="293F5B"/>
            </w:tcBorders>
          </w:tcPr>
          <w:p w14:paraId="671A1E32"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0055CC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8C5E8E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B83F9CB"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112DCD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BAE8311" w14:textId="77777777" w:rsidR="00BB2CB4" w:rsidRPr="00222C32" w:rsidRDefault="000674DA">
            <w:pPr>
              <w:pStyle w:val="MeasureTableYearHeadings"/>
              <w:keepNext/>
            </w:pPr>
            <w:r w:rsidRPr="00222C32">
              <w:t>2028-29</w:t>
            </w:r>
          </w:p>
        </w:tc>
      </w:tr>
      <w:tr w:rsidR="00BB2CB4" w:rsidRPr="00222C32" w14:paraId="75E2B36D" w14:textId="77777777" w:rsidTr="00825163">
        <w:tc>
          <w:tcPr>
            <w:tcW w:w="2501" w:type="dxa"/>
            <w:tcBorders>
              <w:top w:val="single" w:sz="4" w:space="0" w:color="293F5B"/>
              <w:bottom w:val="single" w:sz="4" w:space="0" w:color="293F5B"/>
            </w:tcBorders>
          </w:tcPr>
          <w:p w14:paraId="022D3D33" w14:textId="77777777" w:rsidR="00BB2CB4" w:rsidRPr="00222C32" w:rsidRDefault="000674DA">
            <w:pPr>
              <w:pStyle w:val="MeasureTableHeadingleftalignedwith2ptsspacing"/>
              <w:keepNext/>
            </w:pPr>
            <w:r w:rsidRPr="00222C32">
              <w:t>Northern Australia Infrastructure Facility</w:t>
            </w:r>
          </w:p>
        </w:tc>
        <w:tc>
          <w:tcPr>
            <w:tcW w:w="1044" w:type="dxa"/>
            <w:tcBorders>
              <w:top w:val="single" w:sz="4" w:space="0" w:color="293F5B"/>
              <w:bottom w:val="single" w:sz="4" w:space="0" w:color="293F5B"/>
            </w:tcBorders>
          </w:tcPr>
          <w:p w14:paraId="1C9174C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33A4A1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E3A3E7C" w14:textId="77777777" w:rsidR="00BB2CB4" w:rsidRPr="00222C32" w:rsidRDefault="000674DA">
            <w:pPr>
              <w:pStyle w:val="MeasureTableDataRightAlignedwith2ptsspacing"/>
              <w:keepNext/>
            </w:pPr>
            <w:r w:rsidRPr="00222C32">
              <w:t>17.2</w:t>
            </w:r>
          </w:p>
        </w:tc>
        <w:tc>
          <w:tcPr>
            <w:tcW w:w="1044" w:type="dxa"/>
            <w:tcBorders>
              <w:top w:val="single" w:sz="4" w:space="0" w:color="293F5B"/>
              <w:bottom w:val="single" w:sz="4" w:space="0" w:color="293F5B"/>
            </w:tcBorders>
          </w:tcPr>
          <w:p w14:paraId="5B7BEFDD" w14:textId="77777777" w:rsidR="00BB2CB4" w:rsidRPr="00222C32" w:rsidRDefault="000674DA">
            <w:pPr>
              <w:pStyle w:val="MeasureTableDataRightAlignedwith2ptsspacing"/>
              <w:keepNext/>
            </w:pPr>
            <w:r w:rsidRPr="00222C32">
              <w:t>17.3</w:t>
            </w:r>
          </w:p>
        </w:tc>
        <w:tc>
          <w:tcPr>
            <w:tcW w:w="1044" w:type="dxa"/>
            <w:tcBorders>
              <w:top w:val="single" w:sz="4" w:space="0" w:color="293F5B"/>
              <w:bottom w:val="single" w:sz="4" w:space="0" w:color="293F5B"/>
            </w:tcBorders>
          </w:tcPr>
          <w:p w14:paraId="3CADE2CD" w14:textId="77777777" w:rsidR="00BB2CB4" w:rsidRPr="00222C32" w:rsidRDefault="000674DA">
            <w:pPr>
              <w:pStyle w:val="MeasureTableDataRightAlignedwith2ptsspacing"/>
              <w:keepNext/>
            </w:pPr>
            <w:r w:rsidRPr="00222C32">
              <w:t>17.8</w:t>
            </w:r>
          </w:p>
        </w:tc>
      </w:tr>
      <w:tr w:rsidR="00BB2CB4" w:rsidRPr="00222C32" w14:paraId="13EC6E93" w14:textId="77777777" w:rsidTr="00825163">
        <w:tc>
          <w:tcPr>
            <w:tcW w:w="2501" w:type="dxa"/>
            <w:tcBorders>
              <w:top w:val="single" w:sz="4" w:space="0" w:color="293F5B"/>
              <w:bottom w:val="nil"/>
            </w:tcBorders>
          </w:tcPr>
          <w:p w14:paraId="150A5E74"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9D63360" w14:textId="77777777" w:rsidR="00BB2CB4" w:rsidRPr="00222C32" w:rsidRDefault="00BB2CB4">
            <w:pPr>
              <w:pStyle w:val="AgencyName"/>
              <w:keepNext/>
            </w:pPr>
          </w:p>
        </w:tc>
        <w:tc>
          <w:tcPr>
            <w:tcW w:w="1044" w:type="dxa"/>
            <w:tcBorders>
              <w:top w:val="single" w:sz="4" w:space="0" w:color="293F5B"/>
              <w:bottom w:val="nil"/>
            </w:tcBorders>
          </w:tcPr>
          <w:p w14:paraId="397DBC4C" w14:textId="77777777" w:rsidR="00BB2CB4" w:rsidRPr="00222C32" w:rsidRDefault="00BB2CB4">
            <w:pPr>
              <w:pStyle w:val="AgencyName"/>
              <w:keepNext/>
            </w:pPr>
          </w:p>
        </w:tc>
        <w:tc>
          <w:tcPr>
            <w:tcW w:w="1044" w:type="dxa"/>
            <w:tcBorders>
              <w:top w:val="single" w:sz="4" w:space="0" w:color="293F5B"/>
              <w:bottom w:val="nil"/>
            </w:tcBorders>
          </w:tcPr>
          <w:p w14:paraId="27AD81F5" w14:textId="77777777" w:rsidR="00BB2CB4" w:rsidRPr="00222C32" w:rsidRDefault="00BB2CB4">
            <w:pPr>
              <w:pStyle w:val="AgencyName"/>
              <w:keepNext/>
            </w:pPr>
          </w:p>
        </w:tc>
        <w:tc>
          <w:tcPr>
            <w:tcW w:w="1044" w:type="dxa"/>
            <w:tcBorders>
              <w:top w:val="single" w:sz="4" w:space="0" w:color="293F5B"/>
              <w:bottom w:val="nil"/>
            </w:tcBorders>
          </w:tcPr>
          <w:p w14:paraId="465F5F62" w14:textId="77777777" w:rsidR="00BB2CB4" w:rsidRPr="00222C32" w:rsidRDefault="00BB2CB4">
            <w:pPr>
              <w:pStyle w:val="AgencyName"/>
              <w:keepNext/>
            </w:pPr>
          </w:p>
        </w:tc>
        <w:tc>
          <w:tcPr>
            <w:tcW w:w="1044" w:type="dxa"/>
            <w:tcBorders>
              <w:top w:val="single" w:sz="4" w:space="0" w:color="293F5B"/>
              <w:bottom w:val="nil"/>
            </w:tcBorders>
          </w:tcPr>
          <w:p w14:paraId="53DB0219" w14:textId="77777777" w:rsidR="00BB2CB4" w:rsidRPr="00222C32" w:rsidRDefault="00BB2CB4">
            <w:pPr>
              <w:pStyle w:val="AgencyName"/>
              <w:keepNext/>
            </w:pPr>
          </w:p>
        </w:tc>
      </w:tr>
      <w:tr w:rsidR="00BB2CB4" w:rsidRPr="00222C32" w14:paraId="6AC69DFF" w14:textId="77777777" w:rsidTr="00825163">
        <w:tc>
          <w:tcPr>
            <w:tcW w:w="2501" w:type="dxa"/>
            <w:tcBorders>
              <w:top w:val="nil"/>
              <w:bottom w:val="single" w:sz="4" w:space="0" w:color="293F5B"/>
            </w:tcBorders>
          </w:tcPr>
          <w:p w14:paraId="705AA9AF" w14:textId="77777777" w:rsidR="00BB2CB4" w:rsidRPr="00222C32" w:rsidRDefault="000674DA">
            <w:pPr>
              <w:pStyle w:val="AgencyNamewith2ptsspacing"/>
              <w:keepNext/>
            </w:pPr>
            <w:r w:rsidRPr="00222C32">
              <w:t>Department of Infrastructure, Transport, Regional Development, Communications, Sport and the Arts</w:t>
            </w:r>
          </w:p>
        </w:tc>
        <w:tc>
          <w:tcPr>
            <w:tcW w:w="1044" w:type="dxa"/>
            <w:tcBorders>
              <w:top w:val="nil"/>
              <w:bottom w:val="single" w:sz="4" w:space="0" w:color="293F5B"/>
            </w:tcBorders>
          </w:tcPr>
          <w:p w14:paraId="612C85D3"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416D52F"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AFD2444"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C654DBF" w14:textId="77777777" w:rsidR="00BB2CB4" w:rsidRPr="00222C32" w:rsidRDefault="000674DA">
            <w:pPr>
              <w:pStyle w:val="Measuretabledatarightaligneditalics"/>
              <w:keepNext/>
            </w:pPr>
            <w:r w:rsidRPr="00222C32">
              <w:t>0.9</w:t>
            </w:r>
          </w:p>
        </w:tc>
        <w:tc>
          <w:tcPr>
            <w:tcW w:w="1044" w:type="dxa"/>
            <w:tcBorders>
              <w:top w:val="nil"/>
              <w:bottom w:val="single" w:sz="4" w:space="0" w:color="293F5B"/>
            </w:tcBorders>
          </w:tcPr>
          <w:p w14:paraId="35647AC5" w14:textId="77777777" w:rsidR="00BB2CB4" w:rsidRPr="00222C32" w:rsidRDefault="000674DA">
            <w:pPr>
              <w:pStyle w:val="Measuretabledatarightaligneditalics"/>
              <w:keepNext/>
            </w:pPr>
            <w:r w:rsidRPr="00222C32">
              <w:t>5.0</w:t>
            </w:r>
          </w:p>
        </w:tc>
      </w:tr>
    </w:tbl>
    <w:p w14:paraId="21DB3916" w14:textId="77777777" w:rsidR="007A1FDE" w:rsidRDefault="007A1FDE" w:rsidP="007A1FDE">
      <w:pPr>
        <w:pStyle w:val="SingleParagraph"/>
      </w:pPr>
    </w:p>
    <w:p w14:paraId="302A7DED" w14:textId="77777777" w:rsidR="00BB2CB4" w:rsidRDefault="000674DA">
      <w:pPr>
        <w:pStyle w:val="Normal2"/>
      </w:pPr>
      <w:r w:rsidRPr="69C11E82">
        <w:rPr>
          <w:lang w:val="en-US"/>
        </w:rPr>
        <w:t>The Government will provide $52.3 million over three years from 2026–‍27 (and an additional $145.3 million from 2029–‍30 to 2035–‍36) to extend the Northern Australia Infrastructure Facility investment period by 10 years from 30 June 2026 to 30 June 2036.</w:t>
      </w:r>
    </w:p>
    <w:p w14:paraId="692DADFC" w14:textId="77777777" w:rsidR="00BB2CB4" w:rsidRDefault="000674DA">
      <w:pPr>
        <w:pStyle w:val="Normal2"/>
      </w:pPr>
      <w:r w:rsidRPr="69C11E82">
        <w:rPr>
          <w:lang w:val="en-US"/>
        </w:rPr>
        <w:t>The cost of this measure will be met through fees and interest levied on recipients of financial assistance.</w:t>
      </w:r>
    </w:p>
    <w:p w14:paraId="187881ED" w14:textId="77777777" w:rsidR="00BB2CB4" w:rsidRDefault="000674DA">
      <w:pPr>
        <w:pStyle w:val="MeasureTitle"/>
      </w:pPr>
      <w:r>
        <w:t>Investment in Sport</w:t>
      </w:r>
    </w:p>
    <w:p w14:paraId="621D31B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2FDFD8D" w14:textId="77777777" w:rsidTr="00825163">
        <w:trPr>
          <w:cantSplit/>
        </w:trPr>
        <w:tc>
          <w:tcPr>
            <w:tcW w:w="2501" w:type="dxa"/>
            <w:tcBorders>
              <w:top w:val="single" w:sz="4" w:space="0" w:color="293F5B"/>
              <w:bottom w:val="single" w:sz="4" w:space="0" w:color="293F5B"/>
            </w:tcBorders>
          </w:tcPr>
          <w:p w14:paraId="15094AC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08622C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4F05959"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3A08240"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FB19FB3"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3C4876AF" w14:textId="77777777" w:rsidR="00BB2CB4" w:rsidRPr="00222C32" w:rsidRDefault="000674DA">
            <w:pPr>
              <w:pStyle w:val="MeasureTableYearHeadings"/>
              <w:keepNext/>
            </w:pPr>
            <w:r w:rsidRPr="00222C32">
              <w:t>2028-29</w:t>
            </w:r>
          </w:p>
        </w:tc>
      </w:tr>
      <w:tr w:rsidR="00BB2CB4" w:rsidRPr="00222C32" w14:paraId="653035A5" w14:textId="77777777" w:rsidTr="00825163">
        <w:trPr>
          <w:cantSplit/>
        </w:trPr>
        <w:tc>
          <w:tcPr>
            <w:tcW w:w="2501" w:type="dxa"/>
            <w:tcBorders>
              <w:top w:val="single" w:sz="4" w:space="0" w:color="293F5B"/>
              <w:bottom w:val="single" w:sz="4" w:space="0" w:color="293F5B"/>
            </w:tcBorders>
          </w:tcPr>
          <w:p w14:paraId="24F4EC3B"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63175D6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668386" w14:textId="77777777" w:rsidR="00BB2CB4" w:rsidRPr="00222C32" w:rsidRDefault="000674DA">
            <w:pPr>
              <w:pStyle w:val="MeasureTableDataRightAlignedwith2ptsspacing"/>
              <w:keepNext/>
            </w:pPr>
            <w:r w:rsidRPr="00222C32">
              <w:t>5.1</w:t>
            </w:r>
          </w:p>
        </w:tc>
        <w:tc>
          <w:tcPr>
            <w:tcW w:w="1044" w:type="dxa"/>
            <w:tcBorders>
              <w:top w:val="single" w:sz="4" w:space="0" w:color="293F5B"/>
              <w:bottom w:val="single" w:sz="4" w:space="0" w:color="293F5B"/>
            </w:tcBorders>
          </w:tcPr>
          <w:p w14:paraId="01D05605" w14:textId="77777777" w:rsidR="00BB2CB4" w:rsidRPr="00222C32" w:rsidRDefault="000674DA">
            <w:pPr>
              <w:pStyle w:val="MeasureTableDataRightAlignedwith2ptsspacing"/>
              <w:keepNext/>
            </w:pPr>
            <w:r w:rsidRPr="00222C32">
              <w:t>10.1</w:t>
            </w:r>
          </w:p>
        </w:tc>
        <w:tc>
          <w:tcPr>
            <w:tcW w:w="1044" w:type="dxa"/>
            <w:tcBorders>
              <w:top w:val="single" w:sz="4" w:space="0" w:color="293F5B"/>
              <w:bottom w:val="single" w:sz="4" w:space="0" w:color="293F5B"/>
            </w:tcBorders>
          </w:tcPr>
          <w:p w14:paraId="3080A2FB"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51F9549F" w14:textId="77777777" w:rsidR="00BB2CB4" w:rsidRPr="00222C32" w:rsidRDefault="000674DA">
            <w:pPr>
              <w:pStyle w:val="MeasureTableDataRightAlignedwith2ptsspacing"/>
              <w:keepNext/>
            </w:pPr>
            <w:r w:rsidRPr="00222C32">
              <w:t>0.1</w:t>
            </w:r>
          </w:p>
        </w:tc>
      </w:tr>
      <w:tr w:rsidR="00BB2CB4" w:rsidRPr="00222C32" w14:paraId="52813EE3" w14:textId="77777777" w:rsidTr="00825163">
        <w:trPr>
          <w:cantSplit/>
        </w:trPr>
        <w:tc>
          <w:tcPr>
            <w:tcW w:w="2501" w:type="dxa"/>
            <w:tcBorders>
              <w:top w:val="single" w:sz="4" w:space="0" w:color="293F5B"/>
              <w:bottom w:val="single" w:sz="4" w:space="0" w:color="293F5B"/>
            </w:tcBorders>
          </w:tcPr>
          <w:p w14:paraId="0586EBA3"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240A86E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2E56E8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6CF315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5A5158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3788A1" w14:textId="77777777" w:rsidR="00BB2CB4" w:rsidRPr="00222C32" w:rsidRDefault="000674DA">
            <w:pPr>
              <w:pStyle w:val="MeasureTableDataRightAlignedwith2ptsspacing"/>
              <w:keepNext/>
            </w:pPr>
            <w:r w:rsidRPr="00222C32">
              <w:t>-</w:t>
            </w:r>
          </w:p>
        </w:tc>
      </w:tr>
      <w:tr w:rsidR="00BB2CB4" w:rsidRPr="00222C32" w14:paraId="79EEA9AA" w14:textId="77777777" w:rsidTr="00825163">
        <w:trPr>
          <w:cantSplit/>
        </w:trPr>
        <w:tc>
          <w:tcPr>
            <w:tcW w:w="2501" w:type="dxa"/>
            <w:tcBorders>
              <w:top w:val="single" w:sz="4" w:space="0" w:color="293F5B"/>
              <w:bottom w:val="single" w:sz="4" w:space="0" w:color="293F5B"/>
            </w:tcBorders>
          </w:tcPr>
          <w:p w14:paraId="43565F5C" w14:textId="77777777" w:rsidR="00BB2CB4" w:rsidRPr="00222C32" w:rsidRDefault="000674DA">
            <w:pPr>
              <w:pStyle w:val="MeasureTableHeadingleftalignedwith2ptsspacing"/>
              <w:keepNext/>
            </w:pPr>
            <w:r w:rsidRPr="00222C32">
              <w:t>Department of Foreign Affairs and Trade</w:t>
            </w:r>
          </w:p>
        </w:tc>
        <w:tc>
          <w:tcPr>
            <w:tcW w:w="1044" w:type="dxa"/>
            <w:tcBorders>
              <w:top w:val="single" w:sz="4" w:space="0" w:color="293F5B"/>
              <w:bottom w:val="single" w:sz="4" w:space="0" w:color="293F5B"/>
            </w:tcBorders>
          </w:tcPr>
          <w:p w14:paraId="63951E8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C19754" w14:textId="77777777" w:rsidR="00BB2CB4" w:rsidRPr="00222C32" w:rsidRDefault="000674DA">
            <w:pPr>
              <w:pStyle w:val="MeasureTableDataRightAlignedwith2ptsspacing"/>
              <w:keepNext/>
            </w:pPr>
            <w:r w:rsidRPr="00222C32">
              <w:t>-0.5</w:t>
            </w:r>
          </w:p>
        </w:tc>
        <w:tc>
          <w:tcPr>
            <w:tcW w:w="1044" w:type="dxa"/>
            <w:tcBorders>
              <w:top w:val="single" w:sz="4" w:space="0" w:color="293F5B"/>
              <w:bottom w:val="single" w:sz="4" w:space="0" w:color="293F5B"/>
            </w:tcBorders>
          </w:tcPr>
          <w:p w14:paraId="1FD773B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7800E0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6A6D963" w14:textId="77777777" w:rsidR="00BB2CB4" w:rsidRPr="00222C32" w:rsidRDefault="000674DA">
            <w:pPr>
              <w:pStyle w:val="MeasureTableDataRightAlignedwith2ptsspacing"/>
              <w:keepNext/>
            </w:pPr>
            <w:r w:rsidRPr="00222C32">
              <w:t>-</w:t>
            </w:r>
          </w:p>
        </w:tc>
      </w:tr>
      <w:tr w:rsidR="00BB2CB4" w:rsidRPr="00222C32" w14:paraId="4E5E676C" w14:textId="77777777" w:rsidTr="00825163">
        <w:trPr>
          <w:cantSplit/>
        </w:trPr>
        <w:tc>
          <w:tcPr>
            <w:tcW w:w="2501" w:type="dxa"/>
            <w:tcBorders>
              <w:top w:val="single" w:sz="4" w:space="0" w:color="293F5B"/>
              <w:bottom w:val="single" w:sz="4" w:space="0" w:color="293F5B"/>
            </w:tcBorders>
          </w:tcPr>
          <w:p w14:paraId="53EFE4F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352F4AC5"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72543125" w14:textId="77777777" w:rsidR="00BB2CB4" w:rsidRPr="00222C32" w:rsidRDefault="000674DA">
            <w:pPr>
              <w:pStyle w:val="Totaldatarowrightaligned"/>
              <w:keepNext/>
            </w:pPr>
            <w:r w:rsidRPr="00222C32">
              <w:t>4.6</w:t>
            </w:r>
          </w:p>
        </w:tc>
        <w:tc>
          <w:tcPr>
            <w:tcW w:w="1044" w:type="dxa"/>
            <w:tcBorders>
              <w:top w:val="single" w:sz="4" w:space="0" w:color="293F5B"/>
              <w:bottom w:val="single" w:sz="4" w:space="0" w:color="293F5B"/>
            </w:tcBorders>
          </w:tcPr>
          <w:p w14:paraId="22EE4085" w14:textId="77777777" w:rsidR="00BB2CB4" w:rsidRPr="00222C32" w:rsidRDefault="000674DA">
            <w:pPr>
              <w:pStyle w:val="Totaldatarowrightaligned"/>
              <w:keepNext/>
            </w:pPr>
            <w:r w:rsidRPr="00222C32">
              <w:t>10.1</w:t>
            </w:r>
          </w:p>
        </w:tc>
        <w:tc>
          <w:tcPr>
            <w:tcW w:w="1044" w:type="dxa"/>
            <w:tcBorders>
              <w:top w:val="single" w:sz="4" w:space="0" w:color="293F5B"/>
              <w:bottom w:val="single" w:sz="4" w:space="0" w:color="293F5B"/>
            </w:tcBorders>
          </w:tcPr>
          <w:p w14:paraId="292DED55" w14:textId="77777777" w:rsidR="00BB2CB4" w:rsidRPr="00222C32" w:rsidRDefault="000674DA">
            <w:pPr>
              <w:pStyle w:val="Totaldatarowrightaligned"/>
              <w:keepNext/>
            </w:pPr>
            <w:r w:rsidRPr="00222C32">
              <w:t>0.1</w:t>
            </w:r>
          </w:p>
        </w:tc>
        <w:tc>
          <w:tcPr>
            <w:tcW w:w="1044" w:type="dxa"/>
            <w:tcBorders>
              <w:top w:val="single" w:sz="4" w:space="0" w:color="293F5B"/>
              <w:bottom w:val="single" w:sz="4" w:space="0" w:color="293F5B"/>
            </w:tcBorders>
          </w:tcPr>
          <w:p w14:paraId="61F6A680" w14:textId="77777777" w:rsidR="00BB2CB4" w:rsidRPr="00222C32" w:rsidRDefault="000674DA">
            <w:pPr>
              <w:pStyle w:val="Totaldatarowrightaligned"/>
              <w:keepNext/>
            </w:pPr>
            <w:r w:rsidRPr="00222C32">
              <w:t>0.1</w:t>
            </w:r>
          </w:p>
        </w:tc>
      </w:tr>
    </w:tbl>
    <w:p w14:paraId="0294C939" w14:textId="77777777" w:rsidR="007A1FDE" w:rsidRDefault="007A1FDE" w:rsidP="007A1FDE">
      <w:pPr>
        <w:pStyle w:val="SingleParagraph"/>
      </w:pPr>
    </w:p>
    <w:p w14:paraId="5843E141" w14:textId="77777777" w:rsidR="00BB2CB4" w:rsidRDefault="000674DA">
      <w:pPr>
        <w:pStyle w:val="Normal2"/>
      </w:pPr>
      <w:r>
        <w:t>The Government will provide $15.5 million over four years from 2025–‍26 to support high‑performance sport. Funding includes:</w:t>
      </w:r>
    </w:p>
    <w:p w14:paraId="3F255188" w14:textId="3DCF21B0" w:rsidR="00BB2CB4" w:rsidRDefault="000674DA">
      <w:pPr>
        <w:pStyle w:val="Bullet"/>
      </w:pPr>
      <w:r>
        <w:t>$15.0 million over two years from 2025–‍26 to support the construction of the North Queensland Cowboys Community, Development and High‑Performance Centre at West Barlow Park, Cairns to support women and girls</w:t>
      </w:r>
      <w:r w:rsidR="00222C32">
        <w:t>’</w:t>
      </w:r>
      <w:r>
        <w:t xml:space="preserve"> participation in the Rugby League</w:t>
      </w:r>
    </w:p>
    <w:p w14:paraId="15B59CDC" w14:textId="77777777" w:rsidR="00BB2CB4" w:rsidRDefault="000674DA">
      <w:pPr>
        <w:pStyle w:val="Bullet"/>
      </w:pPr>
      <w:r>
        <w:t>$0.5 million over four years from 2025–‍26 to Hockey Victoria to establish the Melbourne Cobras hockey franchise.</w:t>
      </w:r>
    </w:p>
    <w:p w14:paraId="734F5E37" w14:textId="77777777" w:rsidR="00BB2CB4" w:rsidRDefault="000674DA">
      <w:pPr>
        <w:pStyle w:val="Normal2"/>
      </w:pPr>
      <w:r w:rsidRPr="69C11E82">
        <w:rPr>
          <w:lang w:val="en-US"/>
        </w:rPr>
        <w:lastRenderedPageBreak/>
        <w:t xml:space="preserve">The cost of this measure will be partially met from a reprioritisation of funding from the 2022–‍23 March Budget measure titled </w:t>
      </w:r>
      <w:r w:rsidRPr="69C11E82">
        <w:rPr>
          <w:i/>
          <w:lang w:val="en-US"/>
        </w:rPr>
        <w:t>Comprehensive Strategic Partnership with India – new initiatives</w:t>
      </w:r>
      <w:r w:rsidRPr="69C11E82">
        <w:rPr>
          <w:lang w:val="en-US"/>
        </w:rPr>
        <w:t>.</w:t>
      </w:r>
    </w:p>
    <w:p w14:paraId="46DE49F5" w14:textId="77777777" w:rsidR="00BB2CB4" w:rsidRDefault="000674DA">
      <w:pPr>
        <w:pStyle w:val="Normal2"/>
      </w:pPr>
      <w:r>
        <w:t>The Treasury manages Commonwealth payments to the states and territories.</w:t>
      </w:r>
    </w:p>
    <w:p w14:paraId="58C81E15" w14:textId="163B8475" w:rsidR="00BB2CB4" w:rsidRDefault="000674DA">
      <w:pPr>
        <w:pStyle w:val="Normal2"/>
      </w:pPr>
      <w:r>
        <w:t>This measure delivers on the Government</w:t>
      </w:r>
      <w:r w:rsidR="00222C32">
        <w:t>’</w:t>
      </w:r>
      <w:r>
        <w:t>s election commitment made during the 2025</w:t>
      </w:r>
      <w:r w:rsidR="00C66B6B">
        <w:t> federal</w:t>
      </w:r>
      <w:r>
        <w:t xml:space="preserve"> election.</w:t>
      </w:r>
    </w:p>
    <w:p w14:paraId="103702EB" w14:textId="77777777" w:rsidR="00BB2CB4" w:rsidRDefault="000674DA">
      <w:pPr>
        <w:pStyle w:val="MeasureTitle"/>
      </w:pPr>
      <w:r>
        <w:t>Major and Local Community Infrastructure</w:t>
      </w:r>
    </w:p>
    <w:p w14:paraId="2977AB7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E23F2CF" w14:textId="77777777" w:rsidTr="00825163">
        <w:trPr>
          <w:cantSplit/>
        </w:trPr>
        <w:tc>
          <w:tcPr>
            <w:tcW w:w="2501" w:type="dxa"/>
            <w:tcBorders>
              <w:top w:val="single" w:sz="4" w:space="0" w:color="293F5B"/>
              <w:bottom w:val="single" w:sz="4" w:space="0" w:color="293F5B"/>
            </w:tcBorders>
          </w:tcPr>
          <w:p w14:paraId="6EF8DF1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C9496A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B638DC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5421B33"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41A578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19DCF3B" w14:textId="77777777" w:rsidR="00BB2CB4" w:rsidRPr="00222C32" w:rsidRDefault="000674DA">
            <w:pPr>
              <w:pStyle w:val="MeasureTableYearHeadings"/>
              <w:keepNext/>
            </w:pPr>
            <w:r w:rsidRPr="00222C32">
              <w:t>2028-29</w:t>
            </w:r>
          </w:p>
        </w:tc>
      </w:tr>
      <w:tr w:rsidR="00BB2CB4" w:rsidRPr="00222C32" w14:paraId="71348C3A" w14:textId="77777777" w:rsidTr="00825163">
        <w:trPr>
          <w:cantSplit/>
        </w:trPr>
        <w:tc>
          <w:tcPr>
            <w:tcW w:w="2501" w:type="dxa"/>
            <w:tcBorders>
              <w:top w:val="single" w:sz="4" w:space="0" w:color="293F5B"/>
              <w:bottom w:val="single" w:sz="4" w:space="0" w:color="293F5B"/>
            </w:tcBorders>
          </w:tcPr>
          <w:p w14:paraId="3426CA03"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4F20B49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4BE284E" w14:textId="77777777" w:rsidR="00BB2CB4" w:rsidRPr="00222C32" w:rsidRDefault="000674DA">
            <w:pPr>
              <w:pStyle w:val="MeasureTableDataRightAlignedwith2ptsspacing"/>
              <w:keepNext/>
            </w:pPr>
            <w:r w:rsidRPr="00222C32">
              <w:t>39.0</w:t>
            </w:r>
          </w:p>
        </w:tc>
        <w:tc>
          <w:tcPr>
            <w:tcW w:w="1044" w:type="dxa"/>
            <w:tcBorders>
              <w:top w:val="single" w:sz="4" w:space="0" w:color="293F5B"/>
              <w:bottom w:val="single" w:sz="4" w:space="0" w:color="293F5B"/>
            </w:tcBorders>
          </w:tcPr>
          <w:p w14:paraId="7E1D0B6E" w14:textId="77777777" w:rsidR="00BB2CB4" w:rsidRPr="00222C32" w:rsidRDefault="000674DA">
            <w:pPr>
              <w:pStyle w:val="MeasureTableDataRightAlignedwith2ptsspacing"/>
              <w:keepNext/>
            </w:pPr>
            <w:r w:rsidRPr="00222C32">
              <w:t>30.0</w:t>
            </w:r>
          </w:p>
        </w:tc>
        <w:tc>
          <w:tcPr>
            <w:tcW w:w="1044" w:type="dxa"/>
            <w:tcBorders>
              <w:top w:val="single" w:sz="4" w:space="0" w:color="293F5B"/>
              <w:bottom w:val="single" w:sz="4" w:space="0" w:color="293F5B"/>
            </w:tcBorders>
          </w:tcPr>
          <w:p w14:paraId="3B4C65A9" w14:textId="77777777" w:rsidR="00BB2CB4" w:rsidRPr="00222C32" w:rsidRDefault="000674DA">
            <w:pPr>
              <w:pStyle w:val="MeasureTableDataRightAlignedwith2ptsspacing"/>
              <w:keepNext/>
            </w:pPr>
            <w:r w:rsidRPr="00222C32">
              <w:t>21.5</w:t>
            </w:r>
          </w:p>
        </w:tc>
        <w:tc>
          <w:tcPr>
            <w:tcW w:w="1044" w:type="dxa"/>
            <w:tcBorders>
              <w:top w:val="single" w:sz="4" w:space="0" w:color="293F5B"/>
              <w:bottom w:val="single" w:sz="4" w:space="0" w:color="293F5B"/>
            </w:tcBorders>
          </w:tcPr>
          <w:p w14:paraId="7CE4D10B" w14:textId="77777777" w:rsidR="00BB2CB4" w:rsidRPr="00222C32" w:rsidRDefault="000674DA">
            <w:pPr>
              <w:pStyle w:val="MeasureTableDataRightAlignedwith2ptsspacing"/>
              <w:keepNext/>
            </w:pPr>
            <w:r w:rsidRPr="00222C32">
              <w:t>-</w:t>
            </w:r>
          </w:p>
        </w:tc>
      </w:tr>
      <w:tr w:rsidR="00BB2CB4" w:rsidRPr="00222C32" w14:paraId="1D16CF64" w14:textId="77777777" w:rsidTr="00825163">
        <w:trPr>
          <w:cantSplit/>
        </w:trPr>
        <w:tc>
          <w:tcPr>
            <w:tcW w:w="2501" w:type="dxa"/>
            <w:tcBorders>
              <w:top w:val="single" w:sz="4" w:space="0" w:color="293F5B"/>
              <w:bottom w:val="single" w:sz="4" w:space="0" w:color="293F5B"/>
            </w:tcBorders>
          </w:tcPr>
          <w:p w14:paraId="07F48961"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4B470EE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0138465" w14:textId="77777777" w:rsidR="00BB2CB4" w:rsidRPr="00222C32" w:rsidRDefault="000674DA">
            <w:pPr>
              <w:pStyle w:val="MeasureTableDataRightAlignedwith2ptsspacing"/>
              <w:keepNext/>
            </w:pPr>
            <w:r w:rsidRPr="00222C32">
              <w:t>7.0</w:t>
            </w:r>
          </w:p>
        </w:tc>
        <w:tc>
          <w:tcPr>
            <w:tcW w:w="1044" w:type="dxa"/>
            <w:tcBorders>
              <w:top w:val="single" w:sz="4" w:space="0" w:color="293F5B"/>
              <w:bottom w:val="single" w:sz="4" w:space="0" w:color="293F5B"/>
            </w:tcBorders>
          </w:tcPr>
          <w:p w14:paraId="07CACD51" w14:textId="77777777" w:rsidR="00BB2CB4" w:rsidRPr="00222C32" w:rsidRDefault="000674DA">
            <w:pPr>
              <w:pStyle w:val="MeasureTableDataRightAlignedwith2ptsspacing"/>
              <w:keepNext/>
            </w:pPr>
            <w:r w:rsidRPr="00222C32">
              <w:t>43.5</w:t>
            </w:r>
          </w:p>
        </w:tc>
        <w:tc>
          <w:tcPr>
            <w:tcW w:w="1044" w:type="dxa"/>
            <w:tcBorders>
              <w:top w:val="single" w:sz="4" w:space="0" w:color="293F5B"/>
              <w:bottom w:val="single" w:sz="4" w:space="0" w:color="293F5B"/>
            </w:tcBorders>
          </w:tcPr>
          <w:p w14:paraId="0A335FDE" w14:textId="77777777" w:rsidR="00BB2CB4" w:rsidRPr="00222C32" w:rsidRDefault="000674DA">
            <w:pPr>
              <w:pStyle w:val="MeasureTableDataRightAlignedwith2ptsspacing"/>
              <w:keepNext/>
            </w:pPr>
            <w:r w:rsidRPr="00222C32">
              <w:t>173.9</w:t>
            </w:r>
          </w:p>
        </w:tc>
        <w:tc>
          <w:tcPr>
            <w:tcW w:w="1044" w:type="dxa"/>
            <w:tcBorders>
              <w:top w:val="single" w:sz="4" w:space="0" w:color="293F5B"/>
              <w:bottom w:val="single" w:sz="4" w:space="0" w:color="293F5B"/>
            </w:tcBorders>
          </w:tcPr>
          <w:p w14:paraId="6FF174B2" w14:textId="77777777" w:rsidR="00BB2CB4" w:rsidRPr="00222C32" w:rsidRDefault="000674DA">
            <w:pPr>
              <w:pStyle w:val="MeasureTableDataRightAlignedwith2ptsspacing"/>
              <w:keepNext/>
            </w:pPr>
            <w:r w:rsidRPr="00222C32">
              <w:t>240.0</w:t>
            </w:r>
          </w:p>
        </w:tc>
      </w:tr>
      <w:tr w:rsidR="00BB2CB4" w:rsidRPr="00222C32" w14:paraId="31328AA8" w14:textId="77777777" w:rsidTr="00825163">
        <w:trPr>
          <w:cantSplit/>
        </w:trPr>
        <w:tc>
          <w:tcPr>
            <w:tcW w:w="2501" w:type="dxa"/>
            <w:tcBorders>
              <w:top w:val="single" w:sz="4" w:space="0" w:color="293F5B"/>
              <w:bottom w:val="single" w:sz="4" w:space="0" w:color="293F5B"/>
            </w:tcBorders>
          </w:tcPr>
          <w:p w14:paraId="0F1EE102" w14:textId="77777777" w:rsidR="00BB2CB4" w:rsidRPr="00222C32" w:rsidRDefault="000674DA">
            <w:pPr>
              <w:pStyle w:val="MeasureTableHeadingleftalignedwith2ptsspacing"/>
              <w:keepNext/>
            </w:pPr>
            <w:r w:rsidRPr="00222C32">
              <w:t>National Capital Authority</w:t>
            </w:r>
          </w:p>
        </w:tc>
        <w:tc>
          <w:tcPr>
            <w:tcW w:w="1044" w:type="dxa"/>
            <w:tcBorders>
              <w:top w:val="single" w:sz="4" w:space="0" w:color="293F5B"/>
              <w:bottom w:val="single" w:sz="4" w:space="0" w:color="293F5B"/>
            </w:tcBorders>
          </w:tcPr>
          <w:p w14:paraId="2EAACD9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99EC93D" w14:textId="77777777" w:rsidR="00BB2CB4" w:rsidRPr="00222C32" w:rsidRDefault="000674DA">
            <w:pPr>
              <w:pStyle w:val="MeasureTableDataRightAlignedwith2ptsspacing"/>
              <w:keepNext/>
            </w:pPr>
            <w:r w:rsidRPr="00222C32">
              <w:t>2.5</w:t>
            </w:r>
          </w:p>
        </w:tc>
        <w:tc>
          <w:tcPr>
            <w:tcW w:w="1044" w:type="dxa"/>
            <w:tcBorders>
              <w:top w:val="single" w:sz="4" w:space="0" w:color="293F5B"/>
              <w:bottom w:val="single" w:sz="4" w:space="0" w:color="293F5B"/>
            </w:tcBorders>
          </w:tcPr>
          <w:p w14:paraId="0B9B14C3" w14:textId="77777777" w:rsidR="00BB2CB4" w:rsidRPr="00222C32" w:rsidRDefault="000674DA">
            <w:pPr>
              <w:pStyle w:val="MeasureTableDataRightAlignedwith2ptsspacing"/>
              <w:keepNext/>
            </w:pPr>
            <w:r w:rsidRPr="00222C32">
              <w:t>47.0</w:t>
            </w:r>
          </w:p>
        </w:tc>
        <w:tc>
          <w:tcPr>
            <w:tcW w:w="1044" w:type="dxa"/>
            <w:tcBorders>
              <w:top w:val="single" w:sz="4" w:space="0" w:color="293F5B"/>
              <w:bottom w:val="single" w:sz="4" w:space="0" w:color="293F5B"/>
            </w:tcBorders>
          </w:tcPr>
          <w:p w14:paraId="57782A05" w14:textId="77777777" w:rsidR="00BB2CB4" w:rsidRPr="00222C32" w:rsidRDefault="000674DA">
            <w:pPr>
              <w:pStyle w:val="MeasureTableDataRightAlignedwith2ptsspacing"/>
              <w:keepNext/>
            </w:pPr>
            <w:r w:rsidRPr="00222C32">
              <w:t>14.1</w:t>
            </w:r>
          </w:p>
        </w:tc>
        <w:tc>
          <w:tcPr>
            <w:tcW w:w="1044" w:type="dxa"/>
            <w:tcBorders>
              <w:top w:val="single" w:sz="4" w:space="0" w:color="293F5B"/>
              <w:bottom w:val="single" w:sz="4" w:space="0" w:color="293F5B"/>
            </w:tcBorders>
          </w:tcPr>
          <w:p w14:paraId="37F0EFF6" w14:textId="77777777" w:rsidR="00BB2CB4" w:rsidRPr="00222C32" w:rsidRDefault="000674DA">
            <w:pPr>
              <w:pStyle w:val="MeasureTableDataRightAlignedwith2ptsspacing"/>
              <w:keepNext/>
            </w:pPr>
            <w:r w:rsidRPr="00222C32">
              <w:t>-</w:t>
            </w:r>
          </w:p>
        </w:tc>
      </w:tr>
      <w:tr w:rsidR="00BB2CB4" w:rsidRPr="00222C32" w14:paraId="1AABC019" w14:textId="77777777" w:rsidTr="00825163">
        <w:trPr>
          <w:cantSplit/>
        </w:trPr>
        <w:tc>
          <w:tcPr>
            <w:tcW w:w="2501" w:type="dxa"/>
            <w:tcBorders>
              <w:top w:val="single" w:sz="4" w:space="0" w:color="293F5B"/>
              <w:bottom w:val="single" w:sz="4" w:space="0" w:color="293F5B"/>
            </w:tcBorders>
          </w:tcPr>
          <w:p w14:paraId="7AFE2426"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02BDACD6"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19C37ED" w14:textId="77777777" w:rsidR="00BB2CB4" w:rsidRPr="00222C32" w:rsidRDefault="000674DA">
            <w:pPr>
              <w:pStyle w:val="Totaldatarowrightaligned"/>
              <w:keepNext/>
            </w:pPr>
            <w:r w:rsidRPr="00222C32">
              <w:t>48.5</w:t>
            </w:r>
          </w:p>
        </w:tc>
        <w:tc>
          <w:tcPr>
            <w:tcW w:w="1044" w:type="dxa"/>
            <w:tcBorders>
              <w:top w:val="single" w:sz="4" w:space="0" w:color="293F5B"/>
              <w:bottom w:val="single" w:sz="4" w:space="0" w:color="293F5B"/>
            </w:tcBorders>
          </w:tcPr>
          <w:p w14:paraId="211A630E" w14:textId="77777777" w:rsidR="00BB2CB4" w:rsidRPr="00222C32" w:rsidRDefault="000674DA">
            <w:pPr>
              <w:pStyle w:val="Totaldatarowrightaligned"/>
              <w:keepNext/>
            </w:pPr>
            <w:r w:rsidRPr="00222C32">
              <w:t>120.5</w:t>
            </w:r>
          </w:p>
        </w:tc>
        <w:tc>
          <w:tcPr>
            <w:tcW w:w="1044" w:type="dxa"/>
            <w:tcBorders>
              <w:top w:val="single" w:sz="4" w:space="0" w:color="293F5B"/>
              <w:bottom w:val="single" w:sz="4" w:space="0" w:color="293F5B"/>
            </w:tcBorders>
          </w:tcPr>
          <w:p w14:paraId="0C56E668" w14:textId="77777777" w:rsidR="00BB2CB4" w:rsidRPr="00222C32" w:rsidRDefault="000674DA">
            <w:pPr>
              <w:pStyle w:val="Totaldatarowrightaligned"/>
              <w:keepNext/>
            </w:pPr>
            <w:r w:rsidRPr="00222C32">
              <w:t>209.5</w:t>
            </w:r>
          </w:p>
        </w:tc>
        <w:tc>
          <w:tcPr>
            <w:tcW w:w="1044" w:type="dxa"/>
            <w:tcBorders>
              <w:top w:val="single" w:sz="4" w:space="0" w:color="293F5B"/>
              <w:bottom w:val="single" w:sz="4" w:space="0" w:color="293F5B"/>
            </w:tcBorders>
          </w:tcPr>
          <w:p w14:paraId="7CD1E0D8" w14:textId="77777777" w:rsidR="00BB2CB4" w:rsidRPr="00222C32" w:rsidRDefault="000674DA">
            <w:pPr>
              <w:pStyle w:val="Totaldatarowrightaligned"/>
              <w:keepNext/>
            </w:pPr>
            <w:r w:rsidRPr="00222C32">
              <w:t>240.0</w:t>
            </w:r>
          </w:p>
        </w:tc>
      </w:tr>
    </w:tbl>
    <w:p w14:paraId="5F8A70B6" w14:textId="77777777" w:rsidR="007A1FDE" w:rsidRDefault="007A1FDE" w:rsidP="007A1FDE">
      <w:pPr>
        <w:pStyle w:val="SingleParagraph"/>
      </w:pPr>
    </w:p>
    <w:p w14:paraId="6005D995" w14:textId="77777777" w:rsidR="00BB2CB4" w:rsidRDefault="000674DA">
      <w:pPr>
        <w:pStyle w:val="Normal2"/>
      </w:pPr>
      <w:r>
        <w:t>The Government will provide $625.5 million over four years from 2025–‍26 to support economic growth and development across Australia. Funding includes:</w:t>
      </w:r>
    </w:p>
    <w:p w14:paraId="5B791C98" w14:textId="77777777" w:rsidR="00BB2CB4" w:rsidRDefault="000674DA">
      <w:pPr>
        <w:pStyle w:val="Bullet"/>
      </w:pPr>
      <w:r>
        <w:t>$464.5 million over four years from 2025–‍26 for the Major and Local Community Infrastructure program to support community infrastructure projects across Australia</w:t>
      </w:r>
    </w:p>
    <w:p w14:paraId="504AC989" w14:textId="05F6C726" w:rsidR="00BB2CB4" w:rsidRDefault="000674DA">
      <w:pPr>
        <w:pStyle w:val="Bullet"/>
      </w:pPr>
      <w:r>
        <w:t>$60.0 million over three years from 2025–‍26 to support the renewal of the St Patrick</w:t>
      </w:r>
      <w:r w:rsidR="00222C32">
        <w:t>’</w:t>
      </w:r>
      <w:r>
        <w:t>s Cathedral Precinct in Melbourne</w:t>
      </w:r>
    </w:p>
    <w:p w14:paraId="60227033" w14:textId="77777777" w:rsidR="00BB2CB4" w:rsidRDefault="000674DA">
      <w:pPr>
        <w:pStyle w:val="Bullet"/>
      </w:pPr>
      <w:r>
        <w:t>$53.6 million over two years from 2026–‍27 in additional funding for the Commonwealth Avenue Bridge Upgrade and Scrivener Dam Dissipator Strengthening works in the Australian Capital Territory</w:t>
      </w:r>
    </w:p>
    <w:p w14:paraId="24372FCB" w14:textId="77777777" w:rsidR="00BB2CB4" w:rsidRDefault="000674DA">
      <w:pPr>
        <w:pStyle w:val="Bullet"/>
      </w:pPr>
      <w:r>
        <w:t>$27.5 million over three years from 2025–‍26 for the construction of a new health and engineering wing at the Central Queensland University – Cairns Campus</w:t>
      </w:r>
    </w:p>
    <w:p w14:paraId="74313B5C" w14:textId="77777777" w:rsidR="00BB2CB4" w:rsidRDefault="000674DA">
      <w:pPr>
        <w:pStyle w:val="Bullet"/>
      </w:pPr>
      <w:r>
        <w:t>$10.0 million over two years from 2025–‍26 to improve the safety and useability of public spaces around Lake Burley Griffin in the Australian Capital Territory</w:t>
      </w:r>
    </w:p>
    <w:p w14:paraId="1FBF369A" w14:textId="77777777" w:rsidR="00BB2CB4" w:rsidRDefault="000674DA">
      <w:pPr>
        <w:pStyle w:val="Bullet"/>
      </w:pPr>
      <w:r>
        <w:t>$3.0 million in 2025–‍26 to support the Warburton Mountain Bike Destination Project in Victoria</w:t>
      </w:r>
    </w:p>
    <w:p w14:paraId="059E874B" w14:textId="06B631B5" w:rsidR="00BB2CB4" w:rsidRDefault="000674DA">
      <w:pPr>
        <w:pStyle w:val="Bullet"/>
      </w:pPr>
      <w:r>
        <w:t>$6.9 million in 2025–‍26 to the Department of Infrastructure, Transport, Regional Development, Communications, Sport and the Arts to support the delivery of the Government</w:t>
      </w:r>
      <w:r w:rsidR="00222C32">
        <w:t>’</w:t>
      </w:r>
      <w:r>
        <w:t>s election commitments.</w:t>
      </w:r>
    </w:p>
    <w:p w14:paraId="2DB8F774" w14:textId="04553B99" w:rsidR="00BB2CB4" w:rsidRDefault="000674DA" w:rsidP="00AA7BAD">
      <w:pPr>
        <w:pStyle w:val="Normal2"/>
        <w:spacing w:before="100" w:after="100"/>
      </w:pPr>
      <w:r w:rsidRPr="69C11E82">
        <w:rPr>
          <w:lang w:val="en-US"/>
        </w:rPr>
        <w:t xml:space="preserve">The cost of this measure will be partially met from savings identified in the 2025 </w:t>
      </w:r>
      <w:r w:rsidR="00F72AD5">
        <w:rPr>
          <w:lang w:val="en-US"/>
        </w:rPr>
        <w:t>PEFO</w:t>
      </w:r>
      <w:r w:rsidRPr="69C11E82">
        <w:rPr>
          <w:lang w:val="en-US"/>
        </w:rPr>
        <w:t xml:space="preserve"> measure titled </w:t>
      </w:r>
      <w:r w:rsidRPr="69C11E82">
        <w:rPr>
          <w:i/>
          <w:lang w:val="en-US"/>
        </w:rPr>
        <w:t>Priority Community Infrastructure Program.</w:t>
      </w:r>
    </w:p>
    <w:p w14:paraId="2BF9E141" w14:textId="77777777" w:rsidR="00BB2CB4" w:rsidRDefault="000674DA" w:rsidP="00AA7BAD">
      <w:pPr>
        <w:pStyle w:val="Normal2"/>
        <w:spacing w:before="100" w:after="100"/>
      </w:pPr>
      <w:r>
        <w:t>The Treasury manages Commonwealth payments to the states and territories.</w:t>
      </w:r>
    </w:p>
    <w:p w14:paraId="2C43325D" w14:textId="54DC0DCF" w:rsidR="00BB2CB4" w:rsidRDefault="000674DA" w:rsidP="00AA7BAD">
      <w:pPr>
        <w:pStyle w:val="Normal2"/>
        <w:spacing w:before="100" w:after="100"/>
      </w:pPr>
      <w:r>
        <w:t>Parts of this measure deliver on the Government</w:t>
      </w:r>
      <w:r w:rsidR="00222C32">
        <w:t>’</w:t>
      </w:r>
      <w:r>
        <w:t>s election commitment made during the 2025</w:t>
      </w:r>
      <w:r w:rsidR="00C66B6B">
        <w:t> federal</w:t>
      </w:r>
      <w:r>
        <w:t xml:space="preserve"> election.</w:t>
      </w:r>
    </w:p>
    <w:p w14:paraId="28EFD2A8" w14:textId="77777777" w:rsidR="00BB2CB4" w:rsidRDefault="000674DA">
      <w:pPr>
        <w:pStyle w:val="MeasureTitle"/>
      </w:pPr>
      <w:r>
        <w:lastRenderedPageBreak/>
        <w:t>National Cultural Policy – National Collecting Institutions</w:t>
      </w:r>
    </w:p>
    <w:p w14:paraId="13714BB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203D8CA" w14:textId="77777777" w:rsidTr="00825163">
        <w:trPr>
          <w:cantSplit/>
        </w:trPr>
        <w:tc>
          <w:tcPr>
            <w:tcW w:w="2501" w:type="dxa"/>
            <w:tcBorders>
              <w:top w:val="single" w:sz="4" w:space="0" w:color="293F5B"/>
              <w:bottom w:val="single" w:sz="4" w:space="0" w:color="293F5B"/>
            </w:tcBorders>
          </w:tcPr>
          <w:p w14:paraId="7C71F59B"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AE82482"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6CD69F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4167014C"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7A98F1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EE2131C" w14:textId="77777777" w:rsidR="00BB2CB4" w:rsidRPr="00222C32" w:rsidRDefault="000674DA">
            <w:pPr>
              <w:pStyle w:val="MeasureTableYearHeadings"/>
              <w:keepNext/>
            </w:pPr>
            <w:r w:rsidRPr="00222C32">
              <w:t>2028-29</w:t>
            </w:r>
          </w:p>
        </w:tc>
      </w:tr>
      <w:tr w:rsidR="00BB2CB4" w:rsidRPr="00222C32" w14:paraId="09529E92" w14:textId="77777777" w:rsidTr="00825163">
        <w:trPr>
          <w:cantSplit/>
        </w:trPr>
        <w:tc>
          <w:tcPr>
            <w:tcW w:w="2501" w:type="dxa"/>
            <w:tcBorders>
              <w:top w:val="single" w:sz="4" w:space="0" w:color="293F5B"/>
              <w:bottom w:val="single" w:sz="4" w:space="0" w:color="293F5B"/>
            </w:tcBorders>
          </w:tcPr>
          <w:p w14:paraId="58A07906" w14:textId="77777777" w:rsidR="00BB2CB4" w:rsidRPr="00222C32" w:rsidRDefault="000674DA">
            <w:pPr>
              <w:pStyle w:val="MeasureTableHeadingleftalignedwith2ptsspacing"/>
              <w:keepNext/>
            </w:pPr>
            <w:r w:rsidRPr="00222C32">
              <w:t>National Gallery of Australia</w:t>
            </w:r>
          </w:p>
        </w:tc>
        <w:tc>
          <w:tcPr>
            <w:tcW w:w="1044" w:type="dxa"/>
            <w:tcBorders>
              <w:top w:val="single" w:sz="4" w:space="0" w:color="293F5B"/>
              <w:bottom w:val="single" w:sz="4" w:space="0" w:color="293F5B"/>
            </w:tcBorders>
          </w:tcPr>
          <w:p w14:paraId="1F4FCB8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33EABB1" w14:textId="77777777" w:rsidR="00BB2CB4" w:rsidRPr="00222C32" w:rsidRDefault="000674DA">
            <w:pPr>
              <w:pStyle w:val="MeasureTableDataRightAlignedwith2ptsspacing"/>
              <w:keepNext/>
            </w:pPr>
            <w:r w:rsidRPr="00222C32">
              <w:t>15.1</w:t>
            </w:r>
          </w:p>
        </w:tc>
        <w:tc>
          <w:tcPr>
            <w:tcW w:w="1044" w:type="dxa"/>
            <w:tcBorders>
              <w:top w:val="single" w:sz="4" w:space="0" w:color="293F5B"/>
              <w:bottom w:val="single" w:sz="4" w:space="0" w:color="293F5B"/>
            </w:tcBorders>
          </w:tcPr>
          <w:p w14:paraId="264D7600" w14:textId="77777777" w:rsidR="00BB2CB4" w:rsidRPr="00222C32" w:rsidRDefault="000674DA">
            <w:pPr>
              <w:pStyle w:val="MeasureTableDataRightAlignedwith2ptsspacing"/>
              <w:keepNext/>
            </w:pPr>
            <w:r w:rsidRPr="00222C32">
              <w:t>84.7</w:t>
            </w:r>
          </w:p>
        </w:tc>
        <w:tc>
          <w:tcPr>
            <w:tcW w:w="1044" w:type="dxa"/>
            <w:tcBorders>
              <w:top w:val="single" w:sz="4" w:space="0" w:color="293F5B"/>
              <w:bottom w:val="single" w:sz="4" w:space="0" w:color="293F5B"/>
            </w:tcBorders>
          </w:tcPr>
          <w:p w14:paraId="04B4A988" w14:textId="77777777" w:rsidR="00BB2CB4" w:rsidRPr="00222C32" w:rsidRDefault="000674DA">
            <w:pPr>
              <w:pStyle w:val="MeasureTableDataRightAlignedwith2ptsspacing"/>
              <w:keepNext/>
            </w:pPr>
            <w:r w:rsidRPr="00222C32">
              <w:t>55.1</w:t>
            </w:r>
          </w:p>
        </w:tc>
        <w:tc>
          <w:tcPr>
            <w:tcW w:w="1044" w:type="dxa"/>
            <w:tcBorders>
              <w:top w:val="single" w:sz="4" w:space="0" w:color="293F5B"/>
              <w:bottom w:val="single" w:sz="4" w:space="0" w:color="293F5B"/>
            </w:tcBorders>
          </w:tcPr>
          <w:p w14:paraId="21D87D7B" w14:textId="77777777" w:rsidR="00BB2CB4" w:rsidRPr="00222C32" w:rsidRDefault="000674DA">
            <w:pPr>
              <w:pStyle w:val="MeasureTableDataRightAlignedwith2ptsspacing"/>
              <w:keepNext/>
            </w:pPr>
            <w:r w:rsidRPr="00222C32">
              <w:t>40.8</w:t>
            </w:r>
          </w:p>
        </w:tc>
      </w:tr>
      <w:tr w:rsidR="00BB2CB4" w:rsidRPr="00222C32" w14:paraId="0992E582" w14:textId="77777777" w:rsidTr="00825163">
        <w:trPr>
          <w:cantSplit/>
        </w:trPr>
        <w:tc>
          <w:tcPr>
            <w:tcW w:w="2501" w:type="dxa"/>
            <w:tcBorders>
              <w:top w:val="single" w:sz="4" w:space="0" w:color="293F5B"/>
              <w:bottom w:val="single" w:sz="4" w:space="0" w:color="293F5B"/>
            </w:tcBorders>
          </w:tcPr>
          <w:p w14:paraId="4199F412" w14:textId="77777777" w:rsidR="00BB2CB4" w:rsidRPr="00222C32" w:rsidRDefault="000674DA">
            <w:pPr>
              <w:pStyle w:val="MeasureTableHeadingleftalignedwith2ptsspacing"/>
              <w:keepNext/>
            </w:pPr>
            <w:r w:rsidRPr="00222C32">
              <w:t>National Library of Australia</w:t>
            </w:r>
          </w:p>
        </w:tc>
        <w:tc>
          <w:tcPr>
            <w:tcW w:w="1044" w:type="dxa"/>
            <w:tcBorders>
              <w:top w:val="single" w:sz="4" w:space="0" w:color="293F5B"/>
              <w:bottom w:val="single" w:sz="4" w:space="0" w:color="293F5B"/>
            </w:tcBorders>
          </w:tcPr>
          <w:p w14:paraId="4A3536B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6821FEA" w14:textId="77777777" w:rsidR="00BB2CB4" w:rsidRPr="00222C32" w:rsidRDefault="000674DA">
            <w:pPr>
              <w:pStyle w:val="MeasureTableDataRightAlignedwith2ptsspacing"/>
              <w:keepNext/>
            </w:pPr>
            <w:r w:rsidRPr="00222C32">
              <w:t>0.7</w:t>
            </w:r>
          </w:p>
        </w:tc>
        <w:tc>
          <w:tcPr>
            <w:tcW w:w="1044" w:type="dxa"/>
            <w:tcBorders>
              <w:top w:val="single" w:sz="4" w:space="0" w:color="293F5B"/>
              <w:bottom w:val="single" w:sz="4" w:space="0" w:color="293F5B"/>
            </w:tcBorders>
          </w:tcPr>
          <w:p w14:paraId="790F4EBD" w14:textId="77777777" w:rsidR="00BB2CB4" w:rsidRPr="00222C32" w:rsidRDefault="000674DA">
            <w:pPr>
              <w:pStyle w:val="MeasureTableDataRightAlignedwith2ptsspacing"/>
              <w:keepNext/>
            </w:pPr>
            <w:r w:rsidRPr="00222C32">
              <w:t>3.8</w:t>
            </w:r>
          </w:p>
        </w:tc>
        <w:tc>
          <w:tcPr>
            <w:tcW w:w="1044" w:type="dxa"/>
            <w:tcBorders>
              <w:top w:val="single" w:sz="4" w:space="0" w:color="293F5B"/>
              <w:bottom w:val="single" w:sz="4" w:space="0" w:color="293F5B"/>
            </w:tcBorders>
          </w:tcPr>
          <w:p w14:paraId="5B4C96E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4451712" w14:textId="77777777" w:rsidR="00BB2CB4" w:rsidRPr="00222C32" w:rsidRDefault="000674DA">
            <w:pPr>
              <w:pStyle w:val="MeasureTableDataRightAlignedwith2ptsspacing"/>
              <w:keepNext/>
            </w:pPr>
            <w:r w:rsidRPr="00222C32">
              <w:t>-</w:t>
            </w:r>
          </w:p>
        </w:tc>
      </w:tr>
      <w:tr w:rsidR="00BB2CB4" w:rsidRPr="00222C32" w14:paraId="5D5C3449" w14:textId="77777777" w:rsidTr="00825163">
        <w:trPr>
          <w:cantSplit/>
        </w:trPr>
        <w:tc>
          <w:tcPr>
            <w:tcW w:w="2501" w:type="dxa"/>
            <w:tcBorders>
              <w:top w:val="single" w:sz="4" w:space="0" w:color="293F5B"/>
              <w:bottom w:val="single" w:sz="4" w:space="0" w:color="293F5B"/>
            </w:tcBorders>
          </w:tcPr>
          <w:p w14:paraId="637B6924"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107D7DC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94EB36D" w14:textId="77777777" w:rsidR="00BB2CB4" w:rsidRPr="00222C32" w:rsidRDefault="000674DA">
            <w:pPr>
              <w:pStyle w:val="MeasureTableDataRightAlignedwith2ptsspacing"/>
              <w:keepNext/>
            </w:pPr>
            <w:r w:rsidRPr="00222C32">
              <w:t>-1.5</w:t>
            </w:r>
          </w:p>
        </w:tc>
        <w:tc>
          <w:tcPr>
            <w:tcW w:w="1044" w:type="dxa"/>
            <w:tcBorders>
              <w:top w:val="single" w:sz="4" w:space="0" w:color="293F5B"/>
              <w:bottom w:val="single" w:sz="4" w:space="0" w:color="293F5B"/>
            </w:tcBorders>
          </w:tcPr>
          <w:p w14:paraId="1B4633A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F38DD2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388ACDB" w14:textId="77777777" w:rsidR="00BB2CB4" w:rsidRPr="00222C32" w:rsidRDefault="000674DA">
            <w:pPr>
              <w:pStyle w:val="MeasureTableDataRightAlignedwith2ptsspacing"/>
              <w:keepNext/>
            </w:pPr>
            <w:r w:rsidRPr="00222C32">
              <w:t>-</w:t>
            </w:r>
          </w:p>
        </w:tc>
      </w:tr>
      <w:tr w:rsidR="00BB2CB4" w:rsidRPr="00222C32" w14:paraId="6544D1B3" w14:textId="77777777" w:rsidTr="00825163">
        <w:trPr>
          <w:cantSplit/>
        </w:trPr>
        <w:tc>
          <w:tcPr>
            <w:tcW w:w="2501" w:type="dxa"/>
            <w:tcBorders>
              <w:top w:val="single" w:sz="4" w:space="0" w:color="293F5B"/>
              <w:bottom w:val="single" w:sz="4" w:space="0" w:color="293F5B"/>
            </w:tcBorders>
          </w:tcPr>
          <w:p w14:paraId="354EAF8F"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26B1CF0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E5FFD5D" w14:textId="77777777" w:rsidR="00BB2CB4" w:rsidRPr="00222C32" w:rsidRDefault="000674DA">
            <w:pPr>
              <w:pStyle w:val="MeasureTableDataRightAlignedwith2ptsspacing"/>
              <w:keepNext/>
            </w:pPr>
            <w:r w:rsidRPr="00222C32">
              <w:t>-3.0</w:t>
            </w:r>
          </w:p>
        </w:tc>
        <w:tc>
          <w:tcPr>
            <w:tcW w:w="1044" w:type="dxa"/>
            <w:tcBorders>
              <w:top w:val="single" w:sz="4" w:space="0" w:color="293F5B"/>
              <w:bottom w:val="single" w:sz="4" w:space="0" w:color="293F5B"/>
            </w:tcBorders>
          </w:tcPr>
          <w:p w14:paraId="138786A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14521B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42B1EAD" w14:textId="77777777" w:rsidR="00BB2CB4" w:rsidRPr="00222C32" w:rsidRDefault="000674DA">
            <w:pPr>
              <w:pStyle w:val="MeasureTableDataRightAlignedwith2ptsspacing"/>
              <w:keepNext/>
            </w:pPr>
            <w:r w:rsidRPr="00222C32">
              <w:t>-</w:t>
            </w:r>
          </w:p>
        </w:tc>
      </w:tr>
      <w:tr w:rsidR="00BB2CB4" w:rsidRPr="00222C32" w14:paraId="3A1C57DB" w14:textId="77777777" w:rsidTr="00825163">
        <w:trPr>
          <w:cantSplit/>
        </w:trPr>
        <w:tc>
          <w:tcPr>
            <w:tcW w:w="2501" w:type="dxa"/>
            <w:tcBorders>
              <w:top w:val="single" w:sz="4" w:space="0" w:color="293F5B"/>
              <w:bottom w:val="single" w:sz="4" w:space="0" w:color="293F5B"/>
            </w:tcBorders>
          </w:tcPr>
          <w:p w14:paraId="1C2DADBA"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1F6E690D"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9C0DF34" w14:textId="77777777" w:rsidR="00BB2CB4" w:rsidRPr="00222C32" w:rsidRDefault="000674DA">
            <w:pPr>
              <w:pStyle w:val="Totaldatarowrightaligned"/>
              <w:keepNext/>
            </w:pPr>
            <w:r w:rsidRPr="00222C32">
              <w:t>11.3</w:t>
            </w:r>
          </w:p>
        </w:tc>
        <w:tc>
          <w:tcPr>
            <w:tcW w:w="1044" w:type="dxa"/>
            <w:tcBorders>
              <w:top w:val="single" w:sz="4" w:space="0" w:color="293F5B"/>
              <w:bottom w:val="single" w:sz="4" w:space="0" w:color="293F5B"/>
            </w:tcBorders>
          </w:tcPr>
          <w:p w14:paraId="273FB2AC" w14:textId="77777777" w:rsidR="00BB2CB4" w:rsidRPr="00222C32" w:rsidRDefault="000674DA">
            <w:pPr>
              <w:pStyle w:val="Totaldatarowrightaligned"/>
              <w:keepNext/>
            </w:pPr>
            <w:r w:rsidRPr="00222C32">
              <w:t>88.5</w:t>
            </w:r>
          </w:p>
        </w:tc>
        <w:tc>
          <w:tcPr>
            <w:tcW w:w="1044" w:type="dxa"/>
            <w:tcBorders>
              <w:top w:val="single" w:sz="4" w:space="0" w:color="293F5B"/>
              <w:bottom w:val="single" w:sz="4" w:space="0" w:color="293F5B"/>
            </w:tcBorders>
          </w:tcPr>
          <w:p w14:paraId="51B62FB9" w14:textId="77777777" w:rsidR="00BB2CB4" w:rsidRPr="00222C32" w:rsidRDefault="000674DA">
            <w:pPr>
              <w:pStyle w:val="Totaldatarowrightaligned"/>
              <w:keepNext/>
            </w:pPr>
            <w:r w:rsidRPr="00222C32">
              <w:t>55.1</w:t>
            </w:r>
          </w:p>
        </w:tc>
        <w:tc>
          <w:tcPr>
            <w:tcW w:w="1044" w:type="dxa"/>
            <w:tcBorders>
              <w:top w:val="single" w:sz="4" w:space="0" w:color="293F5B"/>
              <w:bottom w:val="single" w:sz="4" w:space="0" w:color="293F5B"/>
            </w:tcBorders>
          </w:tcPr>
          <w:p w14:paraId="5551B1BC" w14:textId="77777777" w:rsidR="00BB2CB4" w:rsidRPr="00222C32" w:rsidRDefault="000674DA">
            <w:pPr>
              <w:pStyle w:val="Totaldatarowrightaligned"/>
              <w:keepNext/>
            </w:pPr>
            <w:r w:rsidRPr="00222C32">
              <w:t>40.8</w:t>
            </w:r>
          </w:p>
        </w:tc>
      </w:tr>
    </w:tbl>
    <w:p w14:paraId="3BCEF77F" w14:textId="77777777" w:rsidR="00E93A0F" w:rsidRDefault="00E93A0F" w:rsidP="00E93A0F">
      <w:pPr>
        <w:pStyle w:val="SingleParagraph"/>
      </w:pPr>
    </w:p>
    <w:p w14:paraId="38E3B978" w14:textId="77777777" w:rsidR="00BB2CB4" w:rsidRDefault="000674DA">
      <w:pPr>
        <w:pStyle w:val="Normal2"/>
      </w:pPr>
      <w:r w:rsidRPr="69C11E82">
        <w:rPr>
          <w:lang w:val="en-US"/>
        </w:rPr>
        <w:t>The Government will provide $201.7 million over four years from 2025–‍26 (and an additional $24.0 million in 2029–‍30) to support three National Collecting Institutions to deliver urgent capital works. Funding includes:</w:t>
      </w:r>
    </w:p>
    <w:p w14:paraId="134EF010" w14:textId="77777777" w:rsidR="00BB2CB4" w:rsidRDefault="000674DA">
      <w:pPr>
        <w:pStyle w:val="Bullet"/>
      </w:pPr>
      <w:r>
        <w:t>$195.7 million over four years from 2025–‍26 (and an additional $24.0 million in 2029–‍30) to fix the roof of the National Gallery of Australia, support ongoing operations during the repairs and develop an initial business case to inform future capital works</w:t>
      </w:r>
    </w:p>
    <w:p w14:paraId="565C4385" w14:textId="77777777" w:rsidR="00BB2CB4" w:rsidRDefault="000674DA">
      <w:pPr>
        <w:pStyle w:val="Bullet"/>
      </w:pPr>
      <w:r>
        <w:t>$4.5 million over two years from 2025–‍26 for the National Library of Australia to complete the replacement of heritage windows, doors and façade</w:t>
      </w:r>
    </w:p>
    <w:p w14:paraId="2C971784" w14:textId="77777777" w:rsidR="00BB2CB4" w:rsidRDefault="000674DA">
      <w:pPr>
        <w:pStyle w:val="Bullet"/>
      </w:pPr>
      <w:r>
        <w:t>$1.5 million in 2025–‍26 for the Bundanon Trust to upgrade roads and car parks on the Bundanon Homestead site.</w:t>
      </w:r>
    </w:p>
    <w:p w14:paraId="3B6DE065" w14:textId="77777777" w:rsidR="00BB2CB4" w:rsidRDefault="000674DA">
      <w:pPr>
        <w:pStyle w:val="Normal2"/>
      </w:pPr>
      <w:r>
        <w:t>Partial funding for the National Collecting Institutions will be held in the Contingency Reserve until final project details are settled.</w:t>
      </w:r>
    </w:p>
    <w:p w14:paraId="01465A70" w14:textId="190AA501" w:rsidR="00BB2CB4" w:rsidRDefault="000674DA">
      <w:pPr>
        <w:pStyle w:val="Normal2"/>
      </w:pPr>
      <w:r>
        <w:t xml:space="preserve">The cost of this measure will be partially met by redirecting existing funding from the Infrastructure Investment Program (IIP), the 2020–‍21 Budget measure titled </w:t>
      </w:r>
      <w:r w:rsidRPr="000674DA">
        <w:rPr>
          <w:i/>
        </w:rPr>
        <w:t>COVID‑19 Response Package – communications, cyber safety and the arts</w:t>
      </w:r>
      <w:r>
        <w:t xml:space="preserve"> and the 2009–‍10 Budget measure titled </w:t>
      </w:r>
      <w:r w:rsidRPr="000674DA">
        <w:rPr>
          <w:i/>
        </w:rPr>
        <w:t>Australian Government international exhibitions insurance program – establishment</w:t>
      </w:r>
      <w:r>
        <w:t>.</w:t>
      </w:r>
    </w:p>
    <w:p w14:paraId="030822B4" w14:textId="77777777" w:rsidR="00BB2CB4" w:rsidRDefault="000674DA">
      <w:pPr>
        <w:pStyle w:val="MeasureTitle"/>
      </w:pPr>
      <w:r>
        <w:t>Online Safety</w:t>
      </w:r>
    </w:p>
    <w:p w14:paraId="6A2806B7"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EBA02A7" w14:textId="77777777" w:rsidTr="00825163">
        <w:trPr>
          <w:cantSplit/>
        </w:trPr>
        <w:tc>
          <w:tcPr>
            <w:tcW w:w="2501" w:type="dxa"/>
            <w:tcBorders>
              <w:top w:val="single" w:sz="4" w:space="0" w:color="293F5B"/>
              <w:bottom w:val="single" w:sz="4" w:space="0" w:color="293F5B"/>
            </w:tcBorders>
          </w:tcPr>
          <w:p w14:paraId="1C969015"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722289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47BA36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637DCD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81FEFB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C3BD729" w14:textId="77777777" w:rsidR="00BB2CB4" w:rsidRPr="00222C32" w:rsidRDefault="000674DA">
            <w:pPr>
              <w:pStyle w:val="MeasureTableYearHeadings"/>
              <w:keepNext/>
            </w:pPr>
            <w:r w:rsidRPr="00222C32">
              <w:t>2028-29</w:t>
            </w:r>
          </w:p>
        </w:tc>
      </w:tr>
      <w:tr w:rsidR="00BB2CB4" w:rsidRPr="00222C32" w14:paraId="7C465258" w14:textId="77777777" w:rsidTr="00825163">
        <w:trPr>
          <w:cantSplit/>
        </w:trPr>
        <w:tc>
          <w:tcPr>
            <w:tcW w:w="2501" w:type="dxa"/>
            <w:tcBorders>
              <w:top w:val="single" w:sz="4" w:space="0" w:color="293F5B"/>
              <w:bottom w:val="single" w:sz="4" w:space="0" w:color="293F5B"/>
            </w:tcBorders>
          </w:tcPr>
          <w:p w14:paraId="7104BACC"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5D7F274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213DDA2" w14:textId="77777777" w:rsidR="00BB2CB4" w:rsidRPr="00222C32" w:rsidRDefault="000674DA">
            <w:pPr>
              <w:pStyle w:val="MeasureTableDataRightAlignedwith2ptsspacing"/>
              <w:keepNext/>
            </w:pPr>
            <w:r w:rsidRPr="00222C32">
              <w:t>10.3</w:t>
            </w:r>
          </w:p>
        </w:tc>
        <w:tc>
          <w:tcPr>
            <w:tcW w:w="1044" w:type="dxa"/>
            <w:tcBorders>
              <w:top w:val="single" w:sz="4" w:space="0" w:color="293F5B"/>
              <w:bottom w:val="single" w:sz="4" w:space="0" w:color="293F5B"/>
            </w:tcBorders>
          </w:tcPr>
          <w:p w14:paraId="7F2A8B2E" w14:textId="77777777" w:rsidR="00BB2CB4" w:rsidRPr="00222C32" w:rsidRDefault="000674DA">
            <w:pPr>
              <w:pStyle w:val="MeasureTableDataRightAlignedwith2ptsspacing"/>
              <w:keepNext/>
            </w:pPr>
            <w:r w:rsidRPr="00222C32">
              <w:t>2.2</w:t>
            </w:r>
          </w:p>
        </w:tc>
        <w:tc>
          <w:tcPr>
            <w:tcW w:w="1044" w:type="dxa"/>
            <w:tcBorders>
              <w:top w:val="single" w:sz="4" w:space="0" w:color="293F5B"/>
              <w:bottom w:val="single" w:sz="4" w:space="0" w:color="293F5B"/>
            </w:tcBorders>
          </w:tcPr>
          <w:p w14:paraId="1E2A6351"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5B30DACA" w14:textId="77777777" w:rsidR="00BB2CB4" w:rsidRPr="00222C32" w:rsidRDefault="000674DA">
            <w:pPr>
              <w:pStyle w:val="MeasureTableDataRightAlignedwith2ptsspacing"/>
              <w:keepNext/>
            </w:pPr>
            <w:r w:rsidRPr="00222C32">
              <w:t>2.0</w:t>
            </w:r>
          </w:p>
        </w:tc>
      </w:tr>
    </w:tbl>
    <w:p w14:paraId="295A4A96" w14:textId="77777777" w:rsidR="00E93A0F" w:rsidRDefault="00E93A0F" w:rsidP="00E93A0F">
      <w:pPr>
        <w:pStyle w:val="SingleParagraph"/>
      </w:pPr>
    </w:p>
    <w:p w14:paraId="7FA89C0F" w14:textId="77777777" w:rsidR="00BB2CB4" w:rsidRDefault="000674DA">
      <w:pPr>
        <w:pStyle w:val="Normal2"/>
      </w:pPr>
      <w:r>
        <w:t>The Government will provide $16.5 million over four years from 2025–‍26 to support online safety. Funding includes:</w:t>
      </w:r>
    </w:p>
    <w:p w14:paraId="0277ECA1" w14:textId="77777777" w:rsidR="00BB2CB4" w:rsidRDefault="000674DA">
      <w:pPr>
        <w:pStyle w:val="Bullet"/>
      </w:pPr>
      <w:r>
        <w:t>$10.0 million in 2025–‍26 to extend the Social Media Minimum Age advertising campaign until April 2026 to help parents, carers, young people, educators and the community to understand and transition to a social media minimum age</w:t>
      </w:r>
    </w:p>
    <w:p w14:paraId="4DBD95A8" w14:textId="77777777" w:rsidR="00BB2CB4" w:rsidRDefault="000674DA">
      <w:pPr>
        <w:pStyle w:val="Bullet"/>
      </w:pPr>
      <w:r>
        <w:lastRenderedPageBreak/>
        <w:t>$6.0 million over three years from 2026–‍27 for the Alannah and Madeline Foundation to improve digital literacy and online safety awareness among primary and secondary school students</w:t>
      </w:r>
    </w:p>
    <w:p w14:paraId="7D233E93" w14:textId="77777777" w:rsidR="00BB2CB4" w:rsidRDefault="000674DA">
      <w:pPr>
        <w:pStyle w:val="Bullet"/>
      </w:pPr>
      <w:r>
        <w:t>$0.5 million over two years from 2025–‍26 for SmackTalk to deliver youth sexual extortion education.</w:t>
      </w:r>
    </w:p>
    <w:p w14:paraId="4C247780" w14:textId="77777777" w:rsidR="00BB2CB4" w:rsidRDefault="000674DA">
      <w:pPr>
        <w:pStyle w:val="Normal2"/>
      </w:pPr>
      <w:r>
        <w:t xml:space="preserve">This measure builds on the 2024–‍25 MYEFO measure </w:t>
      </w:r>
      <w:r w:rsidRPr="000674DA">
        <w:rPr>
          <w:i/>
        </w:rPr>
        <w:t>Social Media Age Limits.</w:t>
      </w:r>
    </w:p>
    <w:p w14:paraId="2E094B22" w14:textId="4868D2EE"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359424D4" w14:textId="77777777" w:rsidR="00BB2CB4" w:rsidRDefault="000674DA">
      <w:pPr>
        <w:pStyle w:val="MeasureTitle"/>
      </w:pPr>
      <w:r>
        <w:t>Rex Airlines</w:t>
      </w:r>
    </w:p>
    <w:p w14:paraId="0F55ABD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EE80699" w14:textId="77777777" w:rsidTr="00825163">
        <w:tc>
          <w:tcPr>
            <w:tcW w:w="2501" w:type="dxa"/>
            <w:tcBorders>
              <w:top w:val="single" w:sz="4" w:space="0" w:color="293F5B"/>
              <w:bottom w:val="single" w:sz="4" w:space="0" w:color="293F5B"/>
            </w:tcBorders>
          </w:tcPr>
          <w:p w14:paraId="64AD1963"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FB3C819"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F105ED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2125BCF"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558CC8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0AABE11F" w14:textId="77777777" w:rsidR="00BB2CB4" w:rsidRPr="00222C32" w:rsidRDefault="000674DA">
            <w:pPr>
              <w:pStyle w:val="MeasureTableYearHeadings"/>
              <w:keepNext/>
            </w:pPr>
            <w:r w:rsidRPr="00222C32">
              <w:t>2028-29</w:t>
            </w:r>
          </w:p>
        </w:tc>
      </w:tr>
      <w:tr w:rsidR="00BB2CB4" w:rsidRPr="00222C32" w14:paraId="4AD0D684" w14:textId="77777777" w:rsidTr="00825163">
        <w:tc>
          <w:tcPr>
            <w:tcW w:w="2501" w:type="dxa"/>
            <w:tcBorders>
              <w:top w:val="single" w:sz="4" w:space="0" w:color="293F5B"/>
              <w:bottom w:val="single" w:sz="4" w:space="0" w:color="293F5B"/>
            </w:tcBorders>
          </w:tcPr>
          <w:p w14:paraId="26521F75"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378D995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E410755" w14:textId="77777777" w:rsidR="00BB2CB4" w:rsidRPr="00222C32" w:rsidRDefault="000674DA">
            <w:pPr>
              <w:pStyle w:val="MeasureTableDataRightAlignedwith2ptsspacing"/>
              <w:keepNext/>
            </w:pPr>
            <w:r w:rsidRPr="00222C32">
              <w:t>21.9</w:t>
            </w:r>
          </w:p>
        </w:tc>
        <w:tc>
          <w:tcPr>
            <w:tcW w:w="1044" w:type="dxa"/>
            <w:tcBorders>
              <w:top w:val="single" w:sz="4" w:space="0" w:color="293F5B"/>
              <w:bottom w:val="single" w:sz="4" w:space="0" w:color="293F5B"/>
            </w:tcBorders>
          </w:tcPr>
          <w:p w14:paraId="2FC32876"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6CF415E0"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6AF81880" w14:textId="77777777" w:rsidR="00BB2CB4" w:rsidRPr="00222C32" w:rsidRDefault="000674DA">
            <w:pPr>
              <w:pStyle w:val="MeasureTableDataRightAlignedwith2ptsspacing"/>
              <w:keepNext/>
            </w:pPr>
            <w:r w:rsidRPr="00222C32">
              <w:t>0.3</w:t>
            </w:r>
          </w:p>
        </w:tc>
      </w:tr>
      <w:tr w:rsidR="00BB2CB4" w:rsidRPr="00222C32" w14:paraId="481F7F16" w14:textId="77777777" w:rsidTr="00825163">
        <w:tc>
          <w:tcPr>
            <w:tcW w:w="2501" w:type="dxa"/>
            <w:tcBorders>
              <w:top w:val="single" w:sz="4" w:space="0" w:color="293F5B"/>
              <w:bottom w:val="nil"/>
            </w:tcBorders>
          </w:tcPr>
          <w:p w14:paraId="48C27512"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67121BB0" w14:textId="77777777" w:rsidR="00BB2CB4" w:rsidRPr="00222C32" w:rsidRDefault="00BB2CB4">
            <w:pPr>
              <w:pStyle w:val="AgencyName"/>
              <w:keepNext/>
            </w:pPr>
          </w:p>
        </w:tc>
        <w:tc>
          <w:tcPr>
            <w:tcW w:w="1044" w:type="dxa"/>
            <w:tcBorders>
              <w:top w:val="single" w:sz="4" w:space="0" w:color="293F5B"/>
              <w:bottom w:val="nil"/>
            </w:tcBorders>
          </w:tcPr>
          <w:p w14:paraId="3CBD1B36" w14:textId="77777777" w:rsidR="00BB2CB4" w:rsidRPr="00222C32" w:rsidRDefault="00BB2CB4">
            <w:pPr>
              <w:pStyle w:val="AgencyName"/>
              <w:keepNext/>
            </w:pPr>
          </w:p>
        </w:tc>
        <w:tc>
          <w:tcPr>
            <w:tcW w:w="1044" w:type="dxa"/>
            <w:tcBorders>
              <w:top w:val="single" w:sz="4" w:space="0" w:color="293F5B"/>
              <w:bottom w:val="nil"/>
            </w:tcBorders>
          </w:tcPr>
          <w:p w14:paraId="3DC9AC27" w14:textId="77777777" w:rsidR="00BB2CB4" w:rsidRPr="00222C32" w:rsidRDefault="00BB2CB4">
            <w:pPr>
              <w:pStyle w:val="AgencyName"/>
              <w:keepNext/>
            </w:pPr>
          </w:p>
        </w:tc>
        <w:tc>
          <w:tcPr>
            <w:tcW w:w="1044" w:type="dxa"/>
            <w:tcBorders>
              <w:top w:val="single" w:sz="4" w:space="0" w:color="293F5B"/>
              <w:bottom w:val="nil"/>
            </w:tcBorders>
          </w:tcPr>
          <w:p w14:paraId="7CDE1D38" w14:textId="77777777" w:rsidR="00BB2CB4" w:rsidRPr="00222C32" w:rsidRDefault="00BB2CB4">
            <w:pPr>
              <w:pStyle w:val="AgencyName"/>
              <w:keepNext/>
            </w:pPr>
          </w:p>
        </w:tc>
        <w:tc>
          <w:tcPr>
            <w:tcW w:w="1044" w:type="dxa"/>
            <w:tcBorders>
              <w:top w:val="single" w:sz="4" w:space="0" w:color="293F5B"/>
              <w:bottom w:val="nil"/>
            </w:tcBorders>
          </w:tcPr>
          <w:p w14:paraId="7013F15D" w14:textId="77777777" w:rsidR="00BB2CB4" w:rsidRPr="00222C32" w:rsidRDefault="00BB2CB4">
            <w:pPr>
              <w:pStyle w:val="AgencyName"/>
              <w:keepNext/>
            </w:pPr>
          </w:p>
        </w:tc>
      </w:tr>
      <w:tr w:rsidR="00BB2CB4" w:rsidRPr="00222C32" w14:paraId="40F12A1A" w14:textId="77777777" w:rsidTr="00825163">
        <w:tc>
          <w:tcPr>
            <w:tcW w:w="2501" w:type="dxa"/>
            <w:tcBorders>
              <w:top w:val="nil"/>
              <w:bottom w:val="single" w:sz="4" w:space="0" w:color="293F5B"/>
            </w:tcBorders>
          </w:tcPr>
          <w:p w14:paraId="7B5B4408" w14:textId="77777777" w:rsidR="00BB2CB4" w:rsidRPr="00222C32" w:rsidRDefault="000674DA">
            <w:pPr>
              <w:pStyle w:val="AgencyNamewith2ptsspacing"/>
              <w:keepNext/>
            </w:pPr>
            <w:r w:rsidRPr="00222C32">
              <w:t>Department of Infrastructure, Transport, Regional Development, Communications, Sport and the Arts</w:t>
            </w:r>
          </w:p>
        </w:tc>
        <w:tc>
          <w:tcPr>
            <w:tcW w:w="1044" w:type="dxa"/>
            <w:tcBorders>
              <w:top w:val="nil"/>
              <w:bottom w:val="single" w:sz="4" w:space="0" w:color="293F5B"/>
            </w:tcBorders>
          </w:tcPr>
          <w:p w14:paraId="774DED53"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3968443" w14:textId="77777777" w:rsidR="00BB2CB4" w:rsidRPr="00222C32" w:rsidRDefault="000674DA">
            <w:pPr>
              <w:pStyle w:val="Measuretabledatarightaligneditalics"/>
              <w:keepNext/>
            </w:pPr>
            <w:r w:rsidRPr="00222C32">
              <w:t>nfp</w:t>
            </w:r>
          </w:p>
        </w:tc>
        <w:tc>
          <w:tcPr>
            <w:tcW w:w="1044" w:type="dxa"/>
            <w:tcBorders>
              <w:top w:val="nil"/>
              <w:bottom w:val="single" w:sz="4" w:space="0" w:color="293F5B"/>
            </w:tcBorders>
          </w:tcPr>
          <w:p w14:paraId="405CC29A" w14:textId="77777777" w:rsidR="00BB2CB4" w:rsidRPr="00222C32" w:rsidRDefault="000674DA">
            <w:pPr>
              <w:pStyle w:val="Measuretabledatarightaligneditalics"/>
              <w:keepNext/>
            </w:pPr>
            <w:r w:rsidRPr="00222C32">
              <w:t>nfp</w:t>
            </w:r>
          </w:p>
        </w:tc>
        <w:tc>
          <w:tcPr>
            <w:tcW w:w="1044" w:type="dxa"/>
            <w:tcBorders>
              <w:top w:val="nil"/>
              <w:bottom w:val="single" w:sz="4" w:space="0" w:color="293F5B"/>
            </w:tcBorders>
          </w:tcPr>
          <w:p w14:paraId="41A253A1" w14:textId="77777777" w:rsidR="00BB2CB4" w:rsidRPr="00222C32" w:rsidRDefault="000674DA">
            <w:pPr>
              <w:pStyle w:val="Measuretabledatarightaligneditalics"/>
              <w:keepNext/>
            </w:pPr>
            <w:r w:rsidRPr="00222C32">
              <w:t>nfp</w:t>
            </w:r>
          </w:p>
        </w:tc>
        <w:tc>
          <w:tcPr>
            <w:tcW w:w="1044" w:type="dxa"/>
            <w:tcBorders>
              <w:top w:val="nil"/>
              <w:bottom w:val="single" w:sz="4" w:space="0" w:color="293F5B"/>
            </w:tcBorders>
          </w:tcPr>
          <w:p w14:paraId="0B6F1E7C" w14:textId="77777777" w:rsidR="00BB2CB4" w:rsidRPr="00222C32" w:rsidRDefault="000674DA">
            <w:pPr>
              <w:pStyle w:val="Measuretabledatarightaligneditalics"/>
              <w:keepNext/>
            </w:pPr>
            <w:r w:rsidRPr="00222C32">
              <w:t>nfp</w:t>
            </w:r>
          </w:p>
        </w:tc>
      </w:tr>
    </w:tbl>
    <w:p w14:paraId="0CF7EE87" w14:textId="77777777" w:rsidR="00E93A0F" w:rsidRDefault="00E93A0F" w:rsidP="00E93A0F">
      <w:pPr>
        <w:pStyle w:val="SingleParagraph"/>
      </w:pPr>
    </w:p>
    <w:p w14:paraId="4C4A9A89" w14:textId="77777777" w:rsidR="00BB2CB4" w:rsidRDefault="000674DA">
      <w:pPr>
        <w:pStyle w:val="Normal2"/>
      </w:pPr>
      <w:r>
        <w:t>The Government will provide $13.8 million over eight years from 2025–‍26 to support the successful sale of Regional Express Airlines (Rex) and preserve regional aviation connectivity. Funding includes:</w:t>
      </w:r>
    </w:p>
    <w:p w14:paraId="65175867" w14:textId="77777777" w:rsidR="00BB2CB4" w:rsidRDefault="000674DA">
      <w:pPr>
        <w:pStyle w:val="Bullet"/>
      </w:pPr>
      <w:r>
        <w:t>$8.5 million over eight years from 2025–‍26 for the Department of Infrastructure, Transport, Regional Development, Communications, Sport and the Arts to complete the sale process and administer the support package for Rex</w:t>
      </w:r>
    </w:p>
    <w:p w14:paraId="4BA75111" w14:textId="77777777" w:rsidR="00BB2CB4" w:rsidRDefault="000674DA">
      <w:pPr>
        <w:pStyle w:val="Bullet"/>
      </w:pPr>
      <w:r>
        <w:t>$5.3 million in 2025–‍26 to support local governments and regional and remote airports that were owed funds by Rex when it entered voluntary administration.</w:t>
      </w:r>
    </w:p>
    <w:p w14:paraId="6CDDD75C" w14:textId="77777777" w:rsidR="00BB2CB4" w:rsidRDefault="000674DA">
      <w:pPr>
        <w:pStyle w:val="Normal2"/>
      </w:pPr>
      <w:r w:rsidRPr="69C11E82">
        <w:rPr>
          <w:lang w:val="en-US"/>
        </w:rPr>
        <w:t>The Government also provided additional financing of up to $30.0 million in 2025–‍26 to support Rex during the remaining administration period.</w:t>
      </w:r>
    </w:p>
    <w:p w14:paraId="159BCAA1" w14:textId="4D2D4DC7" w:rsidR="00BB2CB4" w:rsidRDefault="000674DA">
      <w:pPr>
        <w:pStyle w:val="Normal2"/>
      </w:pPr>
      <w:r>
        <w:t>The Government</w:t>
      </w:r>
      <w:r w:rsidR="00222C32">
        <w:t>’</w:t>
      </w:r>
      <w:r>
        <w:t>s loan to Rex will be restructured on completion of the sale to Air T, Inc., with approximately $90.0 million to be carried forward. The Government will also make a new loan of up to $60.0 million available to Rex for capital expenditure and operational requirements.</w:t>
      </w:r>
    </w:p>
    <w:p w14:paraId="14B92CAD" w14:textId="77777777" w:rsidR="00BB2CB4" w:rsidRDefault="000674DA">
      <w:pPr>
        <w:pStyle w:val="Normal2"/>
      </w:pPr>
      <w:r w:rsidRPr="69C11E82">
        <w:rPr>
          <w:lang w:val="en-US"/>
        </w:rPr>
        <w:t>Some elements of this measure are not for publication (nfp) because they would disclose individual financing arrangements with third parties.</w:t>
      </w:r>
    </w:p>
    <w:p w14:paraId="1EF3A671" w14:textId="77777777" w:rsidR="00BB2CB4" w:rsidRDefault="000674DA">
      <w:pPr>
        <w:pStyle w:val="Normal2"/>
      </w:pPr>
      <w:r>
        <w:t xml:space="preserve">This measure builds on the 2024–‍25 MYEFO measure titled </w:t>
      </w:r>
      <w:r w:rsidRPr="000674DA">
        <w:rPr>
          <w:i/>
        </w:rPr>
        <w:t>Supporting Aviation Priorities.</w:t>
      </w:r>
    </w:p>
    <w:p w14:paraId="0444FC5F" w14:textId="77777777" w:rsidR="00BB2CB4" w:rsidRDefault="000674DA">
      <w:pPr>
        <w:pStyle w:val="MeasureTitle"/>
      </w:pPr>
      <w:r>
        <w:lastRenderedPageBreak/>
        <w:t>Supporting Connectivity</w:t>
      </w:r>
    </w:p>
    <w:p w14:paraId="6592684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99CC562" w14:textId="77777777" w:rsidTr="00825163">
        <w:tc>
          <w:tcPr>
            <w:tcW w:w="2501" w:type="dxa"/>
            <w:tcBorders>
              <w:top w:val="single" w:sz="4" w:space="0" w:color="293F5B"/>
              <w:bottom w:val="single" w:sz="4" w:space="0" w:color="293F5B"/>
            </w:tcBorders>
          </w:tcPr>
          <w:p w14:paraId="3CB76C9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3CDE64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D07EA3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3B11133"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AEDCDD6"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FFE4B55" w14:textId="77777777" w:rsidR="00BB2CB4" w:rsidRPr="00222C32" w:rsidRDefault="000674DA">
            <w:pPr>
              <w:pStyle w:val="MeasureTableYearHeadings"/>
              <w:keepNext/>
            </w:pPr>
            <w:r w:rsidRPr="00222C32">
              <w:t>2028-29</w:t>
            </w:r>
          </w:p>
        </w:tc>
      </w:tr>
      <w:tr w:rsidR="00BB2CB4" w:rsidRPr="00222C32" w14:paraId="326847C3" w14:textId="77777777" w:rsidTr="00825163">
        <w:tc>
          <w:tcPr>
            <w:tcW w:w="2501" w:type="dxa"/>
            <w:tcBorders>
              <w:top w:val="single" w:sz="4" w:space="0" w:color="293F5B"/>
              <w:bottom w:val="single" w:sz="4" w:space="0" w:color="293F5B"/>
            </w:tcBorders>
          </w:tcPr>
          <w:p w14:paraId="1E4D21B6" w14:textId="77777777" w:rsidR="00BB2CB4" w:rsidRPr="00222C32" w:rsidRDefault="000674DA">
            <w:pPr>
              <w:pStyle w:val="MeasureTableHeadingleftalignedwith2ptsspacing"/>
              <w:keepNext/>
            </w:pPr>
            <w:r w:rsidRPr="00222C32">
              <w:t>Australian Communications and Media Authority</w:t>
            </w:r>
          </w:p>
        </w:tc>
        <w:tc>
          <w:tcPr>
            <w:tcW w:w="1044" w:type="dxa"/>
            <w:tcBorders>
              <w:top w:val="single" w:sz="4" w:space="0" w:color="293F5B"/>
              <w:bottom w:val="single" w:sz="4" w:space="0" w:color="293F5B"/>
            </w:tcBorders>
          </w:tcPr>
          <w:p w14:paraId="1013062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4E0DBFE" w14:textId="77777777" w:rsidR="00BB2CB4" w:rsidRPr="00222C32" w:rsidRDefault="000674DA">
            <w:pPr>
              <w:pStyle w:val="MeasureTableDataRightAlignedwith2ptsspacing"/>
              <w:keepNext/>
            </w:pPr>
            <w:r w:rsidRPr="00222C32">
              <w:t>2.3</w:t>
            </w:r>
          </w:p>
        </w:tc>
        <w:tc>
          <w:tcPr>
            <w:tcW w:w="1044" w:type="dxa"/>
            <w:tcBorders>
              <w:top w:val="single" w:sz="4" w:space="0" w:color="293F5B"/>
              <w:bottom w:val="single" w:sz="4" w:space="0" w:color="293F5B"/>
            </w:tcBorders>
          </w:tcPr>
          <w:p w14:paraId="01646B7B" w14:textId="77777777" w:rsidR="00BB2CB4" w:rsidRPr="00222C32" w:rsidRDefault="000674DA">
            <w:pPr>
              <w:pStyle w:val="MeasureTableDataRightAlignedwith2ptsspacing"/>
              <w:keepNext/>
            </w:pPr>
            <w:r w:rsidRPr="00222C32">
              <w:t>6.7</w:t>
            </w:r>
          </w:p>
        </w:tc>
        <w:tc>
          <w:tcPr>
            <w:tcW w:w="1044" w:type="dxa"/>
            <w:tcBorders>
              <w:top w:val="single" w:sz="4" w:space="0" w:color="293F5B"/>
              <w:bottom w:val="single" w:sz="4" w:space="0" w:color="293F5B"/>
            </w:tcBorders>
          </w:tcPr>
          <w:p w14:paraId="047BF6C0" w14:textId="77777777" w:rsidR="00BB2CB4" w:rsidRPr="00222C32" w:rsidRDefault="000674DA">
            <w:pPr>
              <w:pStyle w:val="MeasureTableDataRightAlignedwith2ptsspacing"/>
              <w:keepNext/>
            </w:pPr>
            <w:r w:rsidRPr="00222C32">
              <w:t>7.2</w:t>
            </w:r>
          </w:p>
        </w:tc>
        <w:tc>
          <w:tcPr>
            <w:tcW w:w="1044" w:type="dxa"/>
            <w:tcBorders>
              <w:top w:val="single" w:sz="4" w:space="0" w:color="293F5B"/>
              <w:bottom w:val="single" w:sz="4" w:space="0" w:color="293F5B"/>
            </w:tcBorders>
          </w:tcPr>
          <w:p w14:paraId="22B5C58C" w14:textId="77777777" w:rsidR="00BB2CB4" w:rsidRPr="00222C32" w:rsidRDefault="000674DA">
            <w:pPr>
              <w:pStyle w:val="MeasureTableDataRightAlignedwith2ptsspacing"/>
              <w:keepNext/>
            </w:pPr>
            <w:r w:rsidRPr="00222C32">
              <w:t>7.2</w:t>
            </w:r>
          </w:p>
        </w:tc>
      </w:tr>
      <w:tr w:rsidR="00BB2CB4" w:rsidRPr="00222C32" w14:paraId="1E571CCA" w14:textId="77777777" w:rsidTr="00825163">
        <w:tc>
          <w:tcPr>
            <w:tcW w:w="2501" w:type="dxa"/>
            <w:tcBorders>
              <w:top w:val="single" w:sz="4" w:space="0" w:color="293F5B"/>
              <w:bottom w:val="single" w:sz="4" w:space="0" w:color="293F5B"/>
            </w:tcBorders>
          </w:tcPr>
          <w:p w14:paraId="6595CB5B"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3EA75D8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5BAEE30" w14:textId="77777777" w:rsidR="00BB2CB4" w:rsidRPr="00222C32" w:rsidRDefault="000674DA">
            <w:pPr>
              <w:pStyle w:val="MeasureTableDataRightAlignedwith2ptsspacing"/>
              <w:keepNext/>
            </w:pPr>
            <w:r w:rsidRPr="00222C32">
              <w:t>-10.7</w:t>
            </w:r>
          </w:p>
        </w:tc>
        <w:tc>
          <w:tcPr>
            <w:tcW w:w="1044" w:type="dxa"/>
            <w:tcBorders>
              <w:top w:val="single" w:sz="4" w:space="0" w:color="293F5B"/>
              <w:bottom w:val="single" w:sz="4" w:space="0" w:color="293F5B"/>
            </w:tcBorders>
          </w:tcPr>
          <w:p w14:paraId="5F50767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CDE651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D8E85D" w14:textId="77777777" w:rsidR="00BB2CB4" w:rsidRPr="00222C32" w:rsidRDefault="000674DA">
            <w:pPr>
              <w:pStyle w:val="MeasureTableDataRightAlignedwith2ptsspacing"/>
              <w:keepNext/>
            </w:pPr>
            <w:r w:rsidRPr="00222C32">
              <w:t>-</w:t>
            </w:r>
          </w:p>
        </w:tc>
      </w:tr>
      <w:tr w:rsidR="00BB2CB4" w:rsidRPr="00222C32" w14:paraId="55A4A512" w14:textId="77777777" w:rsidTr="00825163">
        <w:tc>
          <w:tcPr>
            <w:tcW w:w="2501" w:type="dxa"/>
            <w:tcBorders>
              <w:top w:val="single" w:sz="4" w:space="0" w:color="293F5B"/>
              <w:bottom w:val="single" w:sz="4" w:space="0" w:color="293F5B"/>
            </w:tcBorders>
          </w:tcPr>
          <w:p w14:paraId="0EF84588"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5902535"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5F041EF" w14:textId="77777777" w:rsidR="00BB2CB4" w:rsidRPr="00222C32" w:rsidRDefault="000674DA">
            <w:pPr>
              <w:pStyle w:val="Totaldatarowrightaligned"/>
              <w:keepNext/>
            </w:pPr>
            <w:r w:rsidRPr="00222C32">
              <w:t>-8.4</w:t>
            </w:r>
          </w:p>
        </w:tc>
        <w:tc>
          <w:tcPr>
            <w:tcW w:w="1044" w:type="dxa"/>
            <w:tcBorders>
              <w:top w:val="single" w:sz="4" w:space="0" w:color="293F5B"/>
              <w:bottom w:val="single" w:sz="4" w:space="0" w:color="293F5B"/>
            </w:tcBorders>
          </w:tcPr>
          <w:p w14:paraId="4D1E6C4D" w14:textId="77777777" w:rsidR="00BB2CB4" w:rsidRPr="00222C32" w:rsidRDefault="000674DA">
            <w:pPr>
              <w:pStyle w:val="Totaldatarowrightaligned"/>
              <w:keepNext/>
            </w:pPr>
            <w:r w:rsidRPr="00222C32">
              <w:t>6.7</w:t>
            </w:r>
          </w:p>
        </w:tc>
        <w:tc>
          <w:tcPr>
            <w:tcW w:w="1044" w:type="dxa"/>
            <w:tcBorders>
              <w:top w:val="single" w:sz="4" w:space="0" w:color="293F5B"/>
              <w:bottom w:val="single" w:sz="4" w:space="0" w:color="293F5B"/>
            </w:tcBorders>
          </w:tcPr>
          <w:p w14:paraId="232DB731" w14:textId="77777777" w:rsidR="00BB2CB4" w:rsidRPr="00222C32" w:rsidRDefault="000674DA">
            <w:pPr>
              <w:pStyle w:val="Totaldatarowrightaligned"/>
              <w:keepNext/>
            </w:pPr>
            <w:r w:rsidRPr="00222C32">
              <w:t>7.2</w:t>
            </w:r>
          </w:p>
        </w:tc>
        <w:tc>
          <w:tcPr>
            <w:tcW w:w="1044" w:type="dxa"/>
            <w:tcBorders>
              <w:top w:val="single" w:sz="4" w:space="0" w:color="293F5B"/>
              <w:bottom w:val="single" w:sz="4" w:space="0" w:color="293F5B"/>
            </w:tcBorders>
          </w:tcPr>
          <w:p w14:paraId="2BD997E3" w14:textId="77777777" w:rsidR="00BB2CB4" w:rsidRPr="00222C32" w:rsidRDefault="000674DA">
            <w:pPr>
              <w:pStyle w:val="Totaldatarowrightaligned"/>
              <w:keepNext/>
            </w:pPr>
            <w:r w:rsidRPr="00222C32">
              <w:t>7.2</w:t>
            </w:r>
          </w:p>
        </w:tc>
      </w:tr>
      <w:tr w:rsidR="00BB2CB4" w:rsidRPr="00222C32" w14:paraId="301A1191" w14:textId="77777777" w:rsidTr="00825163">
        <w:tc>
          <w:tcPr>
            <w:tcW w:w="2501" w:type="dxa"/>
            <w:tcBorders>
              <w:top w:val="single" w:sz="4" w:space="0" w:color="293F5B"/>
              <w:bottom w:val="nil"/>
            </w:tcBorders>
          </w:tcPr>
          <w:p w14:paraId="285D99ED"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29E6F2A3" w14:textId="77777777" w:rsidR="00BB2CB4" w:rsidRPr="00222C32" w:rsidRDefault="00BB2CB4">
            <w:pPr>
              <w:pStyle w:val="AgencyName"/>
              <w:keepNext/>
            </w:pPr>
          </w:p>
        </w:tc>
        <w:tc>
          <w:tcPr>
            <w:tcW w:w="1044" w:type="dxa"/>
            <w:tcBorders>
              <w:top w:val="single" w:sz="4" w:space="0" w:color="293F5B"/>
              <w:bottom w:val="nil"/>
            </w:tcBorders>
          </w:tcPr>
          <w:p w14:paraId="1BF73361" w14:textId="77777777" w:rsidR="00BB2CB4" w:rsidRPr="00222C32" w:rsidRDefault="00BB2CB4">
            <w:pPr>
              <w:pStyle w:val="AgencyName"/>
              <w:keepNext/>
            </w:pPr>
          </w:p>
        </w:tc>
        <w:tc>
          <w:tcPr>
            <w:tcW w:w="1044" w:type="dxa"/>
            <w:tcBorders>
              <w:top w:val="single" w:sz="4" w:space="0" w:color="293F5B"/>
              <w:bottom w:val="nil"/>
            </w:tcBorders>
          </w:tcPr>
          <w:p w14:paraId="757AD3BF" w14:textId="77777777" w:rsidR="00BB2CB4" w:rsidRPr="00222C32" w:rsidRDefault="00BB2CB4">
            <w:pPr>
              <w:pStyle w:val="AgencyName"/>
              <w:keepNext/>
            </w:pPr>
          </w:p>
        </w:tc>
        <w:tc>
          <w:tcPr>
            <w:tcW w:w="1044" w:type="dxa"/>
            <w:tcBorders>
              <w:top w:val="single" w:sz="4" w:space="0" w:color="293F5B"/>
              <w:bottom w:val="nil"/>
            </w:tcBorders>
          </w:tcPr>
          <w:p w14:paraId="041A397B" w14:textId="77777777" w:rsidR="00BB2CB4" w:rsidRPr="00222C32" w:rsidRDefault="00BB2CB4">
            <w:pPr>
              <w:pStyle w:val="AgencyName"/>
              <w:keepNext/>
            </w:pPr>
          </w:p>
        </w:tc>
        <w:tc>
          <w:tcPr>
            <w:tcW w:w="1044" w:type="dxa"/>
            <w:tcBorders>
              <w:top w:val="single" w:sz="4" w:space="0" w:color="293F5B"/>
              <w:bottom w:val="nil"/>
            </w:tcBorders>
          </w:tcPr>
          <w:p w14:paraId="7D1BD728" w14:textId="77777777" w:rsidR="00BB2CB4" w:rsidRPr="00222C32" w:rsidRDefault="00BB2CB4">
            <w:pPr>
              <w:pStyle w:val="AgencyName"/>
              <w:keepNext/>
            </w:pPr>
          </w:p>
        </w:tc>
      </w:tr>
      <w:tr w:rsidR="00BB2CB4" w:rsidRPr="00222C32" w14:paraId="61C3DC41" w14:textId="77777777" w:rsidTr="00825163">
        <w:tc>
          <w:tcPr>
            <w:tcW w:w="2501" w:type="dxa"/>
            <w:tcBorders>
              <w:top w:val="nil"/>
              <w:bottom w:val="single" w:sz="4" w:space="0" w:color="293F5B"/>
            </w:tcBorders>
          </w:tcPr>
          <w:p w14:paraId="7320C136" w14:textId="77777777" w:rsidR="00BB2CB4" w:rsidRPr="00222C32" w:rsidRDefault="000674DA">
            <w:pPr>
              <w:pStyle w:val="AgencyNamewith2ptsspacing"/>
              <w:keepNext/>
            </w:pPr>
            <w:r w:rsidRPr="00222C32">
              <w:t>Australian Communications and Media Authority</w:t>
            </w:r>
          </w:p>
        </w:tc>
        <w:tc>
          <w:tcPr>
            <w:tcW w:w="1044" w:type="dxa"/>
            <w:tcBorders>
              <w:top w:val="nil"/>
              <w:bottom w:val="single" w:sz="4" w:space="0" w:color="293F5B"/>
            </w:tcBorders>
          </w:tcPr>
          <w:p w14:paraId="4AA13724"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5CD4A1B"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4FA0A21C"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077DDC4" w14:textId="77777777" w:rsidR="00BB2CB4" w:rsidRPr="00222C32" w:rsidRDefault="000674DA">
            <w:pPr>
              <w:pStyle w:val="Measuretabledatarightaligneditalics"/>
              <w:keepNext/>
            </w:pPr>
            <w:r w:rsidRPr="00222C32">
              <w:t>2.3</w:t>
            </w:r>
          </w:p>
        </w:tc>
        <w:tc>
          <w:tcPr>
            <w:tcW w:w="1044" w:type="dxa"/>
            <w:tcBorders>
              <w:top w:val="nil"/>
              <w:bottom w:val="single" w:sz="4" w:space="0" w:color="293F5B"/>
            </w:tcBorders>
          </w:tcPr>
          <w:p w14:paraId="7183A0FC" w14:textId="77777777" w:rsidR="00BB2CB4" w:rsidRPr="00222C32" w:rsidRDefault="000674DA">
            <w:pPr>
              <w:pStyle w:val="Measuretabledatarightaligneditalics"/>
              <w:keepNext/>
            </w:pPr>
            <w:r w:rsidRPr="00222C32">
              <w:t>6.7</w:t>
            </w:r>
          </w:p>
        </w:tc>
      </w:tr>
    </w:tbl>
    <w:p w14:paraId="5E72CC57" w14:textId="77777777" w:rsidR="007D09D0" w:rsidRDefault="007D09D0" w:rsidP="007D09D0">
      <w:pPr>
        <w:pStyle w:val="SingleParagraph"/>
      </w:pPr>
    </w:p>
    <w:p w14:paraId="5088A16D" w14:textId="77777777" w:rsidR="00BB2CB4" w:rsidRDefault="000674DA">
      <w:pPr>
        <w:pStyle w:val="Normal2"/>
      </w:pPr>
      <w:r>
        <w:t>The Government will provide $24.6 million over four years from 2025–‍26 (and $7.2 million per year ongoing) to continue to support telecommunications connectivity. Funding includes:</w:t>
      </w:r>
    </w:p>
    <w:p w14:paraId="24A5C3F7" w14:textId="77777777" w:rsidR="00BB2CB4" w:rsidRDefault="000674DA">
      <w:pPr>
        <w:pStyle w:val="Bullet"/>
      </w:pPr>
      <w:r>
        <w:t>$23.4 million over four years from 2025–‍26 (and $7.2 million ongoing) for the Australian Communications and Media Authority to undertake regulatory oversight and compliance activities to improve the Triple Zero emergency call service and support the Triple Zero Custodian</w:t>
      </w:r>
    </w:p>
    <w:p w14:paraId="065BADC1" w14:textId="77777777" w:rsidR="00BB2CB4" w:rsidRDefault="000674DA">
      <w:pPr>
        <w:pStyle w:val="Bullet"/>
      </w:pPr>
      <w:r>
        <w:t>$1.2 million over two years from 2026–‍27 to strengthen the resilience of mobile telecommunications towers in the Perth Hills, Western Australia.</w:t>
      </w:r>
    </w:p>
    <w:p w14:paraId="0625827C" w14:textId="1CFA36E0" w:rsidR="00BB2CB4" w:rsidRDefault="000674DA">
      <w:pPr>
        <w:pStyle w:val="Normal2"/>
      </w:pPr>
      <w:r w:rsidRPr="69C11E82">
        <w:rPr>
          <w:lang w:val="en-US"/>
        </w:rPr>
        <w:t xml:space="preserve">The cost of this measure will be met from a reprioritisation of funding from the 2022–‍23 October Budget measure titled </w:t>
      </w:r>
      <w:r w:rsidRPr="69C11E82">
        <w:rPr>
          <w:i/>
          <w:lang w:val="en-US"/>
        </w:rPr>
        <w:t>Better Connectivity Plan for Regional and Rural Australia</w:t>
      </w:r>
      <w:r w:rsidRPr="69C11E82">
        <w:rPr>
          <w:lang w:val="en-US"/>
        </w:rPr>
        <w:t>, the 2021</w:t>
      </w:r>
      <w:r w:rsidR="007974EF">
        <w:t>–‍</w:t>
      </w:r>
      <w:r w:rsidRPr="69C11E82">
        <w:rPr>
          <w:lang w:val="en-US"/>
        </w:rPr>
        <w:t xml:space="preserve">22 Budget measure titled </w:t>
      </w:r>
      <w:r w:rsidRPr="69C11E82">
        <w:rPr>
          <w:i/>
          <w:lang w:val="en-US"/>
        </w:rPr>
        <w:t>Our North, Our Future – Next Five Year Plan for Northern Australia</w:t>
      </w:r>
      <w:r w:rsidRPr="69C11E82">
        <w:rPr>
          <w:lang w:val="en-US"/>
        </w:rPr>
        <w:t xml:space="preserve"> and revenue from an increase to the Annual Carrier Licence Charge.</w:t>
      </w:r>
    </w:p>
    <w:p w14:paraId="680B7974" w14:textId="4617FFC6"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1B3F5001" w14:textId="6627E95C" w:rsidR="00BB2CB4" w:rsidRDefault="000674DA">
      <w:pPr>
        <w:pStyle w:val="MeasureTitle"/>
      </w:pPr>
      <w:r>
        <w:lastRenderedPageBreak/>
        <w:t>Supporting International Sporting Events</w:t>
      </w:r>
    </w:p>
    <w:p w14:paraId="66ECE95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49AFA95" w14:textId="77777777" w:rsidTr="00825163">
        <w:tc>
          <w:tcPr>
            <w:tcW w:w="2501" w:type="dxa"/>
            <w:tcBorders>
              <w:top w:val="single" w:sz="4" w:space="0" w:color="293F5B"/>
              <w:bottom w:val="single" w:sz="4" w:space="0" w:color="293F5B"/>
            </w:tcBorders>
          </w:tcPr>
          <w:p w14:paraId="29BF8FA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4F7FC7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89C936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9CED4A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EC080B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A164D2A" w14:textId="77777777" w:rsidR="00BB2CB4" w:rsidRPr="00222C32" w:rsidRDefault="000674DA">
            <w:pPr>
              <w:pStyle w:val="MeasureTableYearHeadings"/>
              <w:keepNext/>
            </w:pPr>
            <w:r w:rsidRPr="00222C32">
              <w:t>2028-29</w:t>
            </w:r>
          </w:p>
        </w:tc>
      </w:tr>
      <w:tr w:rsidR="00BB2CB4" w:rsidRPr="00222C32" w14:paraId="104C3934" w14:textId="77777777" w:rsidTr="00825163">
        <w:tc>
          <w:tcPr>
            <w:tcW w:w="2501" w:type="dxa"/>
            <w:tcBorders>
              <w:top w:val="single" w:sz="4" w:space="0" w:color="293F5B"/>
              <w:bottom w:val="single" w:sz="4" w:space="0" w:color="293F5B"/>
            </w:tcBorders>
          </w:tcPr>
          <w:p w14:paraId="388BF40E"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6C1E935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C06D9FA" w14:textId="77777777" w:rsidR="00BB2CB4" w:rsidRPr="00222C32" w:rsidRDefault="000674DA">
            <w:pPr>
              <w:pStyle w:val="MeasureTableDataRightAlignedwith2ptsspacing"/>
              <w:keepNext/>
            </w:pPr>
            <w:r w:rsidRPr="00222C32">
              <w:t>1.8</w:t>
            </w:r>
          </w:p>
        </w:tc>
        <w:tc>
          <w:tcPr>
            <w:tcW w:w="1044" w:type="dxa"/>
            <w:tcBorders>
              <w:top w:val="single" w:sz="4" w:space="0" w:color="293F5B"/>
              <w:bottom w:val="single" w:sz="4" w:space="0" w:color="293F5B"/>
            </w:tcBorders>
          </w:tcPr>
          <w:p w14:paraId="5DE52B5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BBD0C5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E8E3320" w14:textId="77777777" w:rsidR="00BB2CB4" w:rsidRPr="00222C32" w:rsidRDefault="000674DA">
            <w:pPr>
              <w:pStyle w:val="MeasureTableDataRightAlignedwith2ptsspacing"/>
              <w:keepNext/>
            </w:pPr>
            <w:r w:rsidRPr="00222C32">
              <w:t>-</w:t>
            </w:r>
          </w:p>
        </w:tc>
      </w:tr>
      <w:tr w:rsidR="00BB2CB4" w:rsidRPr="00222C32" w14:paraId="54D16118" w14:textId="77777777" w:rsidTr="00825163">
        <w:tc>
          <w:tcPr>
            <w:tcW w:w="2501" w:type="dxa"/>
            <w:tcBorders>
              <w:top w:val="single" w:sz="4" w:space="0" w:color="293F5B"/>
              <w:bottom w:val="single" w:sz="4" w:space="0" w:color="293F5B"/>
            </w:tcBorders>
          </w:tcPr>
          <w:p w14:paraId="573B4CEA"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1902A2B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529546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D97819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852F14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0FEAA20" w14:textId="77777777" w:rsidR="00BB2CB4" w:rsidRPr="00222C32" w:rsidRDefault="000674DA">
            <w:pPr>
              <w:pStyle w:val="MeasureTableDataRightAlignedwith2ptsspacing"/>
              <w:keepNext/>
            </w:pPr>
            <w:r w:rsidRPr="00222C32">
              <w:t>-</w:t>
            </w:r>
          </w:p>
        </w:tc>
      </w:tr>
      <w:tr w:rsidR="00BB2CB4" w:rsidRPr="00222C32" w14:paraId="4FA348E8" w14:textId="77777777" w:rsidTr="00825163">
        <w:tc>
          <w:tcPr>
            <w:tcW w:w="2501" w:type="dxa"/>
            <w:tcBorders>
              <w:top w:val="single" w:sz="4" w:space="0" w:color="293F5B"/>
              <w:bottom w:val="single" w:sz="4" w:space="0" w:color="293F5B"/>
            </w:tcBorders>
          </w:tcPr>
          <w:p w14:paraId="7F86BCE4"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6F097B9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9D797B0" w14:textId="77777777" w:rsidR="00BB2CB4" w:rsidRPr="00222C32" w:rsidRDefault="000674DA">
            <w:pPr>
              <w:pStyle w:val="MeasureTableDataRightAlignedwith2ptsspacing"/>
              <w:keepNext/>
            </w:pPr>
            <w:r w:rsidRPr="00222C32">
              <w:t>-184.5</w:t>
            </w:r>
          </w:p>
        </w:tc>
        <w:tc>
          <w:tcPr>
            <w:tcW w:w="1044" w:type="dxa"/>
            <w:tcBorders>
              <w:top w:val="single" w:sz="4" w:space="0" w:color="293F5B"/>
              <w:bottom w:val="single" w:sz="4" w:space="0" w:color="293F5B"/>
            </w:tcBorders>
          </w:tcPr>
          <w:p w14:paraId="3EE32590" w14:textId="77777777" w:rsidR="00BB2CB4" w:rsidRPr="00222C32" w:rsidRDefault="000674DA">
            <w:pPr>
              <w:pStyle w:val="MeasureTableDataRightAlignedwith2ptsspacing"/>
              <w:keepNext/>
            </w:pPr>
            <w:r w:rsidRPr="00222C32">
              <w:t>59.4</w:t>
            </w:r>
          </w:p>
        </w:tc>
        <w:tc>
          <w:tcPr>
            <w:tcW w:w="1044" w:type="dxa"/>
            <w:tcBorders>
              <w:top w:val="single" w:sz="4" w:space="0" w:color="293F5B"/>
              <w:bottom w:val="single" w:sz="4" w:space="0" w:color="293F5B"/>
            </w:tcBorders>
          </w:tcPr>
          <w:p w14:paraId="2B24CAFF" w14:textId="77777777" w:rsidR="00BB2CB4" w:rsidRPr="00222C32" w:rsidRDefault="000674DA">
            <w:pPr>
              <w:pStyle w:val="MeasureTableDataRightAlignedwith2ptsspacing"/>
              <w:keepNext/>
            </w:pPr>
            <w:r w:rsidRPr="00222C32">
              <w:t>-19.3</w:t>
            </w:r>
          </w:p>
        </w:tc>
        <w:tc>
          <w:tcPr>
            <w:tcW w:w="1044" w:type="dxa"/>
            <w:tcBorders>
              <w:top w:val="single" w:sz="4" w:space="0" w:color="293F5B"/>
              <w:bottom w:val="single" w:sz="4" w:space="0" w:color="293F5B"/>
            </w:tcBorders>
          </w:tcPr>
          <w:p w14:paraId="3D8C6FA1" w14:textId="77777777" w:rsidR="00BB2CB4" w:rsidRPr="00222C32" w:rsidRDefault="000674DA">
            <w:pPr>
              <w:pStyle w:val="MeasureTableDataRightAlignedwith2ptsspacing"/>
              <w:keepNext/>
            </w:pPr>
            <w:r w:rsidRPr="00222C32">
              <w:t>-246.1</w:t>
            </w:r>
          </w:p>
        </w:tc>
      </w:tr>
      <w:tr w:rsidR="00BB2CB4" w:rsidRPr="00222C32" w14:paraId="189596D6" w14:textId="77777777" w:rsidTr="00825163">
        <w:tc>
          <w:tcPr>
            <w:tcW w:w="2501" w:type="dxa"/>
            <w:tcBorders>
              <w:top w:val="single" w:sz="4" w:space="0" w:color="293F5B"/>
              <w:bottom w:val="single" w:sz="4" w:space="0" w:color="293F5B"/>
            </w:tcBorders>
          </w:tcPr>
          <w:p w14:paraId="4630C8D1"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894E047"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26CE247" w14:textId="77777777" w:rsidR="00BB2CB4" w:rsidRPr="00222C32" w:rsidRDefault="000674DA">
            <w:pPr>
              <w:pStyle w:val="Totaldatarowrightaligned"/>
              <w:keepNext/>
            </w:pPr>
            <w:r w:rsidRPr="00222C32">
              <w:t>-182.8</w:t>
            </w:r>
          </w:p>
        </w:tc>
        <w:tc>
          <w:tcPr>
            <w:tcW w:w="1044" w:type="dxa"/>
            <w:tcBorders>
              <w:top w:val="single" w:sz="4" w:space="0" w:color="293F5B"/>
              <w:bottom w:val="single" w:sz="4" w:space="0" w:color="293F5B"/>
            </w:tcBorders>
          </w:tcPr>
          <w:p w14:paraId="06319982" w14:textId="77777777" w:rsidR="00BB2CB4" w:rsidRPr="00222C32" w:rsidRDefault="000674DA">
            <w:pPr>
              <w:pStyle w:val="Totaldatarowrightaligned"/>
              <w:keepNext/>
            </w:pPr>
            <w:r w:rsidRPr="00222C32">
              <w:t>59.4</w:t>
            </w:r>
          </w:p>
        </w:tc>
        <w:tc>
          <w:tcPr>
            <w:tcW w:w="1044" w:type="dxa"/>
            <w:tcBorders>
              <w:top w:val="single" w:sz="4" w:space="0" w:color="293F5B"/>
              <w:bottom w:val="single" w:sz="4" w:space="0" w:color="293F5B"/>
            </w:tcBorders>
          </w:tcPr>
          <w:p w14:paraId="37DAD04B" w14:textId="77777777" w:rsidR="00BB2CB4" w:rsidRPr="00222C32" w:rsidRDefault="000674DA">
            <w:pPr>
              <w:pStyle w:val="Totaldatarowrightaligned"/>
              <w:keepNext/>
            </w:pPr>
            <w:r w:rsidRPr="00222C32">
              <w:t>-19.3</w:t>
            </w:r>
          </w:p>
        </w:tc>
        <w:tc>
          <w:tcPr>
            <w:tcW w:w="1044" w:type="dxa"/>
            <w:tcBorders>
              <w:top w:val="single" w:sz="4" w:space="0" w:color="293F5B"/>
              <w:bottom w:val="single" w:sz="4" w:space="0" w:color="293F5B"/>
            </w:tcBorders>
          </w:tcPr>
          <w:p w14:paraId="60758C56" w14:textId="77777777" w:rsidR="00BB2CB4" w:rsidRPr="00222C32" w:rsidRDefault="000674DA">
            <w:pPr>
              <w:pStyle w:val="Totaldatarowrightaligned"/>
              <w:keepNext/>
            </w:pPr>
            <w:r w:rsidRPr="00222C32">
              <w:t>-246.1</w:t>
            </w:r>
          </w:p>
        </w:tc>
      </w:tr>
      <w:tr w:rsidR="00BB2CB4" w:rsidRPr="00222C32" w14:paraId="12635D54" w14:textId="77777777" w:rsidTr="00825163">
        <w:tc>
          <w:tcPr>
            <w:tcW w:w="2501" w:type="dxa"/>
            <w:tcBorders>
              <w:top w:val="single" w:sz="4" w:space="0" w:color="293F5B"/>
              <w:bottom w:val="nil"/>
            </w:tcBorders>
          </w:tcPr>
          <w:p w14:paraId="3DC8502E"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8B8D6A4" w14:textId="77777777" w:rsidR="00BB2CB4" w:rsidRPr="00222C32" w:rsidRDefault="00BB2CB4">
            <w:pPr>
              <w:pStyle w:val="AgencyName"/>
              <w:keepNext/>
            </w:pPr>
          </w:p>
        </w:tc>
        <w:tc>
          <w:tcPr>
            <w:tcW w:w="1044" w:type="dxa"/>
            <w:tcBorders>
              <w:top w:val="single" w:sz="4" w:space="0" w:color="293F5B"/>
              <w:bottom w:val="nil"/>
            </w:tcBorders>
          </w:tcPr>
          <w:p w14:paraId="760F3AED" w14:textId="77777777" w:rsidR="00BB2CB4" w:rsidRPr="00222C32" w:rsidRDefault="00BB2CB4">
            <w:pPr>
              <w:pStyle w:val="AgencyName"/>
              <w:keepNext/>
            </w:pPr>
          </w:p>
        </w:tc>
        <w:tc>
          <w:tcPr>
            <w:tcW w:w="1044" w:type="dxa"/>
            <w:tcBorders>
              <w:top w:val="single" w:sz="4" w:space="0" w:color="293F5B"/>
              <w:bottom w:val="nil"/>
            </w:tcBorders>
          </w:tcPr>
          <w:p w14:paraId="41547EC6" w14:textId="77777777" w:rsidR="00BB2CB4" w:rsidRPr="00222C32" w:rsidRDefault="00BB2CB4">
            <w:pPr>
              <w:pStyle w:val="AgencyName"/>
              <w:keepNext/>
            </w:pPr>
          </w:p>
        </w:tc>
        <w:tc>
          <w:tcPr>
            <w:tcW w:w="1044" w:type="dxa"/>
            <w:tcBorders>
              <w:top w:val="single" w:sz="4" w:space="0" w:color="293F5B"/>
              <w:bottom w:val="nil"/>
            </w:tcBorders>
          </w:tcPr>
          <w:p w14:paraId="61904253" w14:textId="77777777" w:rsidR="00BB2CB4" w:rsidRPr="00222C32" w:rsidRDefault="00BB2CB4">
            <w:pPr>
              <w:pStyle w:val="AgencyName"/>
              <w:keepNext/>
            </w:pPr>
          </w:p>
        </w:tc>
        <w:tc>
          <w:tcPr>
            <w:tcW w:w="1044" w:type="dxa"/>
            <w:tcBorders>
              <w:top w:val="single" w:sz="4" w:space="0" w:color="293F5B"/>
              <w:bottom w:val="nil"/>
            </w:tcBorders>
          </w:tcPr>
          <w:p w14:paraId="764D6688" w14:textId="77777777" w:rsidR="00BB2CB4" w:rsidRPr="00222C32" w:rsidRDefault="00BB2CB4">
            <w:pPr>
              <w:pStyle w:val="AgencyName"/>
              <w:keepNext/>
            </w:pPr>
          </w:p>
        </w:tc>
      </w:tr>
      <w:tr w:rsidR="00BB2CB4" w:rsidRPr="00222C32" w14:paraId="45AD681F" w14:textId="77777777" w:rsidTr="00825163">
        <w:tc>
          <w:tcPr>
            <w:tcW w:w="2501" w:type="dxa"/>
            <w:tcBorders>
              <w:top w:val="nil"/>
              <w:bottom w:val="single" w:sz="4" w:space="0" w:color="293F5B"/>
            </w:tcBorders>
          </w:tcPr>
          <w:p w14:paraId="090024FA" w14:textId="77777777" w:rsidR="00BB2CB4" w:rsidRPr="00222C32" w:rsidRDefault="000674DA">
            <w:pPr>
              <w:pStyle w:val="AgencyNamewith2ptsspacing"/>
              <w:keepNext/>
            </w:pPr>
            <w:r w:rsidRPr="00222C32">
              <w:t>Department of Home Affairs</w:t>
            </w:r>
          </w:p>
        </w:tc>
        <w:tc>
          <w:tcPr>
            <w:tcW w:w="1044" w:type="dxa"/>
            <w:tcBorders>
              <w:top w:val="nil"/>
              <w:bottom w:val="single" w:sz="4" w:space="0" w:color="293F5B"/>
            </w:tcBorders>
          </w:tcPr>
          <w:p w14:paraId="65974CE8"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86E420F"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38E93B3A"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691EA9F"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6E2CBB4" w14:textId="77777777" w:rsidR="00BB2CB4" w:rsidRPr="00222C32" w:rsidRDefault="000674DA">
            <w:pPr>
              <w:pStyle w:val="Measuretabledatarightaligneditalics"/>
              <w:keepNext/>
            </w:pPr>
            <w:r w:rsidRPr="00222C32">
              <w:t>-</w:t>
            </w:r>
          </w:p>
        </w:tc>
      </w:tr>
      <w:tr w:rsidR="00BB2CB4" w:rsidRPr="00222C32" w14:paraId="6963C276" w14:textId="77777777" w:rsidTr="00825163">
        <w:tc>
          <w:tcPr>
            <w:tcW w:w="2501" w:type="dxa"/>
            <w:tcBorders>
              <w:top w:val="single" w:sz="4" w:space="0" w:color="293F5B"/>
              <w:bottom w:val="single" w:sz="4" w:space="0" w:color="293F5B"/>
            </w:tcBorders>
          </w:tcPr>
          <w:p w14:paraId="28803BCA" w14:textId="77777777" w:rsidR="00BB2CB4" w:rsidRPr="00222C32" w:rsidRDefault="000674DA">
            <w:pPr>
              <w:pStyle w:val="AgencyNamewith2ptsspacing"/>
              <w:keepNext/>
            </w:pPr>
            <w:r w:rsidRPr="00222C32">
              <w:t>Australian Taxation Office</w:t>
            </w:r>
          </w:p>
        </w:tc>
        <w:tc>
          <w:tcPr>
            <w:tcW w:w="1044" w:type="dxa"/>
            <w:tcBorders>
              <w:top w:val="single" w:sz="4" w:space="0" w:color="293F5B"/>
              <w:bottom w:val="single" w:sz="4" w:space="0" w:color="293F5B"/>
            </w:tcBorders>
          </w:tcPr>
          <w:p w14:paraId="5A8275A5"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59E81CCC"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8A5A07E"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50AC835"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49AF6934" w14:textId="77777777" w:rsidR="00BB2CB4" w:rsidRPr="00222C32" w:rsidRDefault="000674DA">
            <w:pPr>
              <w:pStyle w:val="Measuretabledatarightaligneditalics"/>
              <w:keepNext/>
            </w:pPr>
            <w:r w:rsidRPr="00222C32">
              <w:t>*</w:t>
            </w:r>
          </w:p>
        </w:tc>
      </w:tr>
      <w:tr w:rsidR="00BB2CB4" w:rsidRPr="00222C32" w14:paraId="29F2C914" w14:textId="77777777" w:rsidTr="00825163">
        <w:tc>
          <w:tcPr>
            <w:tcW w:w="2501" w:type="dxa"/>
            <w:tcBorders>
              <w:top w:val="single" w:sz="4" w:space="0" w:color="293F5B"/>
              <w:bottom w:val="single" w:sz="4" w:space="0" w:color="293F5B"/>
            </w:tcBorders>
          </w:tcPr>
          <w:p w14:paraId="33280927" w14:textId="77777777" w:rsidR="00BB2CB4" w:rsidRPr="00222C32" w:rsidRDefault="000674DA">
            <w:pPr>
              <w:pStyle w:val="Totalrowitalicsleftaligned"/>
              <w:keepNext/>
            </w:pPr>
            <w:r w:rsidRPr="00222C32">
              <w:t>Total – Receipts</w:t>
            </w:r>
          </w:p>
        </w:tc>
        <w:tc>
          <w:tcPr>
            <w:tcW w:w="1044" w:type="dxa"/>
            <w:tcBorders>
              <w:top w:val="single" w:sz="4" w:space="0" w:color="293F5B"/>
              <w:bottom w:val="single" w:sz="4" w:space="0" w:color="293F5B"/>
            </w:tcBorders>
          </w:tcPr>
          <w:p w14:paraId="21F3E04E"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23F0E096"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6AE4A292"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603DB133"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39C3DC9A" w14:textId="77777777" w:rsidR="00BB2CB4" w:rsidRPr="00222C32" w:rsidRDefault="000674DA">
            <w:pPr>
              <w:pStyle w:val="Measuretabledatarightaligneditalics"/>
              <w:keepNext/>
            </w:pPr>
            <w:r w:rsidRPr="00222C32">
              <w:t>*</w:t>
            </w:r>
          </w:p>
        </w:tc>
      </w:tr>
    </w:tbl>
    <w:p w14:paraId="06636981" w14:textId="77777777" w:rsidR="001070D7" w:rsidRDefault="001070D7" w:rsidP="001070D7">
      <w:pPr>
        <w:pStyle w:val="SingleParagraph"/>
      </w:pPr>
    </w:p>
    <w:p w14:paraId="6AEBB312" w14:textId="77777777" w:rsidR="00BB2CB4" w:rsidRDefault="000674DA">
      <w:pPr>
        <w:pStyle w:val="Normal2"/>
      </w:pPr>
      <w:r>
        <w:t>The Government will provide $2.5 million in 2025–‍26 to support the delivery of major international sporting events. Funding includes:</w:t>
      </w:r>
    </w:p>
    <w:p w14:paraId="6F41A74E" w14:textId="3D13CFD8" w:rsidR="00BB2CB4" w:rsidRDefault="000674DA">
      <w:pPr>
        <w:pStyle w:val="Bullet"/>
      </w:pPr>
      <w:r>
        <w:t>$1.8 million in 2025–‍26 to the Department of Home Affairs to undertake security checks as part of the event accreditation process for the Asian Football Confederation Women</w:t>
      </w:r>
      <w:r w:rsidR="00222C32">
        <w:t>’</w:t>
      </w:r>
      <w:r>
        <w:t>s Asian Cup 2026</w:t>
      </w:r>
    </w:p>
    <w:p w14:paraId="44BC5F96" w14:textId="3841AFD6" w:rsidR="00BB2CB4" w:rsidRDefault="000674DA">
      <w:pPr>
        <w:pStyle w:val="Bullet"/>
      </w:pPr>
      <w:r>
        <w:t>$0.8 million in 2025–‍26 to support Softball Australia to host the 2027 Women</w:t>
      </w:r>
      <w:r w:rsidR="00222C32">
        <w:t>’</w:t>
      </w:r>
      <w:r>
        <w:t>s Softball World Cup in Brisbane.</w:t>
      </w:r>
    </w:p>
    <w:p w14:paraId="09ABC7E6" w14:textId="5CE0110C" w:rsidR="00BB2CB4" w:rsidRDefault="000674DA">
      <w:pPr>
        <w:pStyle w:val="Normal2"/>
      </w:pPr>
      <w:r>
        <w:t>The Government will support the Asian Football Confederation Women</w:t>
      </w:r>
      <w:r w:rsidR="00222C32">
        <w:t>’</w:t>
      </w:r>
      <w:r>
        <w:t>s Asian Cup by providing:</w:t>
      </w:r>
    </w:p>
    <w:p w14:paraId="1E208432" w14:textId="77777777" w:rsidR="00BB2CB4" w:rsidRDefault="000674DA">
      <w:pPr>
        <w:pStyle w:val="Bullet"/>
      </w:pPr>
      <w:r>
        <w:t>an income tax exemption for the Asian Football Confederation applying from 1 July 2025 to 31 December 2028 and an exemption from interest, dividend and royalty withholding tax liabilities from commencement to 31 December 2028</w:t>
      </w:r>
    </w:p>
    <w:p w14:paraId="607C2A22" w14:textId="77777777" w:rsidR="00BB2CB4" w:rsidRDefault="000674DA">
      <w:pPr>
        <w:pStyle w:val="Bullet"/>
      </w:pPr>
      <w:r>
        <w:t>an exemption from customs duty for goods imported in connection with the event and a nil Visa Application Charge for accredited international participants.</w:t>
      </w:r>
    </w:p>
    <w:p w14:paraId="16694E7E" w14:textId="77777777" w:rsidR="00BB2CB4" w:rsidRDefault="000674DA">
      <w:pPr>
        <w:pStyle w:val="Normal2"/>
      </w:pPr>
      <w:r>
        <w:t>The Government:</w:t>
      </w:r>
    </w:p>
    <w:p w14:paraId="60F50014" w14:textId="77777777" w:rsidR="00BB2CB4" w:rsidRDefault="000674DA">
      <w:pPr>
        <w:pStyle w:val="Bullet"/>
      </w:pPr>
      <w:r>
        <w:t>has waived the Visa Application Charge for international teams, officials and official carers participating in the 2025 VIRTUS Athletics World Championships</w:t>
      </w:r>
    </w:p>
    <w:p w14:paraId="3210E3F8" w14:textId="25CB005F" w:rsidR="00BB2CB4" w:rsidRDefault="000674DA">
      <w:pPr>
        <w:pStyle w:val="Bullet"/>
      </w:pPr>
      <w:r>
        <w:t xml:space="preserve">will re‑profile and re‑prioritise $390.5 million for projects within the Games Venues Infrastructure </w:t>
      </w:r>
      <w:r w:rsidR="00E01328">
        <w:t>p</w:t>
      </w:r>
      <w:r>
        <w:t>rogram to beyond the forward estimates, to better align funding with revised delivery timeframes for the Brisbane 2032 Olympic and Paralympic Games.</w:t>
      </w:r>
    </w:p>
    <w:p w14:paraId="4D067FBA" w14:textId="77777777" w:rsidR="00BB2CB4" w:rsidRDefault="000674DA">
      <w:pPr>
        <w:pStyle w:val="Normal2"/>
      </w:pPr>
      <w:r w:rsidRPr="69C11E82">
        <w:rPr>
          <w:lang w:val="en-US"/>
        </w:rPr>
        <w:t xml:space="preserve">The cost of this measure will be partially met from a reprioritisation of funding from the 2019–‍20 MYEFO measure titled </w:t>
      </w:r>
      <w:r w:rsidRPr="69C11E82">
        <w:rPr>
          <w:i/>
          <w:lang w:val="en-US"/>
        </w:rPr>
        <w:t>Election Commitment – Sport and Physical Activity in Australia Grants</w:t>
      </w:r>
      <w:r w:rsidRPr="69C11E82">
        <w:rPr>
          <w:lang w:val="en-US"/>
        </w:rPr>
        <w:t>.</w:t>
      </w:r>
    </w:p>
    <w:p w14:paraId="0D5EEC39" w14:textId="77777777" w:rsidR="00BB2CB4" w:rsidRDefault="000674DA">
      <w:pPr>
        <w:pStyle w:val="MeasureTitle"/>
      </w:pPr>
      <w:r>
        <w:lastRenderedPageBreak/>
        <w:t>Supporting News and Media Diversity</w:t>
      </w:r>
    </w:p>
    <w:p w14:paraId="0D98FE8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CBE61CD" w14:textId="77777777" w:rsidTr="00825163">
        <w:trPr>
          <w:cantSplit/>
        </w:trPr>
        <w:tc>
          <w:tcPr>
            <w:tcW w:w="2501" w:type="dxa"/>
            <w:tcBorders>
              <w:top w:val="single" w:sz="4" w:space="0" w:color="293F5B"/>
              <w:bottom w:val="single" w:sz="4" w:space="0" w:color="293F5B"/>
            </w:tcBorders>
          </w:tcPr>
          <w:p w14:paraId="4169673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03AAAC7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5A6024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0CB2437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DD33F17"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1C282FCC" w14:textId="77777777" w:rsidR="00BB2CB4" w:rsidRPr="00222C32" w:rsidRDefault="000674DA">
            <w:pPr>
              <w:pStyle w:val="MeasureTableYearHeadings"/>
              <w:keepNext/>
            </w:pPr>
            <w:r w:rsidRPr="00222C32">
              <w:t>2028-29</w:t>
            </w:r>
          </w:p>
        </w:tc>
      </w:tr>
      <w:tr w:rsidR="00BB2CB4" w:rsidRPr="00222C32" w14:paraId="446EB11F" w14:textId="77777777" w:rsidTr="00825163">
        <w:trPr>
          <w:cantSplit/>
        </w:trPr>
        <w:tc>
          <w:tcPr>
            <w:tcW w:w="2501" w:type="dxa"/>
            <w:tcBorders>
              <w:top w:val="single" w:sz="4" w:space="0" w:color="293F5B"/>
              <w:bottom w:val="single" w:sz="4" w:space="0" w:color="293F5B"/>
            </w:tcBorders>
          </w:tcPr>
          <w:p w14:paraId="3EBAD442"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206DB933"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2C66AF79" w14:textId="77777777" w:rsidR="00BB2CB4" w:rsidRPr="00222C32" w:rsidRDefault="000674DA">
            <w:pPr>
              <w:pStyle w:val="MeasureTableDataRightAlignedwith2ptsspacing"/>
              <w:keepNext/>
            </w:pPr>
            <w:r w:rsidRPr="00222C32">
              <w:t>2.0</w:t>
            </w:r>
          </w:p>
        </w:tc>
        <w:tc>
          <w:tcPr>
            <w:tcW w:w="1044" w:type="dxa"/>
            <w:tcBorders>
              <w:top w:val="single" w:sz="4" w:space="0" w:color="293F5B"/>
              <w:bottom w:val="single" w:sz="4" w:space="0" w:color="293F5B"/>
            </w:tcBorders>
          </w:tcPr>
          <w:p w14:paraId="7A66758B"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47B8455D" w14:textId="77777777" w:rsidR="00BB2CB4" w:rsidRPr="00222C32" w:rsidRDefault="000674DA">
            <w:pPr>
              <w:pStyle w:val="MeasureTableDataRightAlignedwith2ptsspacing"/>
              <w:keepNext/>
            </w:pPr>
            <w:r w:rsidRPr="00222C32">
              <w:t>-0.2</w:t>
            </w:r>
          </w:p>
        </w:tc>
        <w:tc>
          <w:tcPr>
            <w:tcW w:w="1044" w:type="dxa"/>
            <w:tcBorders>
              <w:top w:val="single" w:sz="4" w:space="0" w:color="293F5B"/>
              <w:bottom w:val="single" w:sz="4" w:space="0" w:color="293F5B"/>
            </w:tcBorders>
          </w:tcPr>
          <w:p w14:paraId="0349E1F9" w14:textId="77777777" w:rsidR="00BB2CB4" w:rsidRPr="00222C32" w:rsidRDefault="000674DA">
            <w:pPr>
              <w:pStyle w:val="MeasureTableDataRightAlignedwith2ptsspacing"/>
              <w:keepNext/>
            </w:pPr>
            <w:r w:rsidRPr="00222C32">
              <w:t>-</w:t>
            </w:r>
          </w:p>
        </w:tc>
      </w:tr>
    </w:tbl>
    <w:p w14:paraId="65811118" w14:textId="77777777" w:rsidR="00843C76" w:rsidRDefault="00843C76" w:rsidP="00843C76">
      <w:pPr>
        <w:pStyle w:val="SingleParagraph"/>
      </w:pPr>
    </w:p>
    <w:p w14:paraId="0E824B9A" w14:textId="77777777" w:rsidR="00BB2CB4" w:rsidRDefault="000674DA">
      <w:pPr>
        <w:pStyle w:val="Normal2"/>
      </w:pPr>
      <w:r>
        <w:t>The Government will provide $2.3 million in 2025–‍26 to support media sustainability and diversity in Australia. Funding includes:</w:t>
      </w:r>
    </w:p>
    <w:p w14:paraId="379B15C8" w14:textId="77777777" w:rsidR="00BB2CB4" w:rsidRDefault="000674DA">
      <w:pPr>
        <w:pStyle w:val="Bullet"/>
      </w:pPr>
      <w:r>
        <w:t>$2.0 million in 2025–‍26 to support the financial sustainability of the Local and Independent News Association</w:t>
      </w:r>
    </w:p>
    <w:p w14:paraId="539F7465" w14:textId="77777777" w:rsidR="00BB2CB4" w:rsidRDefault="000674DA">
      <w:pPr>
        <w:pStyle w:val="Bullet"/>
      </w:pPr>
      <w:r>
        <w:t>$0.3 million in 2025–‍26 to support LGBTIQ+ media organisations to promote connection, participation and belonging for LGBTIQ+ communities.</w:t>
      </w:r>
    </w:p>
    <w:p w14:paraId="27411F42" w14:textId="21BC24F3" w:rsidR="00BB2CB4" w:rsidRDefault="000674DA">
      <w:pPr>
        <w:pStyle w:val="Normal2"/>
      </w:pPr>
      <w:r w:rsidRPr="69C11E82">
        <w:rPr>
          <w:lang w:val="en-US"/>
        </w:rPr>
        <w:t xml:space="preserve">The cost of this measure will be partially met from a reprioritisation of funding from the 2024–‍25 MYEFO measure titled </w:t>
      </w:r>
      <w:r w:rsidRPr="69C11E82">
        <w:rPr>
          <w:i/>
          <w:lang w:val="en-US"/>
        </w:rPr>
        <w:t xml:space="preserve">Supporting News and Media Diversity. </w:t>
      </w:r>
    </w:p>
    <w:p w14:paraId="0858F548" w14:textId="2CDEF51C" w:rsidR="00BB2CB4" w:rsidRDefault="000674DA">
      <w:pPr>
        <w:pStyle w:val="Normal2"/>
      </w:pPr>
      <w:r>
        <w:t>This measure delivers on the Government</w:t>
      </w:r>
      <w:r w:rsidR="00222C32">
        <w:t>’</w:t>
      </w:r>
      <w:r>
        <w:t>s election commitment made during the 2025</w:t>
      </w:r>
      <w:r w:rsidR="00825872">
        <w:t> </w:t>
      </w:r>
      <w:r>
        <w:t>federal election.</w:t>
      </w:r>
    </w:p>
    <w:p w14:paraId="4377EA9C" w14:textId="77777777" w:rsidR="005A575B" w:rsidRDefault="005A575B">
      <w:pPr>
        <w:pStyle w:val="MeasureTitle"/>
      </w:pPr>
      <w:r>
        <w:br w:type="page"/>
      </w:r>
    </w:p>
    <w:p w14:paraId="57C67783" w14:textId="0DC7C25C" w:rsidR="00BB2CB4" w:rsidRDefault="000674DA">
      <w:pPr>
        <w:pStyle w:val="MeasureTitle"/>
      </w:pPr>
      <w:r>
        <w:lastRenderedPageBreak/>
        <w:t>Supporting Transport Priorities</w:t>
      </w:r>
    </w:p>
    <w:p w14:paraId="73E3CACE"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75E5753" w14:textId="77777777" w:rsidTr="00825163">
        <w:tc>
          <w:tcPr>
            <w:tcW w:w="2501" w:type="dxa"/>
            <w:tcBorders>
              <w:top w:val="single" w:sz="4" w:space="0" w:color="293F5B"/>
              <w:bottom w:val="single" w:sz="4" w:space="0" w:color="293F5B"/>
            </w:tcBorders>
          </w:tcPr>
          <w:p w14:paraId="04E84876"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E3081A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05EAB2A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7D428A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412857C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3BD11BD" w14:textId="77777777" w:rsidR="00BB2CB4" w:rsidRPr="00222C32" w:rsidRDefault="000674DA">
            <w:pPr>
              <w:pStyle w:val="MeasureTableYearHeadings"/>
              <w:keepNext/>
            </w:pPr>
            <w:r w:rsidRPr="00222C32">
              <w:t>2028-29</w:t>
            </w:r>
          </w:p>
        </w:tc>
      </w:tr>
      <w:tr w:rsidR="00BB2CB4" w:rsidRPr="00222C32" w14:paraId="11856E24" w14:textId="77777777" w:rsidTr="00825163">
        <w:tc>
          <w:tcPr>
            <w:tcW w:w="2501" w:type="dxa"/>
            <w:tcBorders>
              <w:top w:val="single" w:sz="4" w:space="0" w:color="293F5B"/>
              <w:bottom w:val="single" w:sz="4" w:space="0" w:color="293F5B"/>
            </w:tcBorders>
          </w:tcPr>
          <w:p w14:paraId="0948F8ED" w14:textId="77777777" w:rsidR="00BB2CB4" w:rsidRPr="00222C32" w:rsidRDefault="000674DA">
            <w:pPr>
              <w:pStyle w:val="MeasureTableHeadingleftalignedwith2ptsspacing"/>
              <w:keepNext/>
            </w:pPr>
            <w:r w:rsidRPr="00222C32">
              <w:t>Department of Infrastructure, Transport, Regional Development, Communications, Sport and the Arts</w:t>
            </w:r>
          </w:p>
        </w:tc>
        <w:tc>
          <w:tcPr>
            <w:tcW w:w="1044" w:type="dxa"/>
            <w:tcBorders>
              <w:top w:val="single" w:sz="4" w:space="0" w:color="293F5B"/>
              <w:bottom w:val="single" w:sz="4" w:space="0" w:color="293F5B"/>
            </w:tcBorders>
          </w:tcPr>
          <w:p w14:paraId="4F82538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5CBE538" w14:textId="77777777" w:rsidR="00BB2CB4" w:rsidRPr="00222C32" w:rsidRDefault="000674DA">
            <w:pPr>
              <w:pStyle w:val="MeasureTableDataRightAlignedwith2ptsspacing"/>
              <w:keepNext/>
            </w:pPr>
            <w:r w:rsidRPr="00222C32">
              <w:t>4.9</w:t>
            </w:r>
          </w:p>
        </w:tc>
        <w:tc>
          <w:tcPr>
            <w:tcW w:w="1044" w:type="dxa"/>
            <w:tcBorders>
              <w:top w:val="single" w:sz="4" w:space="0" w:color="293F5B"/>
              <w:bottom w:val="single" w:sz="4" w:space="0" w:color="293F5B"/>
            </w:tcBorders>
          </w:tcPr>
          <w:p w14:paraId="0A257A80" w14:textId="77777777" w:rsidR="00BB2CB4" w:rsidRPr="00222C32" w:rsidRDefault="000674DA">
            <w:pPr>
              <w:pStyle w:val="MeasureTableDataRightAlignedwith2ptsspacing"/>
              <w:keepNext/>
            </w:pPr>
            <w:r w:rsidRPr="00222C32">
              <w:t>4.6</w:t>
            </w:r>
          </w:p>
        </w:tc>
        <w:tc>
          <w:tcPr>
            <w:tcW w:w="1044" w:type="dxa"/>
            <w:tcBorders>
              <w:top w:val="single" w:sz="4" w:space="0" w:color="293F5B"/>
              <w:bottom w:val="single" w:sz="4" w:space="0" w:color="293F5B"/>
            </w:tcBorders>
          </w:tcPr>
          <w:p w14:paraId="5AD93C37"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5AE80144" w14:textId="77777777" w:rsidR="00BB2CB4" w:rsidRPr="00222C32" w:rsidRDefault="000674DA">
            <w:pPr>
              <w:pStyle w:val="MeasureTableDataRightAlignedwith2ptsspacing"/>
              <w:keepNext/>
            </w:pPr>
            <w:r w:rsidRPr="00222C32">
              <w:t>-</w:t>
            </w:r>
          </w:p>
        </w:tc>
      </w:tr>
      <w:tr w:rsidR="00BB2CB4" w:rsidRPr="00222C32" w14:paraId="4AB9020A" w14:textId="77777777" w:rsidTr="00825163">
        <w:tc>
          <w:tcPr>
            <w:tcW w:w="2501" w:type="dxa"/>
            <w:tcBorders>
              <w:top w:val="single" w:sz="4" w:space="0" w:color="293F5B"/>
              <w:bottom w:val="single" w:sz="4" w:space="0" w:color="293F5B"/>
            </w:tcBorders>
          </w:tcPr>
          <w:p w14:paraId="46DF05CA" w14:textId="77777777" w:rsidR="00BB2CB4" w:rsidRPr="00222C32" w:rsidRDefault="000674DA">
            <w:pPr>
              <w:pStyle w:val="MeasureTableHeadingleftalignedwith2ptsspacing"/>
              <w:keepNext/>
            </w:pPr>
            <w:r w:rsidRPr="00222C32">
              <w:t>Department of Home Affairs</w:t>
            </w:r>
          </w:p>
        </w:tc>
        <w:tc>
          <w:tcPr>
            <w:tcW w:w="1044" w:type="dxa"/>
            <w:tcBorders>
              <w:top w:val="single" w:sz="4" w:space="0" w:color="293F5B"/>
              <w:bottom w:val="single" w:sz="4" w:space="0" w:color="293F5B"/>
            </w:tcBorders>
          </w:tcPr>
          <w:p w14:paraId="74EDDE63"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4796B28" w14:textId="77777777" w:rsidR="00BB2CB4" w:rsidRPr="00222C32" w:rsidRDefault="000674DA">
            <w:pPr>
              <w:pStyle w:val="MeasureTableDataRightAlignedwith2ptsspacing"/>
              <w:keepNext/>
            </w:pPr>
            <w:r w:rsidRPr="00222C32">
              <w:t>3.9</w:t>
            </w:r>
          </w:p>
        </w:tc>
        <w:tc>
          <w:tcPr>
            <w:tcW w:w="1044" w:type="dxa"/>
            <w:tcBorders>
              <w:top w:val="single" w:sz="4" w:space="0" w:color="293F5B"/>
              <w:bottom w:val="single" w:sz="4" w:space="0" w:color="293F5B"/>
            </w:tcBorders>
          </w:tcPr>
          <w:p w14:paraId="2110CCA7" w14:textId="77777777" w:rsidR="00BB2CB4" w:rsidRPr="00222C32" w:rsidRDefault="000674DA">
            <w:pPr>
              <w:pStyle w:val="MeasureTableDataRightAlignedwith2ptsspacing"/>
              <w:keepNext/>
            </w:pPr>
            <w:r w:rsidRPr="00222C32">
              <w:t>24.8</w:t>
            </w:r>
          </w:p>
        </w:tc>
        <w:tc>
          <w:tcPr>
            <w:tcW w:w="1044" w:type="dxa"/>
            <w:tcBorders>
              <w:top w:val="single" w:sz="4" w:space="0" w:color="293F5B"/>
              <w:bottom w:val="single" w:sz="4" w:space="0" w:color="293F5B"/>
            </w:tcBorders>
          </w:tcPr>
          <w:p w14:paraId="1C87E475" w14:textId="77777777" w:rsidR="00BB2CB4" w:rsidRPr="00222C32" w:rsidRDefault="000674DA">
            <w:pPr>
              <w:pStyle w:val="MeasureTableDataRightAlignedwith2ptsspacing"/>
              <w:keepNext/>
            </w:pPr>
            <w:r w:rsidRPr="00222C32">
              <w:t>20.8</w:t>
            </w:r>
          </w:p>
        </w:tc>
        <w:tc>
          <w:tcPr>
            <w:tcW w:w="1044" w:type="dxa"/>
            <w:tcBorders>
              <w:top w:val="single" w:sz="4" w:space="0" w:color="293F5B"/>
              <w:bottom w:val="single" w:sz="4" w:space="0" w:color="293F5B"/>
            </w:tcBorders>
          </w:tcPr>
          <w:p w14:paraId="2454226A" w14:textId="77777777" w:rsidR="00BB2CB4" w:rsidRPr="00222C32" w:rsidRDefault="000674DA">
            <w:pPr>
              <w:pStyle w:val="MeasureTableDataRightAlignedwith2ptsspacing"/>
              <w:keepNext/>
            </w:pPr>
            <w:r w:rsidRPr="00222C32">
              <w:t>21.2</w:t>
            </w:r>
          </w:p>
        </w:tc>
      </w:tr>
      <w:tr w:rsidR="00BB2CB4" w:rsidRPr="00222C32" w14:paraId="10EC6B8C" w14:textId="77777777" w:rsidTr="00825163">
        <w:tc>
          <w:tcPr>
            <w:tcW w:w="2501" w:type="dxa"/>
            <w:tcBorders>
              <w:top w:val="single" w:sz="4" w:space="0" w:color="293F5B"/>
              <w:bottom w:val="single" w:sz="4" w:space="0" w:color="293F5B"/>
            </w:tcBorders>
          </w:tcPr>
          <w:p w14:paraId="3690290D" w14:textId="77777777" w:rsidR="00BB2CB4" w:rsidRPr="00222C32" w:rsidRDefault="000674DA">
            <w:pPr>
              <w:pStyle w:val="MeasureTableHeadingleftalignedwith2ptsspacing"/>
              <w:keepNext/>
            </w:pPr>
            <w:r w:rsidRPr="00222C32">
              <w:t>Australian Federal Police</w:t>
            </w:r>
          </w:p>
        </w:tc>
        <w:tc>
          <w:tcPr>
            <w:tcW w:w="1044" w:type="dxa"/>
            <w:tcBorders>
              <w:top w:val="single" w:sz="4" w:space="0" w:color="293F5B"/>
              <w:bottom w:val="single" w:sz="4" w:space="0" w:color="293F5B"/>
            </w:tcBorders>
          </w:tcPr>
          <w:p w14:paraId="5383B56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ED24C63" w14:textId="77777777" w:rsidR="00BB2CB4" w:rsidRPr="00222C32" w:rsidRDefault="000674DA">
            <w:pPr>
              <w:pStyle w:val="MeasureTableDataRightAlignedwith2ptsspacing"/>
              <w:keepNext/>
            </w:pPr>
            <w:r w:rsidRPr="00222C32">
              <w:t>3.0</w:t>
            </w:r>
          </w:p>
        </w:tc>
        <w:tc>
          <w:tcPr>
            <w:tcW w:w="1044" w:type="dxa"/>
            <w:tcBorders>
              <w:top w:val="single" w:sz="4" w:space="0" w:color="293F5B"/>
              <w:bottom w:val="single" w:sz="4" w:space="0" w:color="293F5B"/>
            </w:tcBorders>
          </w:tcPr>
          <w:p w14:paraId="64C95F5C" w14:textId="77777777" w:rsidR="00BB2CB4" w:rsidRPr="00222C32" w:rsidRDefault="000674DA">
            <w:pPr>
              <w:pStyle w:val="MeasureTableDataRightAlignedwith2ptsspacing"/>
              <w:keepNext/>
            </w:pPr>
            <w:r w:rsidRPr="00222C32">
              <w:t>7.5</w:t>
            </w:r>
          </w:p>
        </w:tc>
        <w:tc>
          <w:tcPr>
            <w:tcW w:w="1044" w:type="dxa"/>
            <w:tcBorders>
              <w:top w:val="single" w:sz="4" w:space="0" w:color="293F5B"/>
              <w:bottom w:val="single" w:sz="4" w:space="0" w:color="293F5B"/>
            </w:tcBorders>
          </w:tcPr>
          <w:p w14:paraId="1C5C2DC2" w14:textId="77777777" w:rsidR="00BB2CB4" w:rsidRPr="00222C32" w:rsidRDefault="000674DA">
            <w:pPr>
              <w:pStyle w:val="MeasureTableDataRightAlignedwith2ptsspacing"/>
              <w:keepNext/>
            </w:pPr>
            <w:r w:rsidRPr="00222C32">
              <w:t>16.6</w:t>
            </w:r>
          </w:p>
        </w:tc>
        <w:tc>
          <w:tcPr>
            <w:tcW w:w="1044" w:type="dxa"/>
            <w:tcBorders>
              <w:top w:val="single" w:sz="4" w:space="0" w:color="293F5B"/>
              <w:bottom w:val="single" w:sz="4" w:space="0" w:color="293F5B"/>
            </w:tcBorders>
          </w:tcPr>
          <w:p w14:paraId="17541D15" w14:textId="77777777" w:rsidR="00BB2CB4" w:rsidRPr="00222C32" w:rsidRDefault="000674DA">
            <w:pPr>
              <w:pStyle w:val="MeasureTableDataRightAlignedwith2ptsspacing"/>
              <w:keepNext/>
            </w:pPr>
            <w:r w:rsidRPr="00222C32">
              <w:t>17.0</w:t>
            </w:r>
          </w:p>
        </w:tc>
      </w:tr>
      <w:tr w:rsidR="00BB2CB4" w:rsidRPr="00222C32" w14:paraId="01D1AAF0" w14:textId="77777777" w:rsidTr="00825163">
        <w:tc>
          <w:tcPr>
            <w:tcW w:w="2501" w:type="dxa"/>
            <w:tcBorders>
              <w:top w:val="single" w:sz="4" w:space="0" w:color="293F5B"/>
              <w:bottom w:val="single" w:sz="4" w:space="0" w:color="293F5B"/>
            </w:tcBorders>
          </w:tcPr>
          <w:p w14:paraId="58E6A72F" w14:textId="77777777" w:rsidR="00BB2CB4" w:rsidRPr="00222C32" w:rsidRDefault="000674DA">
            <w:pPr>
              <w:pStyle w:val="MeasureTableHeadingleftalignedwith2ptsspacing"/>
              <w:keepNext/>
            </w:pPr>
            <w:r w:rsidRPr="00222C32">
              <w:t>Department of Agriculture, Fisheries and Forestry</w:t>
            </w:r>
          </w:p>
        </w:tc>
        <w:tc>
          <w:tcPr>
            <w:tcW w:w="1044" w:type="dxa"/>
            <w:tcBorders>
              <w:top w:val="single" w:sz="4" w:space="0" w:color="293F5B"/>
              <w:bottom w:val="single" w:sz="4" w:space="0" w:color="293F5B"/>
            </w:tcBorders>
          </w:tcPr>
          <w:p w14:paraId="23A8A14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740B7AE" w14:textId="77777777" w:rsidR="00BB2CB4" w:rsidRPr="00222C32" w:rsidRDefault="000674DA">
            <w:pPr>
              <w:pStyle w:val="MeasureTableDataRightAlignedwith2ptsspacing"/>
              <w:keepNext/>
            </w:pPr>
            <w:r w:rsidRPr="00222C32">
              <w:t>1.9</w:t>
            </w:r>
          </w:p>
        </w:tc>
        <w:tc>
          <w:tcPr>
            <w:tcW w:w="1044" w:type="dxa"/>
            <w:tcBorders>
              <w:top w:val="single" w:sz="4" w:space="0" w:color="293F5B"/>
              <w:bottom w:val="single" w:sz="4" w:space="0" w:color="293F5B"/>
            </w:tcBorders>
          </w:tcPr>
          <w:p w14:paraId="28D3443C" w14:textId="77777777" w:rsidR="00BB2CB4" w:rsidRPr="00222C32" w:rsidRDefault="000674DA">
            <w:pPr>
              <w:pStyle w:val="MeasureTableDataRightAlignedwith2ptsspacing"/>
              <w:keepNext/>
            </w:pPr>
            <w:r w:rsidRPr="00222C32">
              <w:t>11.9</w:t>
            </w:r>
          </w:p>
        </w:tc>
        <w:tc>
          <w:tcPr>
            <w:tcW w:w="1044" w:type="dxa"/>
            <w:tcBorders>
              <w:top w:val="single" w:sz="4" w:space="0" w:color="293F5B"/>
              <w:bottom w:val="single" w:sz="4" w:space="0" w:color="293F5B"/>
            </w:tcBorders>
          </w:tcPr>
          <w:p w14:paraId="4BED8A36" w14:textId="77777777" w:rsidR="00BB2CB4" w:rsidRPr="00222C32" w:rsidRDefault="000674DA">
            <w:pPr>
              <w:pStyle w:val="MeasureTableDataRightAlignedwith2ptsspacing"/>
              <w:keepNext/>
            </w:pPr>
            <w:r w:rsidRPr="00222C32">
              <w:t>13.3</w:t>
            </w:r>
          </w:p>
        </w:tc>
        <w:tc>
          <w:tcPr>
            <w:tcW w:w="1044" w:type="dxa"/>
            <w:tcBorders>
              <w:top w:val="single" w:sz="4" w:space="0" w:color="293F5B"/>
              <w:bottom w:val="single" w:sz="4" w:space="0" w:color="293F5B"/>
            </w:tcBorders>
          </w:tcPr>
          <w:p w14:paraId="72DC2057" w14:textId="77777777" w:rsidR="00BB2CB4" w:rsidRPr="00222C32" w:rsidRDefault="000674DA">
            <w:pPr>
              <w:pStyle w:val="MeasureTableDataRightAlignedwith2ptsspacing"/>
              <w:keepNext/>
            </w:pPr>
            <w:r w:rsidRPr="00222C32">
              <w:t>13.4</w:t>
            </w:r>
          </w:p>
        </w:tc>
      </w:tr>
      <w:tr w:rsidR="00BB2CB4" w:rsidRPr="00222C32" w14:paraId="1106A491" w14:textId="77777777" w:rsidTr="00825163">
        <w:tc>
          <w:tcPr>
            <w:tcW w:w="2501" w:type="dxa"/>
            <w:tcBorders>
              <w:top w:val="single" w:sz="4" w:space="0" w:color="293F5B"/>
              <w:bottom w:val="single" w:sz="4" w:space="0" w:color="293F5B"/>
            </w:tcBorders>
          </w:tcPr>
          <w:p w14:paraId="63975A1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067A781"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391E278" w14:textId="77777777" w:rsidR="00BB2CB4" w:rsidRPr="00222C32" w:rsidRDefault="000674DA">
            <w:pPr>
              <w:pStyle w:val="Totaldatarowrightaligned"/>
              <w:keepNext/>
            </w:pPr>
            <w:r w:rsidRPr="00222C32">
              <w:t>13.7</w:t>
            </w:r>
          </w:p>
        </w:tc>
        <w:tc>
          <w:tcPr>
            <w:tcW w:w="1044" w:type="dxa"/>
            <w:tcBorders>
              <w:top w:val="single" w:sz="4" w:space="0" w:color="293F5B"/>
              <w:bottom w:val="single" w:sz="4" w:space="0" w:color="293F5B"/>
            </w:tcBorders>
          </w:tcPr>
          <w:p w14:paraId="6EA9F0EE" w14:textId="77777777" w:rsidR="00BB2CB4" w:rsidRPr="00222C32" w:rsidRDefault="000674DA">
            <w:pPr>
              <w:pStyle w:val="Totaldatarowrightaligned"/>
              <w:keepNext/>
            </w:pPr>
            <w:r w:rsidRPr="00222C32">
              <w:t>48.9</w:t>
            </w:r>
          </w:p>
        </w:tc>
        <w:tc>
          <w:tcPr>
            <w:tcW w:w="1044" w:type="dxa"/>
            <w:tcBorders>
              <w:top w:val="single" w:sz="4" w:space="0" w:color="293F5B"/>
              <w:bottom w:val="single" w:sz="4" w:space="0" w:color="293F5B"/>
            </w:tcBorders>
          </w:tcPr>
          <w:p w14:paraId="088CC46A" w14:textId="77777777" w:rsidR="00BB2CB4" w:rsidRPr="00222C32" w:rsidRDefault="000674DA">
            <w:pPr>
              <w:pStyle w:val="Totaldatarowrightaligned"/>
              <w:keepNext/>
            </w:pPr>
            <w:r w:rsidRPr="00222C32">
              <w:t>51.7</w:t>
            </w:r>
          </w:p>
        </w:tc>
        <w:tc>
          <w:tcPr>
            <w:tcW w:w="1044" w:type="dxa"/>
            <w:tcBorders>
              <w:top w:val="single" w:sz="4" w:space="0" w:color="293F5B"/>
              <w:bottom w:val="single" w:sz="4" w:space="0" w:color="293F5B"/>
            </w:tcBorders>
          </w:tcPr>
          <w:p w14:paraId="1B57C3FE" w14:textId="77777777" w:rsidR="00BB2CB4" w:rsidRPr="00222C32" w:rsidRDefault="000674DA">
            <w:pPr>
              <w:pStyle w:val="Totaldatarowrightaligned"/>
              <w:keepNext/>
            </w:pPr>
            <w:r w:rsidRPr="00222C32">
              <w:t>51.6</w:t>
            </w:r>
          </w:p>
        </w:tc>
      </w:tr>
      <w:tr w:rsidR="00BB2CB4" w:rsidRPr="00222C32" w14:paraId="52419C15" w14:textId="77777777" w:rsidTr="00825163">
        <w:tc>
          <w:tcPr>
            <w:tcW w:w="2501" w:type="dxa"/>
            <w:tcBorders>
              <w:top w:val="single" w:sz="4" w:space="0" w:color="293F5B"/>
              <w:bottom w:val="nil"/>
            </w:tcBorders>
          </w:tcPr>
          <w:p w14:paraId="46E4187B"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378BFD4D" w14:textId="77777777" w:rsidR="00BB2CB4" w:rsidRPr="00222C32" w:rsidRDefault="00BB2CB4">
            <w:pPr>
              <w:pStyle w:val="AgencyName"/>
              <w:keepNext/>
            </w:pPr>
          </w:p>
        </w:tc>
        <w:tc>
          <w:tcPr>
            <w:tcW w:w="1044" w:type="dxa"/>
            <w:tcBorders>
              <w:top w:val="single" w:sz="4" w:space="0" w:color="293F5B"/>
              <w:bottom w:val="nil"/>
            </w:tcBorders>
          </w:tcPr>
          <w:p w14:paraId="10814BEA" w14:textId="77777777" w:rsidR="00BB2CB4" w:rsidRPr="00222C32" w:rsidRDefault="00BB2CB4">
            <w:pPr>
              <w:pStyle w:val="AgencyName"/>
              <w:keepNext/>
            </w:pPr>
          </w:p>
        </w:tc>
        <w:tc>
          <w:tcPr>
            <w:tcW w:w="1044" w:type="dxa"/>
            <w:tcBorders>
              <w:top w:val="single" w:sz="4" w:space="0" w:color="293F5B"/>
              <w:bottom w:val="nil"/>
            </w:tcBorders>
          </w:tcPr>
          <w:p w14:paraId="4B4A1AC9" w14:textId="77777777" w:rsidR="00BB2CB4" w:rsidRPr="00222C32" w:rsidRDefault="00BB2CB4">
            <w:pPr>
              <w:pStyle w:val="AgencyName"/>
              <w:keepNext/>
            </w:pPr>
          </w:p>
        </w:tc>
        <w:tc>
          <w:tcPr>
            <w:tcW w:w="1044" w:type="dxa"/>
            <w:tcBorders>
              <w:top w:val="single" w:sz="4" w:space="0" w:color="293F5B"/>
              <w:bottom w:val="nil"/>
            </w:tcBorders>
          </w:tcPr>
          <w:p w14:paraId="74F2757F" w14:textId="77777777" w:rsidR="00BB2CB4" w:rsidRPr="00222C32" w:rsidRDefault="00BB2CB4">
            <w:pPr>
              <w:pStyle w:val="AgencyName"/>
              <w:keepNext/>
            </w:pPr>
          </w:p>
        </w:tc>
        <w:tc>
          <w:tcPr>
            <w:tcW w:w="1044" w:type="dxa"/>
            <w:tcBorders>
              <w:top w:val="single" w:sz="4" w:space="0" w:color="293F5B"/>
              <w:bottom w:val="nil"/>
            </w:tcBorders>
          </w:tcPr>
          <w:p w14:paraId="1492793B" w14:textId="77777777" w:rsidR="00BB2CB4" w:rsidRPr="00222C32" w:rsidRDefault="00BB2CB4">
            <w:pPr>
              <w:pStyle w:val="AgencyName"/>
              <w:keepNext/>
            </w:pPr>
          </w:p>
        </w:tc>
      </w:tr>
      <w:tr w:rsidR="00BB2CB4" w:rsidRPr="00222C32" w14:paraId="544E8D9B" w14:textId="77777777" w:rsidTr="00825163">
        <w:tc>
          <w:tcPr>
            <w:tcW w:w="2501" w:type="dxa"/>
            <w:tcBorders>
              <w:top w:val="nil"/>
              <w:bottom w:val="single" w:sz="4" w:space="0" w:color="293F5B"/>
            </w:tcBorders>
          </w:tcPr>
          <w:p w14:paraId="3A0DAEB1" w14:textId="77777777" w:rsidR="00BB2CB4" w:rsidRPr="00222C32" w:rsidRDefault="000674DA">
            <w:pPr>
              <w:pStyle w:val="AgencyNamewith2ptsspacing"/>
              <w:keepNext/>
            </w:pPr>
            <w:r w:rsidRPr="00222C32">
              <w:t>Department of Agriculture, Fisheries and Forestry</w:t>
            </w:r>
          </w:p>
        </w:tc>
        <w:tc>
          <w:tcPr>
            <w:tcW w:w="1044" w:type="dxa"/>
            <w:tcBorders>
              <w:top w:val="nil"/>
              <w:bottom w:val="single" w:sz="4" w:space="0" w:color="293F5B"/>
            </w:tcBorders>
          </w:tcPr>
          <w:p w14:paraId="39F386B5"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4E838F64"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820CDAA" w14:textId="77777777" w:rsidR="00BB2CB4" w:rsidRPr="00222C32" w:rsidRDefault="000674DA">
            <w:pPr>
              <w:pStyle w:val="Measuretabledatarightaligneditalics"/>
              <w:keepNext/>
            </w:pPr>
            <w:r w:rsidRPr="00222C32">
              <w:t>0.2</w:t>
            </w:r>
          </w:p>
        </w:tc>
        <w:tc>
          <w:tcPr>
            <w:tcW w:w="1044" w:type="dxa"/>
            <w:tcBorders>
              <w:top w:val="nil"/>
              <w:bottom w:val="single" w:sz="4" w:space="0" w:color="293F5B"/>
            </w:tcBorders>
          </w:tcPr>
          <w:p w14:paraId="0D7EC089" w14:textId="77777777" w:rsidR="00BB2CB4" w:rsidRPr="00222C32" w:rsidRDefault="000674DA">
            <w:pPr>
              <w:pStyle w:val="Measuretabledatarightaligneditalics"/>
              <w:keepNext/>
            </w:pPr>
            <w:r w:rsidRPr="00222C32">
              <w:t>2.8</w:t>
            </w:r>
          </w:p>
        </w:tc>
        <w:tc>
          <w:tcPr>
            <w:tcW w:w="1044" w:type="dxa"/>
            <w:tcBorders>
              <w:top w:val="nil"/>
              <w:bottom w:val="single" w:sz="4" w:space="0" w:color="293F5B"/>
            </w:tcBorders>
          </w:tcPr>
          <w:p w14:paraId="52AD1013" w14:textId="77777777" w:rsidR="00BB2CB4" w:rsidRPr="00222C32" w:rsidRDefault="000674DA">
            <w:pPr>
              <w:pStyle w:val="Measuretabledatarightaligneditalics"/>
              <w:keepNext/>
            </w:pPr>
            <w:r w:rsidRPr="00222C32">
              <w:t>3.9</w:t>
            </w:r>
          </w:p>
        </w:tc>
      </w:tr>
    </w:tbl>
    <w:p w14:paraId="4E64C6F1" w14:textId="77777777" w:rsidR="00843C76" w:rsidRDefault="00843C76" w:rsidP="00843C76">
      <w:pPr>
        <w:pStyle w:val="SingleParagraph"/>
      </w:pPr>
    </w:p>
    <w:p w14:paraId="35A37433" w14:textId="77777777" w:rsidR="00BB2CB4" w:rsidRDefault="000674DA">
      <w:pPr>
        <w:pStyle w:val="Normal2"/>
      </w:pPr>
      <w:r>
        <w:t>The Government will provide $272.3 million over six years from 2025–‍26 (and $42.7 million per year ongoing) to support transport priorities. Funding includes:</w:t>
      </w:r>
    </w:p>
    <w:p w14:paraId="5AADA6B6" w14:textId="77777777" w:rsidR="00BB2CB4" w:rsidRDefault="000674DA">
      <w:pPr>
        <w:pStyle w:val="Bullet"/>
      </w:pPr>
      <w:r>
        <w:t>$261.8 million over six years from 2025–‍26 (and $42.7 million per year ongoing) to support border services and law enforcement operations at Western Sydney International (Nancy‑Bird Walton) Airport</w:t>
      </w:r>
    </w:p>
    <w:p w14:paraId="52E17A52" w14:textId="77777777" w:rsidR="00BB2CB4" w:rsidRDefault="000674DA">
      <w:pPr>
        <w:pStyle w:val="Bullet"/>
      </w:pPr>
      <w:r>
        <w:t>$7.6 million over three years from 2025–‍26 to develop road user charging arrangements</w:t>
      </w:r>
    </w:p>
    <w:p w14:paraId="2F1E6C57" w14:textId="77777777" w:rsidR="00BB2CB4" w:rsidRDefault="000674DA">
      <w:pPr>
        <w:pStyle w:val="Bullet"/>
      </w:pPr>
      <w:r>
        <w:t>$1.9 million in 2025–‍26 to continue to capture, standardise and provide accessible freight data to improve productivity in the freight sector</w:t>
      </w:r>
    </w:p>
    <w:p w14:paraId="3D2F0332" w14:textId="77777777" w:rsidR="00BB2CB4" w:rsidRDefault="000674DA">
      <w:pPr>
        <w:pStyle w:val="Bullet"/>
      </w:pPr>
      <w:r>
        <w:t>$1.0 million in 2025–‍26 to continue the development of the Maritime Single Window digital reporting platform.</w:t>
      </w:r>
    </w:p>
    <w:p w14:paraId="4F9A7AD7" w14:textId="77777777" w:rsidR="00BB2CB4" w:rsidRDefault="000674DA">
      <w:pPr>
        <w:pStyle w:val="Normal2"/>
      </w:pPr>
      <w:r>
        <w:t>The cost of this measure will be partially met through existing cost recovery arrangements for biosecurity activities.</w:t>
      </w:r>
    </w:p>
    <w:p w14:paraId="74677699" w14:textId="77777777" w:rsidR="00BB2CB4" w:rsidRDefault="000674DA">
      <w:pPr>
        <w:pStyle w:val="Normal2"/>
      </w:pPr>
      <w:r>
        <w:t xml:space="preserve">This measure extends the 2024–‍25 Budget measures titled </w:t>
      </w:r>
      <w:r w:rsidRPr="000674DA">
        <w:rPr>
          <w:i/>
        </w:rPr>
        <w:t xml:space="preserve">Enabling Western Sydney International Airport </w:t>
      </w:r>
      <w:r>
        <w:t xml:space="preserve">and </w:t>
      </w:r>
      <w:r w:rsidRPr="000674DA">
        <w:rPr>
          <w:i/>
        </w:rPr>
        <w:t>Supporting Transport Priorities</w:t>
      </w:r>
      <w:r>
        <w:t>.</w:t>
      </w:r>
    </w:p>
    <w:p w14:paraId="4DC74E8C" w14:textId="77777777" w:rsidR="00843C76" w:rsidRDefault="00843C76">
      <w:pPr>
        <w:pStyle w:val="Normal2"/>
      </w:pPr>
    </w:p>
    <w:p w14:paraId="403DCC62" w14:textId="77777777" w:rsidR="00BB2CB4" w:rsidRDefault="00BB2CB4">
      <w:pPr>
        <w:sectPr w:rsidR="00BB2CB4" w:rsidSect="00301ACF">
          <w:headerReference w:type="even" r:id="rId121"/>
          <w:headerReference w:type="default" r:id="rId122"/>
          <w:footerReference w:type="even" r:id="rId123"/>
          <w:footerReference w:type="default" r:id="rId124"/>
          <w:headerReference w:type="first" r:id="rId125"/>
          <w:footerReference w:type="first" r:id="rId126"/>
          <w:pgSz w:w="11906" w:h="16838" w:code="9"/>
          <w:pgMar w:top="2835" w:right="2098" w:bottom="2466" w:left="2098" w:header="1814" w:footer="1814" w:gutter="0"/>
          <w:cols w:space="720"/>
          <w:docGrid w:linePitch="272"/>
        </w:sectPr>
      </w:pPr>
    </w:p>
    <w:p w14:paraId="1DD6AEBC" w14:textId="77777777" w:rsidR="00BB2CB4" w:rsidRDefault="000674DA" w:rsidP="00BA09AF">
      <w:pPr>
        <w:pStyle w:val="PortfolioName"/>
        <w:spacing w:before="0"/>
      </w:pPr>
      <w:r>
        <w:lastRenderedPageBreak/>
        <w:t>Parliament</w:t>
      </w:r>
    </w:p>
    <w:p w14:paraId="4FFA21B0" w14:textId="77777777" w:rsidR="00BB2CB4" w:rsidRDefault="000674DA">
      <w:pPr>
        <w:pStyle w:val="MeasureTitle"/>
      </w:pPr>
      <w:r w:rsidRPr="69C11E82">
        <w:rPr>
          <w:lang w:val="en-US"/>
        </w:rPr>
        <w:t>Parliamentary Departments – additional resourcing</w:t>
      </w:r>
    </w:p>
    <w:p w14:paraId="49EB2A0A"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A3A3FCD" w14:textId="77777777" w:rsidTr="00825163">
        <w:trPr>
          <w:cantSplit/>
        </w:trPr>
        <w:tc>
          <w:tcPr>
            <w:tcW w:w="2501" w:type="dxa"/>
          </w:tcPr>
          <w:p w14:paraId="5DB897F3" w14:textId="77777777" w:rsidR="00BB2CB4" w:rsidRPr="00222C32" w:rsidRDefault="00BB2CB4">
            <w:pPr>
              <w:pStyle w:val="MeasureTableYearHeadings"/>
              <w:keepNext/>
            </w:pPr>
          </w:p>
        </w:tc>
        <w:tc>
          <w:tcPr>
            <w:tcW w:w="1044" w:type="dxa"/>
          </w:tcPr>
          <w:p w14:paraId="0DAA28B6" w14:textId="77777777" w:rsidR="00BB2CB4" w:rsidRPr="00222C32" w:rsidRDefault="000674DA">
            <w:pPr>
              <w:pStyle w:val="MeasureTableYearHeadings"/>
              <w:keepNext/>
            </w:pPr>
            <w:r w:rsidRPr="00222C32">
              <w:t>2024-25</w:t>
            </w:r>
          </w:p>
        </w:tc>
        <w:tc>
          <w:tcPr>
            <w:tcW w:w="1044" w:type="dxa"/>
          </w:tcPr>
          <w:p w14:paraId="53E88304" w14:textId="77777777" w:rsidR="00BB2CB4" w:rsidRPr="00222C32" w:rsidRDefault="000674DA">
            <w:pPr>
              <w:pStyle w:val="MeasureTableYearHeadings"/>
              <w:keepNext/>
            </w:pPr>
            <w:r w:rsidRPr="00222C32">
              <w:t>2025-26</w:t>
            </w:r>
          </w:p>
        </w:tc>
        <w:tc>
          <w:tcPr>
            <w:tcW w:w="1044" w:type="dxa"/>
          </w:tcPr>
          <w:p w14:paraId="19F71370" w14:textId="77777777" w:rsidR="00BB2CB4" w:rsidRPr="00222C32" w:rsidRDefault="000674DA">
            <w:pPr>
              <w:pStyle w:val="MeasureTableYearHeadings"/>
              <w:keepNext/>
            </w:pPr>
            <w:r w:rsidRPr="00222C32">
              <w:t>2026-27</w:t>
            </w:r>
          </w:p>
        </w:tc>
        <w:tc>
          <w:tcPr>
            <w:tcW w:w="1044" w:type="dxa"/>
          </w:tcPr>
          <w:p w14:paraId="36B16124" w14:textId="77777777" w:rsidR="00BB2CB4" w:rsidRPr="00222C32" w:rsidRDefault="000674DA">
            <w:pPr>
              <w:pStyle w:val="MeasureTableYearHeadings"/>
              <w:keepNext/>
            </w:pPr>
            <w:r w:rsidRPr="00222C32">
              <w:t>2027-28</w:t>
            </w:r>
          </w:p>
        </w:tc>
        <w:tc>
          <w:tcPr>
            <w:tcW w:w="1044" w:type="dxa"/>
          </w:tcPr>
          <w:p w14:paraId="4DE8776C" w14:textId="77777777" w:rsidR="00BB2CB4" w:rsidRPr="00222C32" w:rsidRDefault="000674DA">
            <w:pPr>
              <w:pStyle w:val="MeasureTableYearHeadings"/>
              <w:keepNext/>
            </w:pPr>
            <w:r w:rsidRPr="00222C32">
              <w:t>2028-29</w:t>
            </w:r>
          </w:p>
        </w:tc>
      </w:tr>
      <w:tr w:rsidR="00BB2CB4" w:rsidRPr="00222C32" w14:paraId="69BC1F58" w14:textId="77777777" w:rsidTr="00825163">
        <w:trPr>
          <w:cantSplit/>
        </w:trPr>
        <w:tc>
          <w:tcPr>
            <w:tcW w:w="2501" w:type="dxa"/>
          </w:tcPr>
          <w:p w14:paraId="57AE85F2" w14:textId="77777777" w:rsidR="00BB2CB4" w:rsidRPr="00222C32" w:rsidRDefault="000674DA">
            <w:pPr>
              <w:pStyle w:val="MeasureTableHeadingleftalignedwith2ptsspacing"/>
              <w:keepNext/>
            </w:pPr>
            <w:r w:rsidRPr="00222C32">
              <w:t>Department of Parliamentary Services</w:t>
            </w:r>
          </w:p>
        </w:tc>
        <w:tc>
          <w:tcPr>
            <w:tcW w:w="1044" w:type="dxa"/>
          </w:tcPr>
          <w:p w14:paraId="5D557306" w14:textId="77777777" w:rsidR="00BB2CB4" w:rsidRPr="00222C32" w:rsidRDefault="000674DA">
            <w:pPr>
              <w:pStyle w:val="MeasureTableDataRightAlignedwith2ptsspacing"/>
              <w:keepNext/>
            </w:pPr>
            <w:r w:rsidRPr="00222C32">
              <w:t>-</w:t>
            </w:r>
          </w:p>
        </w:tc>
        <w:tc>
          <w:tcPr>
            <w:tcW w:w="1044" w:type="dxa"/>
          </w:tcPr>
          <w:p w14:paraId="322A8C6A" w14:textId="77777777" w:rsidR="00BB2CB4" w:rsidRPr="00222C32" w:rsidRDefault="000674DA">
            <w:pPr>
              <w:pStyle w:val="MeasureTableDataRightAlignedwith2ptsspacing"/>
              <w:keepNext/>
            </w:pPr>
            <w:r w:rsidRPr="00222C32">
              <w:t>8.5</w:t>
            </w:r>
          </w:p>
        </w:tc>
        <w:tc>
          <w:tcPr>
            <w:tcW w:w="1044" w:type="dxa"/>
          </w:tcPr>
          <w:p w14:paraId="2559932E" w14:textId="77777777" w:rsidR="00BB2CB4" w:rsidRPr="00222C32" w:rsidRDefault="000674DA">
            <w:pPr>
              <w:pStyle w:val="MeasureTableDataRightAlignedwith2ptsspacing"/>
              <w:keepNext/>
            </w:pPr>
            <w:r w:rsidRPr="00222C32">
              <w:t>4.9</w:t>
            </w:r>
          </w:p>
        </w:tc>
        <w:tc>
          <w:tcPr>
            <w:tcW w:w="1044" w:type="dxa"/>
          </w:tcPr>
          <w:p w14:paraId="787008ED" w14:textId="77777777" w:rsidR="00BB2CB4" w:rsidRPr="00222C32" w:rsidRDefault="000674DA">
            <w:pPr>
              <w:pStyle w:val="MeasureTableDataRightAlignedwith2ptsspacing"/>
              <w:keepNext/>
            </w:pPr>
            <w:r w:rsidRPr="00222C32">
              <w:t>5.4</w:t>
            </w:r>
          </w:p>
        </w:tc>
        <w:tc>
          <w:tcPr>
            <w:tcW w:w="1044" w:type="dxa"/>
          </w:tcPr>
          <w:p w14:paraId="7D13554B" w14:textId="77777777" w:rsidR="00BB2CB4" w:rsidRPr="00222C32" w:rsidRDefault="000674DA">
            <w:pPr>
              <w:pStyle w:val="MeasureTableDataRightAlignedwith2ptsspacing"/>
              <w:keepNext/>
            </w:pPr>
            <w:r w:rsidRPr="00222C32">
              <w:t>5.8</w:t>
            </w:r>
          </w:p>
        </w:tc>
      </w:tr>
      <w:tr w:rsidR="00BB2CB4" w:rsidRPr="00222C32" w14:paraId="21E38798" w14:textId="77777777" w:rsidTr="00825163">
        <w:trPr>
          <w:cantSplit/>
        </w:trPr>
        <w:tc>
          <w:tcPr>
            <w:tcW w:w="2501" w:type="dxa"/>
            <w:tcBorders>
              <w:bottom w:val="single" w:sz="4" w:space="0" w:color="293F5B"/>
            </w:tcBorders>
          </w:tcPr>
          <w:p w14:paraId="710B71F8" w14:textId="77777777" w:rsidR="00BB2CB4" w:rsidRPr="00222C32" w:rsidRDefault="000674DA">
            <w:pPr>
              <w:pStyle w:val="MeasureTableHeadingleftalignedwith2ptsspacing"/>
              <w:keepNext/>
            </w:pPr>
            <w:r w:rsidRPr="00222C32">
              <w:t>Department of the House of Representatives</w:t>
            </w:r>
          </w:p>
        </w:tc>
        <w:tc>
          <w:tcPr>
            <w:tcW w:w="1044" w:type="dxa"/>
            <w:tcBorders>
              <w:bottom w:val="single" w:sz="4" w:space="0" w:color="293F5B"/>
            </w:tcBorders>
          </w:tcPr>
          <w:p w14:paraId="5F2032B9" w14:textId="77777777" w:rsidR="00BB2CB4" w:rsidRPr="00222C32" w:rsidRDefault="000674DA">
            <w:pPr>
              <w:pStyle w:val="MeasureTableDataRightAlignedwith2ptsspacing"/>
              <w:keepNext/>
            </w:pPr>
            <w:r w:rsidRPr="00222C32">
              <w:t>-</w:t>
            </w:r>
          </w:p>
        </w:tc>
        <w:tc>
          <w:tcPr>
            <w:tcW w:w="1044" w:type="dxa"/>
            <w:tcBorders>
              <w:bottom w:val="single" w:sz="4" w:space="0" w:color="293F5B"/>
            </w:tcBorders>
          </w:tcPr>
          <w:p w14:paraId="7146D851" w14:textId="77777777" w:rsidR="00BB2CB4" w:rsidRPr="00222C32" w:rsidRDefault="000674DA">
            <w:pPr>
              <w:pStyle w:val="MeasureTableDataRightAlignedwith2ptsspacing"/>
              <w:keepNext/>
            </w:pPr>
            <w:r w:rsidRPr="00222C32">
              <w:t>1.0</w:t>
            </w:r>
          </w:p>
        </w:tc>
        <w:tc>
          <w:tcPr>
            <w:tcW w:w="1044" w:type="dxa"/>
            <w:tcBorders>
              <w:bottom w:val="single" w:sz="4" w:space="0" w:color="293F5B"/>
            </w:tcBorders>
          </w:tcPr>
          <w:p w14:paraId="45E597F5" w14:textId="77777777" w:rsidR="00BB2CB4" w:rsidRPr="00222C32" w:rsidRDefault="000674DA">
            <w:pPr>
              <w:pStyle w:val="MeasureTableDataRightAlignedwith2ptsspacing"/>
              <w:keepNext/>
            </w:pPr>
            <w:r w:rsidRPr="00222C32">
              <w:t>1.5</w:t>
            </w:r>
          </w:p>
        </w:tc>
        <w:tc>
          <w:tcPr>
            <w:tcW w:w="1044" w:type="dxa"/>
            <w:tcBorders>
              <w:bottom w:val="single" w:sz="4" w:space="0" w:color="293F5B"/>
            </w:tcBorders>
          </w:tcPr>
          <w:p w14:paraId="140367A6" w14:textId="77777777" w:rsidR="00BB2CB4" w:rsidRPr="00222C32" w:rsidRDefault="000674DA">
            <w:pPr>
              <w:pStyle w:val="MeasureTableDataRightAlignedwith2ptsspacing"/>
              <w:keepNext/>
            </w:pPr>
            <w:r w:rsidRPr="00222C32">
              <w:t>1.5</w:t>
            </w:r>
          </w:p>
        </w:tc>
        <w:tc>
          <w:tcPr>
            <w:tcW w:w="1044" w:type="dxa"/>
            <w:tcBorders>
              <w:bottom w:val="single" w:sz="4" w:space="0" w:color="293F5B"/>
            </w:tcBorders>
          </w:tcPr>
          <w:p w14:paraId="61AC1662" w14:textId="77777777" w:rsidR="00BB2CB4" w:rsidRPr="00222C32" w:rsidRDefault="000674DA">
            <w:pPr>
              <w:pStyle w:val="MeasureTableDataRightAlignedwith2ptsspacing"/>
              <w:keepNext/>
            </w:pPr>
            <w:r w:rsidRPr="00222C32">
              <w:t>1.6</w:t>
            </w:r>
          </w:p>
        </w:tc>
      </w:tr>
      <w:tr w:rsidR="00BB2CB4" w:rsidRPr="00222C32" w14:paraId="40058286" w14:textId="77777777" w:rsidTr="00825163">
        <w:trPr>
          <w:cantSplit/>
        </w:trPr>
        <w:tc>
          <w:tcPr>
            <w:tcW w:w="2501" w:type="dxa"/>
            <w:tcBorders>
              <w:bottom w:val="single" w:sz="4" w:space="0" w:color="293F5B"/>
            </w:tcBorders>
          </w:tcPr>
          <w:p w14:paraId="30D58B77" w14:textId="77777777" w:rsidR="00BB2CB4" w:rsidRPr="00222C32" w:rsidRDefault="000674DA">
            <w:pPr>
              <w:pStyle w:val="Totalrowleftaligned"/>
              <w:keepNext/>
            </w:pPr>
            <w:r w:rsidRPr="00222C32">
              <w:t>Total – Payments</w:t>
            </w:r>
          </w:p>
        </w:tc>
        <w:tc>
          <w:tcPr>
            <w:tcW w:w="1044" w:type="dxa"/>
            <w:tcBorders>
              <w:bottom w:val="single" w:sz="4" w:space="0" w:color="293F5B"/>
            </w:tcBorders>
          </w:tcPr>
          <w:p w14:paraId="0B542562" w14:textId="77777777" w:rsidR="00BB2CB4" w:rsidRPr="00222C32" w:rsidRDefault="000674DA">
            <w:pPr>
              <w:pStyle w:val="Totaldatarowrightaligned"/>
              <w:keepNext/>
            </w:pPr>
            <w:r w:rsidRPr="00222C32">
              <w:t>-</w:t>
            </w:r>
          </w:p>
        </w:tc>
        <w:tc>
          <w:tcPr>
            <w:tcW w:w="1044" w:type="dxa"/>
            <w:tcBorders>
              <w:bottom w:val="single" w:sz="4" w:space="0" w:color="293F5B"/>
            </w:tcBorders>
          </w:tcPr>
          <w:p w14:paraId="362AC937" w14:textId="77777777" w:rsidR="00BB2CB4" w:rsidRPr="00222C32" w:rsidRDefault="000674DA">
            <w:pPr>
              <w:pStyle w:val="Totaldatarowrightaligned"/>
              <w:keepNext/>
            </w:pPr>
            <w:r w:rsidRPr="00222C32">
              <w:t>9.5</w:t>
            </w:r>
          </w:p>
        </w:tc>
        <w:tc>
          <w:tcPr>
            <w:tcW w:w="1044" w:type="dxa"/>
            <w:tcBorders>
              <w:bottom w:val="single" w:sz="4" w:space="0" w:color="293F5B"/>
            </w:tcBorders>
          </w:tcPr>
          <w:p w14:paraId="227607B1" w14:textId="77777777" w:rsidR="00BB2CB4" w:rsidRPr="00222C32" w:rsidRDefault="000674DA">
            <w:pPr>
              <w:pStyle w:val="Totaldatarowrightaligned"/>
              <w:keepNext/>
            </w:pPr>
            <w:r w:rsidRPr="00222C32">
              <w:t>6.4</w:t>
            </w:r>
          </w:p>
        </w:tc>
        <w:tc>
          <w:tcPr>
            <w:tcW w:w="1044" w:type="dxa"/>
            <w:tcBorders>
              <w:bottom w:val="single" w:sz="4" w:space="0" w:color="293F5B"/>
            </w:tcBorders>
          </w:tcPr>
          <w:p w14:paraId="2511DA6F" w14:textId="77777777" w:rsidR="00BB2CB4" w:rsidRPr="00222C32" w:rsidRDefault="000674DA">
            <w:pPr>
              <w:pStyle w:val="Totaldatarowrightaligned"/>
              <w:keepNext/>
            </w:pPr>
            <w:r w:rsidRPr="00222C32">
              <w:t>6.9</w:t>
            </w:r>
          </w:p>
        </w:tc>
        <w:tc>
          <w:tcPr>
            <w:tcW w:w="1044" w:type="dxa"/>
            <w:tcBorders>
              <w:bottom w:val="single" w:sz="4" w:space="0" w:color="293F5B"/>
            </w:tcBorders>
          </w:tcPr>
          <w:p w14:paraId="38F59297" w14:textId="77777777" w:rsidR="00BB2CB4" w:rsidRPr="00222C32" w:rsidRDefault="000674DA">
            <w:pPr>
              <w:pStyle w:val="Totaldatarowrightaligned"/>
              <w:keepNext/>
            </w:pPr>
            <w:r w:rsidRPr="00222C32">
              <w:t>7.4</w:t>
            </w:r>
          </w:p>
        </w:tc>
      </w:tr>
    </w:tbl>
    <w:p w14:paraId="236123A3" w14:textId="77777777" w:rsidR="00843C76" w:rsidRDefault="00843C76" w:rsidP="00843C76">
      <w:pPr>
        <w:pStyle w:val="SingleParagraph"/>
      </w:pPr>
    </w:p>
    <w:p w14:paraId="29F527CE" w14:textId="77777777" w:rsidR="00BB2CB4" w:rsidRDefault="000674DA">
      <w:pPr>
        <w:pStyle w:val="Normal2"/>
      </w:pPr>
      <w:r>
        <w:t>The Government will provide $30.2 million over four years from 2025–‍26 (and $7.9 million per year ongoing) to support the operations of Parliamentary Departments. Funding includes:</w:t>
      </w:r>
    </w:p>
    <w:p w14:paraId="3D04CD32" w14:textId="77777777" w:rsidR="00BB2CB4" w:rsidRDefault="000674DA">
      <w:pPr>
        <w:pStyle w:val="Bullet"/>
      </w:pPr>
      <w:r>
        <w:t>$24.6 million over four years from 2025–‍26 (and $6.3 million per year ongoing) to support the financial sustainability and effective operations of the Department of Parliamentary Services</w:t>
      </w:r>
    </w:p>
    <w:p w14:paraId="7C40DC50" w14:textId="77777777" w:rsidR="00BB2CB4" w:rsidRDefault="000674DA">
      <w:pPr>
        <w:pStyle w:val="Bullet"/>
      </w:pPr>
      <w:r>
        <w:t>$5.6 million over four years from 2025–‍26 (and $1.6 million per year ongoing) for the Department of the House of Representatives to establish the Parliamentary Joint Committee on Defence. Funding for the establishment of the Joint Committee will be held in the Contingency Reserve pending the passage of legislation to establish the new committee.</w:t>
      </w:r>
    </w:p>
    <w:p w14:paraId="7EF6BFAC" w14:textId="77777777" w:rsidR="00BB2CB4" w:rsidRDefault="00BB2CB4" w:rsidP="00843C76">
      <w:pPr>
        <w:pStyle w:val="Normal2"/>
      </w:pPr>
    </w:p>
    <w:p w14:paraId="5F50F181" w14:textId="77777777" w:rsidR="00843C76" w:rsidRDefault="00843C76" w:rsidP="00843C76">
      <w:pPr>
        <w:pStyle w:val="Normal2"/>
        <w:sectPr w:rsidR="00843C76" w:rsidSect="00301ACF">
          <w:headerReference w:type="even" r:id="rId127"/>
          <w:headerReference w:type="default" r:id="rId128"/>
          <w:footerReference w:type="even" r:id="rId129"/>
          <w:footerReference w:type="default" r:id="rId130"/>
          <w:headerReference w:type="first" r:id="rId131"/>
          <w:footerReference w:type="first" r:id="rId132"/>
          <w:pgSz w:w="11906" w:h="16838" w:code="9"/>
          <w:pgMar w:top="2835" w:right="2098" w:bottom="2466" w:left="2098" w:header="1814" w:footer="1814" w:gutter="0"/>
          <w:cols w:space="720"/>
          <w:docGrid w:linePitch="272"/>
        </w:sectPr>
      </w:pPr>
    </w:p>
    <w:p w14:paraId="3F4DD939" w14:textId="77777777" w:rsidR="00BB2CB4" w:rsidRDefault="000674DA" w:rsidP="00BA09AF">
      <w:pPr>
        <w:pStyle w:val="PortfolioName"/>
        <w:spacing w:before="0"/>
      </w:pPr>
      <w:r>
        <w:lastRenderedPageBreak/>
        <w:t>Prime Minister and Cabinet</w:t>
      </w:r>
    </w:p>
    <w:p w14:paraId="2893471C" w14:textId="77777777" w:rsidR="00BB2CB4" w:rsidRDefault="000674DA">
      <w:pPr>
        <w:pStyle w:val="MeasureTitle"/>
      </w:pPr>
      <w:r w:rsidRPr="69C11E82">
        <w:rPr>
          <w:lang w:val="en-US"/>
        </w:rPr>
        <w:t>Ngurra Cultural Precinct</w:t>
      </w:r>
    </w:p>
    <w:p w14:paraId="351BCA20"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A8A8EE0" w14:textId="77777777" w:rsidTr="00825163">
        <w:trPr>
          <w:cantSplit/>
        </w:trPr>
        <w:tc>
          <w:tcPr>
            <w:tcW w:w="2501" w:type="dxa"/>
            <w:tcBorders>
              <w:top w:val="single" w:sz="4" w:space="0" w:color="293F5B"/>
              <w:bottom w:val="single" w:sz="4" w:space="0" w:color="293F5B"/>
            </w:tcBorders>
          </w:tcPr>
          <w:p w14:paraId="0625F602"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95B700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3E5E3C8"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56059AE"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C5D42E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0DB5CF8" w14:textId="77777777" w:rsidR="00BB2CB4" w:rsidRPr="00222C32" w:rsidRDefault="000674DA">
            <w:pPr>
              <w:pStyle w:val="MeasureTableYearHeadings"/>
              <w:keepNext/>
            </w:pPr>
            <w:r w:rsidRPr="00222C32">
              <w:t>2028-29</w:t>
            </w:r>
          </w:p>
        </w:tc>
      </w:tr>
      <w:tr w:rsidR="00BB2CB4" w:rsidRPr="00222C32" w14:paraId="56A01640" w14:textId="77777777" w:rsidTr="00825163">
        <w:trPr>
          <w:cantSplit/>
        </w:trPr>
        <w:tc>
          <w:tcPr>
            <w:tcW w:w="2501" w:type="dxa"/>
            <w:tcBorders>
              <w:top w:val="single" w:sz="4" w:space="0" w:color="293F5B"/>
              <w:bottom w:val="single" w:sz="4" w:space="0" w:color="293F5B"/>
            </w:tcBorders>
          </w:tcPr>
          <w:p w14:paraId="10982016" w14:textId="77777777" w:rsidR="00BB2CB4" w:rsidRPr="00222C32" w:rsidRDefault="000674DA">
            <w:pPr>
              <w:pStyle w:val="MeasureTableHeadingleftalignedwith2ptsspacing"/>
              <w:keepNext/>
            </w:pPr>
            <w:r w:rsidRPr="00222C32">
              <w:t>Australian Institute of Aboriginal and Torres Strait Islander Studies</w:t>
            </w:r>
          </w:p>
        </w:tc>
        <w:tc>
          <w:tcPr>
            <w:tcW w:w="1044" w:type="dxa"/>
            <w:tcBorders>
              <w:top w:val="single" w:sz="4" w:space="0" w:color="293F5B"/>
              <w:bottom w:val="single" w:sz="4" w:space="0" w:color="293F5B"/>
            </w:tcBorders>
          </w:tcPr>
          <w:p w14:paraId="3713B75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A6E8704" w14:textId="77777777" w:rsidR="00BB2CB4" w:rsidRPr="00222C32" w:rsidRDefault="000674DA">
            <w:pPr>
              <w:pStyle w:val="MeasureTableDataRightAlignedwith2ptsspacing"/>
              <w:keepNext/>
            </w:pPr>
            <w:r w:rsidRPr="00222C32">
              <w:t>1.7</w:t>
            </w:r>
          </w:p>
        </w:tc>
        <w:tc>
          <w:tcPr>
            <w:tcW w:w="1044" w:type="dxa"/>
            <w:tcBorders>
              <w:top w:val="single" w:sz="4" w:space="0" w:color="293F5B"/>
              <w:bottom w:val="single" w:sz="4" w:space="0" w:color="293F5B"/>
            </w:tcBorders>
          </w:tcPr>
          <w:p w14:paraId="4D3E4D3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2509A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EF2661" w14:textId="77777777" w:rsidR="00BB2CB4" w:rsidRPr="00222C32" w:rsidRDefault="000674DA">
            <w:pPr>
              <w:pStyle w:val="MeasureTableDataRightAlignedwith2ptsspacing"/>
              <w:keepNext/>
            </w:pPr>
            <w:r w:rsidRPr="00222C32">
              <w:t>-</w:t>
            </w:r>
          </w:p>
        </w:tc>
      </w:tr>
      <w:tr w:rsidR="00BB2CB4" w:rsidRPr="00222C32" w14:paraId="1893F778" w14:textId="77777777" w:rsidTr="00825163">
        <w:trPr>
          <w:cantSplit/>
        </w:trPr>
        <w:tc>
          <w:tcPr>
            <w:tcW w:w="2501" w:type="dxa"/>
            <w:tcBorders>
              <w:top w:val="single" w:sz="4" w:space="0" w:color="293F5B"/>
              <w:bottom w:val="single" w:sz="4" w:space="0" w:color="293F5B"/>
            </w:tcBorders>
          </w:tcPr>
          <w:p w14:paraId="56828C3C" w14:textId="77777777" w:rsidR="00BB2CB4" w:rsidRPr="00222C32" w:rsidRDefault="000674DA">
            <w:pPr>
              <w:pStyle w:val="MeasureTableHeadingleftalignedwith2ptsspacing"/>
              <w:keepNext/>
            </w:pPr>
            <w:r w:rsidRPr="00222C32">
              <w:t>Department of Finance</w:t>
            </w:r>
          </w:p>
        </w:tc>
        <w:tc>
          <w:tcPr>
            <w:tcW w:w="1044" w:type="dxa"/>
            <w:tcBorders>
              <w:top w:val="single" w:sz="4" w:space="0" w:color="293F5B"/>
              <w:bottom w:val="single" w:sz="4" w:space="0" w:color="293F5B"/>
            </w:tcBorders>
          </w:tcPr>
          <w:p w14:paraId="694AC4B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469A866" w14:textId="77777777" w:rsidR="00BB2CB4" w:rsidRPr="00222C32" w:rsidRDefault="000674DA">
            <w:pPr>
              <w:pStyle w:val="MeasureTableDataRightAlignedwith2ptsspacing"/>
              <w:keepNext/>
            </w:pPr>
            <w:r w:rsidRPr="00222C32">
              <w:t>0.2</w:t>
            </w:r>
          </w:p>
        </w:tc>
        <w:tc>
          <w:tcPr>
            <w:tcW w:w="1044" w:type="dxa"/>
            <w:tcBorders>
              <w:top w:val="single" w:sz="4" w:space="0" w:color="293F5B"/>
              <w:bottom w:val="single" w:sz="4" w:space="0" w:color="293F5B"/>
            </w:tcBorders>
          </w:tcPr>
          <w:p w14:paraId="146E3DE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44A8416"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9BA3BC7" w14:textId="77777777" w:rsidR="00BB2CB4" w:rsidRPr="00222C32" w:rsidRDefault="000674DA">
            <w:pPr>
              <w:pStyle w:val="MeasureTableDataRightAlignedwith2ptsspacing"/>
              <w:keepNext/>
            </w:pPr>
            <w:r w:rsidRPr="00222C32">
              <w:t>-</w:t>
            </w:r>
          </w:p>
        </w:tc>
      </w:tr>
      <w:tr w:rsidR="00BB2CB4" w:rsidRPr="00222C32" w14:paraId="0AF1352C" w14:textId="77777777" w:rsidTr="00825163">
        <w:trPr>
          <w:cantSplit/>
        </w:trPr>
        <w:tc>
          <w:tcPr>
            <w:tcW w:w="2501" w:type="dxa"/>
            <w:tcBorders>
              <w:top w:val="single" w:sz="4" w:space="0" w:color="293F5B"/>
              <w:bottom w:val="single" w:sz="4" w:space="0" w:color="293F5B"/>
            </w:tcBorders>
          </w:tcPr>
          <w:p w14:paraId="7F897694"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797109D"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596532D2" w14:textId="77777777" w:rsidR="00BB2CB4" w:rsidRPr="00222C32" w:rsidRDefault="000674DA">
            <w:pPr>
              <w:pStyle w:val="Totaldatarowrightaligned"/>
              <w:keepNext/>
            </w:pPr>
            <w:r w:rsidRPr="00222C32">
              <w:t>1.9</w:t>
            </w:r>
          </w:p>
        </w:tc>
        <w:tc>
          <w:tcPr>
            <w:tcW w:w="1044" w:type="dxa"/>
            <w:tcBorders>
              <w:top w:val="single" w:sz="4" w:space="0" w:color="293F5B"/>
              <w:bottom w:val="single" w:sz="4" w:space="0" w:color="293F5B"/>
            </w:tcBorders>
          </w:tcPr>
          <w:p w14:paraId="1A5B8FB0"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5A40DE8"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1B6553F" w14:textId="77777777" w:rsidR="00BB2CB4" w:rsidRPr="00222C32" w:rsidRDefault="000674DA">
            <w:pPr>
              <w:pStyle w:val="Totaldatarowrightaligned"/>
              <w:keepNext/>
            </w:pPr>
            <w:r w:rsidRPr="00222C32">
              <w:t>-</w:t>
            </w:r>
          </w:p>
        </w:tc>
      </w:tr>
    </w:tbl>
    <w:p w14:paraId="522D57DA" w14:textId="77777777" w:rsidR="00843C76" w:rsidRDefault="00843C76" w:rsidP="00843C76">
      <w:pPr>
        <w:pStyle w:val="SingleParagraph"/>
      </w:pPr>
    </w:p>
    <w:p w14:paraId="02E65224" w14:textId="77777777" w:rsidR="00BB2CB4" w:rsidRDefault="000674DA">
      <w:pPr>
        <w:pStyle w:val="Normal2"/>
      </w:pPr>
      <w:r w:rsidRPr="00EC7DC3">
        <w:t>The Government</w:t>
      </w:r>
      <w:r w:rsidRPr="69C11E82">
        <w:rPr>
          <w:lang w:val="en-US"/>
        </w:rPr>
        <w:t xml:space="preserve"> will provide $17.0 million in 2025–‍26 (including $14.6 million in capital funding) to continue to progress the development of Ngurra: The National Aboriginal and Torres Strait Islander Cultural Precinct. Funding includes:</w:t>
      </w:r>
    </w:p>
    <w:p w14:paraId="58E9DFC8" w14:textId="77777777" w:rsidR="00BB2CB4" w:rsidRDefault="000674DA">
      <w:pPr>
        <w:pStyle w:val="Bullet"/>
      </w:pPr>
      <w:r>
        <w:t>$16.7 million in 2025–‍26 to the Australian Institute of Aboriginal and Torres Strait Islander Studies to finalise the design process</w:t>
      </w:r>
    </w:p>
    <w:p w14:paraId="1F3AD80C" w14:textId="77777777" w:rsidR="00BB2CB4" w:rsidRDefault="000674DA">
      <w:pPr>
        <w:pStyle w:val="Bullet"/>
      </w:pPr>
      <w:r>
        <w:t>$0.2 million in 2025–‍26 to the Department of Finance to support delivery of the precinct.</w:t>
      </w:r>
    </w:p>
    <w:p w14:paraId="2F7F0D6A" w14:textId="77777777" w:rsidR="00BB2CB4" w:rsidRDefault="000674DA">
      <w:pPr>
        <w:pStyle w:val="Normal2"/>
      </w:pPr>
      <w:r w:rsidRPr="69C11E82">
        <w:rPr>
          <w:lang w:val="en-US"/>
        </w:rPr>
        <w:t xml:space="preserve">The cost of this measure will be met from a reprioritisation of funding from the 2022–‍23 March Budget measure titled </w:t>
      </w:r>
      <w:r w:rsidRPr="69C11E82">
        <w:rPr>
          <w:i/>
          <w:lang w:val="en-US"/>
        </w:rPr>
        <w:t xml:space="preserve">Ngurra Cultural Precinct. </w:t>
      </w:r>
    </w:p>
    <w:p w14:paraId="3832792B" w14:textId="3425158A" w:rsidR="00BB2CB4" w:rsidRDefault="000674DA">
      <w:pPr>
        <w:pStyle w:val="Normal2"/>
      </w:pPr>
      <w:r>
        <w:t xml:space="preserve">This measure builds on the 2024–‍25 Budget measure titled </w:t>
      </w:r>
      <w:r w:rsidRPr="000674DA">
        <w:rPr>
          <w:i/>
        </w:rPr>
        <w:t>Further Investment to Closing the</w:t>
      </w:r>
      <w:r w:rsidR="00825872">
        <w:rPr>
          <w:i/>
        </w:rPr>
        <w:t> </w:t>
      </w:r>
      <w:r w:rsidRPr="000674DA">
        <w:rPr>
          <w:i/>
        </w:rPr>
        <w:t>Gap</w:t>
      </w:r>
      <w:r>
        <w:t>.</w:t>
      </w:r>
    </w:p>
    <w:p w14:paraId="035F426A" w14:textId="77777777" w:rsidR="00BB2CB4" w:rsidRDefault="000674DA">
      <w:pPr>
        <w:pStyle w:val="MeasureTitle"/>
      </w:pPr>
      <w:r>
        <w:t>Payments to Support Ongoing Rehabilitation of Ranger Uranium Mine</w:t>
      </w:r>
    </w:p>
    <w:p w14:paraId="78837D2C"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031785C" w14:textId="77777777" w:rsidTr="00825163">
        <w:trPr>
          <w:cantSplit/>
        </w:trPr>
        <w:tc>
          <w:tcPr>
            <w:tcW w:w="2501" w:type="dxa"/>
            <w:tcBorders>
              <w:top w:val="single" w:sz="4" w:space="0" w:color="293F5B"/>
              <w:bottom w:val="single" w:sz="4" w:space="0" w:color="293F5B"/>
            </w:tcBorders>
          </w:tcPr>
          <w:p w14:paraId="676608AD"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067D340"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A20288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7EBE7FB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D3607FC"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CDD4874" w14:textId="77777777" w:rsidR="00BB2CB4" w:rsidRPr="00222C32" w:rsidRDefault="000674DA">
            <w:pPr>
              <w:pStyle w:val="MeasureTableYearHeadings"/>
              <w:keepNext/>
            </w:pPr>
            <w:r w:rsidRPr="00222C32">
              <w:t>2028-29</w:t>
            </w:r>
          </w:p>
        </w:tc>
      </w:tr>
      <w:tr w:rsidR="00BB2CB4" w:rsidRPr="00222C32" w14:paraId="5B45FAF8" w14:textId="77777777" w:rsidTr="00825163">
        <w:trPr>
          <w:cantSplit/>
        </w:trPr>
        <w:tc>
          <w:tcPr>
            <w:tcW w:w="2501" w:type="dxa"/>
            <w:tcBorders>
              <w:top w:val="single" w:sz="4" w:space="0" w:color="293F5B"/>
              <w:bottom w:val="single" w:sz="4" w:space="0" w:color="293F5B"/>
            </w:tcBorders>
          </w:tcPr>
          <w:p w14:paraId="64E342AD" w14:textId="77777777" w:rsidR="00BB2CB4" w:rsidRPr="00222C32" w:rsidRDefault="000674DA">
            <w:pPr>
              <w:pStyle w:val="MeasureTableHeadingleftalignedwith2ptsspacing"/>
              <w:keepNext/>
            </w:pPr>
            <w:r w:rsidRPr="00222C32">
              <w:t>National Indigenous Australians Agency</w:t>
            </w:r>
          </w:p>
        </w:tc>
        <w:tc>
          <w:tcPr>
            <w:tcW w:w="1044" w:type="dxa"/>
            <w:tcBorders>
              <w:top w:val="single" w:sz="4" w:space="0" w:color="293F5B"/>
              <w:bottom w:val="single" w:sz="4" w:space="0" w:color="293F5B"/>
            </w:tcBorders>
          </w:tcPr>
          <w:p w14:paraId="7D81DE3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A367EA7" w14:textId="77777777" w:rsidR="00BB2CB4" w:rsidRPr="00222C32" w:rsidRDefault="000674DA">
            <w:pPr>
              <w:pStyle w:val="MeasureTableDataRightAlignedwith2ptsspacing"/>
              <w:keepNext/>
            </w:pPr>
            <w:r w:rsidRPr="00222C32">
              <w:t>0.8</w:t>
            </w:r>
          </w:p>
        </w:tc>
        <w:tc>
          <w:tcPr>
            <w:tcW w:w="1044" w:type="dxa"/>
            <w:tcBorders>
              <w:top w:val="single" w:sz="4" w:space="0" w:color="293F5B"/>
              <w:bottom w:val="single" w:sz="4" w:space="0" w:color="293F5B"/>
            </w:tcBorders>
          </w:tcPr>
          <w:p w14:paraId="17A5BFFC"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4CC2EF01" w14:textId="77777777" w:rsidR="00BB2CB4" w:rsidRPr="00222C32" w:rsidRDefault="000674DA">
            <w:pPr>
              <w:pStyle w:val="MeasureTableDataRightAlignedwith2ptsspacing"/>
              <w:keepNext/>
            </w:pPr>
            <w:r w:rsidRPr="00222C32">
              <w:t>nfp</w:t>
            </w:r>
          </w:p>
        </w:tc>
        <w:tc>
          <w:tcPr>
            <w:tcW w:w="1044" w:type="dxa"/>
            <w:tcBorders>
              <w:top w:val="single" w:sz="4" w:space="0" w:color="293F5B"/>
              <w:bottom w:val="single" w:sz="4" w:space="0" w:color="293F5B"/>
            </w:tcBorders>
          </w:tcPr>
          <w:p w14:paraId="6D57C5A3" w14:textId="77777777" w:rsidR="00BB2CB4" w:rsidRPr="00222C32" w:rsidRDefault="000674DA">
            <w:pPr>
              <w:pStyle w:val="MeasureTableDataRightAlignedwith2ptsspacing"/>
              <w:keepNext/>
            </w:pPr>
            <w:r w:rsidRPr="00222C32">
              <w:t>nfp</w:t>
            </w:r>
          </w:p>
        </w:tc>
      </w:tr>
    </w:tbl>
    <w:p w14:paraId="63E2FFC9" w14:textId="77777777" w:rsidR="003578A9" w:rsidRDefault="003578A9" w:rsidP="003578A9">
      <w:pPr>
        <w:pStyle w:val="SingleParagraph"/>
      </w:pPr>
    </w:p>
    <w:p w14:paraId="44CF26C9" w14:textId="77777777" w:rsidR="00BB2CB4" w:rsidRDefault="000674DA">
      <w:pPr>
        <w:pStyle w:val="Normal2"/>
      </w:pPr>
      <w:r w:rsidRPr="69C11E82">
        <w:rPr>
          <w:lang w:val="en-US"/>
        </w:rPr>
        <w:t xml:space="preserve">The Government will provide $2.0 million in 2025–‍26 and funding for a 50‑year agreement until 2074–‍75 under the </w:t>
      </w:r>
      <w:r w:rsidRPr="69C11E82">
        <w:rPr>
          <w:i/>
          <w:lang w:val="en-US"/>
        </w:rPr>
        <w:t>Aboriginal Land Rights (Northern Territory) Act 1976</w:t>
      </w:r>
      <w:r w:rsidRPr="69C11E82">
        <w:rPr>
          <w:lang w:val="en-US"/>
        </w:rPr>
        <w:t xml:space="preserve"> to continue rehabilitation work of the Ranger Uranium Mine located in Kakadu National Park.</w:t>
      </w:r>
    </w:p>
    <w:p w14:paraId="5A0FCC41" w14:textId="77777777" w:rsidR="00BB2CB4" w:rsidRDefault="000674DA">
      <w:pPr>
        <w:pStyle w:val="Normal2"/>
      </w:pPr>
      <w:r w:rsidRPr="69C11E82">
        <w:rPr>
          <w:lang w:val="en-US"/>
        </w:rPr>
        <w:t xml:space="preserve">The cost of this measure will be partially met from the </w:t>
      </w:r>
      <w:r w:rsidRPr="69C11E82">
        <w:rPr>
          <w:i/>
          <w:lang w:val="en-US"/>
        </w:rPr>
        <w:t xml:space="preserve">Aboriginal Land Rights (Northern Territory) Act 1976 </w:t>
      </w:r>
      <w:r w:rsidRPr="69C11E82">
        <w:rPr>
          <w:lang w:val="en-US"/>
        </w:rPr>
        <w:t xml:space="preserve">– Ranger Agreement special appropriation held by the National Indigenous Australians Agency and savings identified in the 2025–‍26 MYEFO measure titled </w:t>
      </w:r>
      <w:r w:rsidRPr="69C11E82">
        <w:rPr>
          <w:i/>
          <w:lang w:val="en-US"/>
        </w:rPr>
        <w:t>Industry, Science and Resources – reprioritisation</w:t>
      </w:r>
      <w:r w:rsidRPr="69C11E82">
        <w:rPr>
          <w:lang w:val="en-US"/>
        </w:rPr>
        <w:t>.</w:t>
      </w:r>
    </w:p>
    <w:p w14:paraId="2B1BAE49" w14:textId="4BC84BE4" w:rsidR="00BB2CB4" w:rsidRDefault="000674DA">
      <w:pPr>
        <w:pStyle w:val="Normal2"/>
      </w:pPr>
      <w:r w:rsidRPr="69C11E82">
        <w:rPr>
          <w:lang w:val="en-US"/>
        </w:rPr>
        <w:t>The financial implications of this measure from 2026–‍27 are not for publication (nfp) because they would impair the Commonwealth</w:t>
      </w:r>
      <w:r w:rsidR="00222C32" w:rsidRPr="69C11E82">
        <w:rPr>
          <w:lang w:val="en-US"/>
        </w:rPr>
        <w:t>’</w:t>
      </w:r>
      <w:r w:rsidRPr="69C11E82">
        <w:rPr>
          <w:lang w:val="en-US"/>
        </w:rPr>
        <w:t>s position in negotiating rehabilitation arrangements.</w:t>
      </w:r>
    </w:p>
    <w:p w14:paraId="5FF9E3BC" w14:textId="77777777" w:rsidR="00BB2CB4" w:rsidRDefault="000674DA">
      <w:pPr>
        <w:pStyle w:val="MeasureTitle"/>
      </w:pPr>
      <w:r w:rsidRPr="69C11E82">
        <w:rPr>
          <w:lang w:val="en-US"/>
        </w:rPr>
        <w:lastRenderedPageBreak/>
        <w:t>Prime Minister and Cabinet – additional resourcing</w:t>
      </w:r>
    </w:p>
    <w:p w14:paraId="10A28C80" w14:textId="77777777" w:rsidR="00BB2CB4" w:rsidRDefault="000674DA">
      <w:pPr>
        <w:pStyle w:val="MeasureTableHeading"/>
      </w:pPr>
      <w:r>
        <w:t>Payments ($m)</w:t>
      </w:r>
    </w:p>
    <w:tbl>
      <w:tblPr>
        <w:tblOverlap w:val="neve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3EFB784" w14:textId="77777777" w:rsidTr="00825163">
        <w:trPr>
          <w:cantSplit/>
        </w:trPr>
        <w:tc>
          <w:tcPr>
            <w:tcW w:w="2501" w:type="dxa"/>
          </w:tcPr>
          <w:p w14:paraId="46F4BEE0" w14:textId="77777777" w:rsidR="00BB2CB4" w:rsidRPr="00222C32" w:rsidRDefault="00BB2CB4">
            <w:pPr>
              <w:pStyle w:val="MeasureTableYearHeadings"/>
              <w:keepNext/>
            </w:pPr>
          </w:p>
        </w:tc>
        <w:tc>
          <w:tcPr>
            <w:tcW w:w="1044" w:type="dxa"/>
          </w:tcPr>
          <w:p w14:paraId="364B6FF1" w14:textId="77777777" w:rsidR="00BB2CB4" w:rsidRPr="00222C32" w:rsidRDefault="000674DA">
            <w:pPr>
              <w:pStyle w:val="MeasureTableYearHeadings"/>
              <w:keepNext/>
            </w:pPr>
            <w:r w:rsidRPr="00222C32">
              <w:t>2024-25</w:t>
            </w:r>
          </w:p>
        </w:tc>
        <w:tc>
          <w:tcPr>
            <w:tcW w:w="1044" w:type="dxa"/>
          </w:tcPr>
          <w:p w14:paraId="07123EDB" w14:textId="77777777" w:rsidR="00BB2CB4" w:rsidRPr="00222C32" w:rsidRDefault="000674DA">
            <w:pPr>
              <w:pStyle w:val="MeasureTableYearHeadings"/>
              <w:keepNext/>
            </w:pPr>
            <w:r w:rsidRPr="00222C32">
              <w:t>2025-26</w:t>
            </w:r>
          </w:p>
        </w:tc>
        <w:tc>
          <w:tcPr>
            <w:tcW w:w="1044" w:type="dxa"/>
          </w:tcPr>
          <w:p w14:paraId="620203EA" w14:textId="77777777" w:rsidR="00BB2CB4" w:rsidRPr="00222C32" w:rsidRDefault="000674DA">
            <w:pPr>
              <w:pStyle w:val="MeasureTableYearHeadings"/>
              <w:keepNext/>
            </w:pPr>
            <w:r w:rsidRPr="00222C32">
              <w:t>2026-27</w:t>
            </w:r>
          </w:p>
        </w:tc>
        <w:tc>
          <w:tcPr>
            <w:tcW w:w="1044" w:type="dxa"/>
          </w:tcPr>
          <w:p w14:paraId="025D163B" w14:textId="77777777" w:rsidR="00BB2CB4" w:rsidRPr="00222C32" w:rsidRDefault="000674DA">
            <w:pPr>
              <w:pStyle w:val="MeasureTableYearHeadings"/>
              <w:keepNext/>
            </w:pPr>
            <w:r w:rsidRPr="00222C32">
              <w:t>2027-28</w:t>
            </w:r>
          </w:p>
        </w:tc>
        <w:tc>
          <w:tcPr>
            <w:tcW w:w="1044" w:type="dxa"/>
          </w:tcPr>
          <w:p w14:paraId="482A9054" w14:textId="77777777" w:rsidR="00BB2CB4" w:rsidRPr="00222C32" w:rsidRDefault="000674DA">
            <w:pPr>
              <w:pStyle w:val="MeasureTableYearHeadings"/>
              <w:keepNext/>
            </w:pPr>
            <w:r w:rsidRPr="00222C32">
              <w:t>2028-29</w:t>
            </w:r>
          </w:p>
        </w:tc>
      </w:tr>
      <w:tr w:rsidR="00BB2CB4" w:rsidRPr="00222C32" w14:paraId="0A1FC45E" w14:textId="77777777" w:rsidTr="00825163">
        <w:trPr>
          <w:cantSplit/>
        </w:trPr>
        <w:tc>
          <w:tcPr>
            <w:tcW w:w="2501" w:type="dxa"/>
          </w:tcPr>
          <w:p w14:paraId="3E601AFF" w14:textId="77777777" w:rsidR="00BB2CB4" w:rsidRPr="00222C32" w:rsidRDefault="000674DA">
            <w:pPr>
              <w:pStyle w:val="MeasureTableHeadingleftalignedwith2ptsspacing"/>
              <w:keepNext/>
            </w:pPr>
            <w:r w:rsidRPr="00222C32">
              <w:t>Australian Public Service Commission</w:t>
            </w:r>
          </w:p>
        </w:tc>
        <w:tc>
          <w:tcPr>
            <w:tcW w:w="1044" w:type="dxa"/>
          </w:tcPr>
          <w:p w14:paraId="07F86C87" w14:textId="77777777" w:rsidR="00BB2CB4" w:rsidRPr="00222C32" w:rsidRDefault="000674DA">
            <w:pPr>
              <w:pStyle w:val="MeasureTableDataRightAlignedwith2ptsspacing"/>
              <w:keepNext/>
            </w:pPr>
            <w:r w:rsidRPr="00222C32">
              <w:t>-</w:t>
            </w:r>
          </w:p>
        </w:tc>
        <w:tc>
          <w:tcPr>
            <w:tcW w:w="1044" w:type="dxa"/>
          </w:tcPr>
          <w:p w14:paraId="606819E2" w14:textId="77777777" w:rsidR="00BB2CB4" w:rsidRPr="00222C32" w:rsidRDefault="000674DA">
            <w:pPr>
              <w:pStyle w:val="MeasureTableDataRightAlignedwith2ptsspacing"/>
              <w:keepNext/>
            </w:pPr>
            <w:r w:rsidRPr="00222C32">
              <w:t>9.2</w:t>
            </w:r>
          </w:p>
        </w:tc>
        <w:tc>
          <w:tcPr>
            <w:tcW w:w="1044" w:type="dxa"/>
          </w:tcPr>
          <w:p w14:paraId="14B5DEB4" w14:textId="77777777" w:rsidR="00BB2CB4" w:rsidRPr="00222C32" w:rsidRDefault="000674DA">
            <w:pPr>
              <w:pStyle w:val="MeasureTableDataRightAlignedwith2ptsspacing"/>
              <w:keepNext/>
            </w:pPr>
            <w:r w:rsidRPr="00222C32">
              <w:t>-</w:t>
            </w:r>
          </w:p>
        </w:tc>
        <w:tc>
          <w:tcPr>
            <w:tcW w:w="1044" w:type="dxa"/>
          </w:tcPr>
          <w:p w14:paraId="202D4C93" w14:textId="77777777" w:rsidR="00BB2CB4" w:rsidRPr="00222C32" w:rsidRDefault="000674DA">
            <w:pPr>
              <w:pStyle w:val="MeasureTableDataRightAlignedwith2ptsspacing"/>
              <w:keepNext/>
            </w:pPr>
            <w:r w:rsidRPr="00222C32">
              <w:t>-</w:t>
            </w:r>
          </w:p>
        </w:tc>
        <w:tc>
          <w:tcPr>
            <w:tcW w:w="1044" w:type="dxa"/>
          </w:tcPr>
          <w:p w14:paraId="04DF6B30" w14:textId="77777777" w:rsidR="00BB2CB4" w:rsidRPr="00222C32" w:rsidRDefault="000674DA">
            <w:pPr>
              <w:pStyle w:val="MeasureTableDataRightAlignedwith2ptsspacing"/>
              <w:keepNext/>
            </w:pPr>
            <w:r w:rsidRPr="00222C32">
              <w:t>-</w:t>
            </w:r>
          </w:p>
        </w:tc>
      </w:tr>
      <w:tr w:rsidR="00BB2CB4" w:rsidRPr="00222C32" w14:paraId="33FF5A83" w14:textId="77777777" w:rsidTr="00825163">
        <w:trPr>
          <w:cantSplit/>
        </w:trPr>
        <w:tc>
          <w:tcPr>
            <w:tcW w:w="2501" w:type="dxa"/>
          </w:tcPr>
          <w:p w14:paraId="7FBCF8E6" w14:textId="77777777" w:rsidR="00BB2CB4" w:rsidRPr="00222C32" w:rsidRDefault="000674DA">
            <w:pPr>
              <w:pStyle w:val="MeasureTableHeadingleftalignedwith2ptsspacing"/>
              <w:keepNext/>
            </w:pPr>
            <w:r w:rsidRPr="00222C32">
              <w:t>Office of the Official Secretary to the Governor‑General</w:t>
            </w:r>
          </w:p>
        </w:tc>
        <w:tc>
          <w:tcPr>
            <w:tcW w:w="1044" w:type="dxa"/>
          </w:tcPr>
          <w:p w14:paraId="0FA59CF3" w14:textId="77777777" w:rsidR="00BB2CB4" w:rsidRPr="00222C32" w:rsidRDefault="000674DA">
            <w:pPr>
              <w:pStyle w:val="MeasureTableDataRightAlignedwith2ptsspacing"/>
              <w:keepNext/>
            </w:pPr>
            <w:r w:rsidRPr="00222C32">
              <w:t>-</w:t>
            </w:r>
          </w:p>
        </w:tc>
        <w:tc>
          <w:tcPr>
            <w:tcW w:w="1044" w:type="dxa"/>
          </w:tcPr>
          <w:p w14:paraId="5F82C076" w14:textId="77777777" w:rsidR="00BB2CB4" w:rsidRPr="00222C32" w:rsidRDefault="000674DA">
            <w:pPr>
              <w:pStyle w:val="MeasureTableDataRightAlignedwith2ptsspacing"/>
              <w:keepNext/>
            </w:pPr>
            <w:r w:rsidRPr="00222C32">
              <w:t>4.6</w:t>
            </w:r>
          </w:p>
        </w:tc>
        <w:tc>
          <w:tcPr>
            <w:tcW w:w="1044" w:type="dxa"/>
          </w:tcPr>
          <w:p w14:paraId="361E52D3" w14:textId="77777777" w:rsidR="00BB2CB4" w:rsidRPr="00222C32" w:rsidRDefault="000674DA">
            <w:pPr>
              <w:pStyle w:val="MeasureTableDataRightAlignedwith2ptsspacing"/>
              <w:keepNext/>
            </w:pPr>
            <w:r w:rsidRPr="00222C32">
              <w:t>2.0</w:t>
            </w:r>
          </w:p>
        </w:tc>
        <w:tc>
          <w:tcPr>
            <w:tcW w:w="1044" w:type="dxa"/>
          </w:tcPr>
          <w:p w14:paraId="445C27F8" w14:textId="77777777" w:rsidR="00BB2CB4" w:rsidRPr="00222C32" w:rsidRDefault="000674DA">
            <w:pPr>
              <w:pStyle w:val="MeasureTableDataRightAlignedwith2ptsspacing"/>
              <w:keepNext/>
            </w:pPr>
            <w:r w:rsidRPr="00222C32">
              <w:t>-</w:t>
            </w:r>
          </w:p>
        </w:tc>
        <w:tc>
          <w:tcPr>
            <w:tcW w:w="1044" w:type="dxa"/>
          </w:tcPr>
          <w:p w14:paraId="1E761B3B" w14:textId="77777777" w:rsidR="00BB2CB4" w:rsidRPr="00222C32" w:rsidRDefault="000674DA">
            <w:pPr>
              <w:pStyle w:val="MeasureTableDataRightAlignedwith2ptsspacing"/>
              <w:keepNext/>
            </w:pPr>
            <w:r w:rsidRPr="00222C32">
              <w:t>-</w:t>
            </w:r>
          </w:p>
        </w:tc>
      </w:tr>
      <w:tr w:rsidR="00BB2CB4" w:rsidRPr="00222C32" w14:paraId="76E545CB" w14:textId="77777777" w:rsidTr="00825163">
        <w:trPr>
          <w:cantSplit/>
        </w:trPr>
        <w:tc>
          <w:tcPr>
            <w:tcW w:w="2501" w:type="dxa"/>
          </w:tcPr>
          <w:p w14:paraId="66401048" w14:textId="77777777" w:rsidR="00BB2CB4" w:rsidRPr="00222C32" w:rsidRDefault="000674DA">
            <w:pPr>
              <w:pStyle w:val="MeasureTableHeadingleftalignedwith2ptsspacing"/>
              <w:keepNext/>
            </w:pPr>
            <w:r w:rsidRPr="00222C32">
              <w:t>Department of the Prime Minister and Cabinet</w:t>
            </w:r>
          </w:p>
        </w:tc>
        <w:tc>
          <w:tcPr>
            <w:tcW w:w="1044" w:type="dxa"/>
          </w:tcPr>
          <w:p w14:paraId="42BD78F1" w14:textId="77777777" w:rsidR="00BB2CB4" w:rsidRPr="00222C32" w:rsidRDefault="000674DA">
            <w:pPr>
              <w:pStyle w:val="MeasureTableDataRightAlignedwith2ptsspacing"/>
              <w:keepNext/>
            </w:pPr>
            <w:r w:rsidRPr="00222C32">
              <w:t>-</w:t>
            </w:r>
          </w:p>
        </w:tc>
        <w:tc>
          <w:tcPr>
            <w:tcW w:w="1044" w:type="dxa"/>
          </w:tcPr>
          <w:p w14:paraId="79D586C5" w14:textId="77777777" w:rsidR="00BB2CB4" w:rsidRPr="00222C32" w:rsidRDefault="000674DA">
            <w:pPr>
              <w:pStyle w:val="MeasureTableDataRightAlignedwith2ptsspacing"/>
              <w:keepNext/>
            </w:pPr>
            <w:r w:rsidRPr="00222C32">
              <w:t>3.6</w:t>
            </w:r>
          </w:p>
        </w:tc>
        <w:tc>
          <w:tcPr>
            <w:tcW w:w="1044" w:type="dxa"/>
          </w:tcPr>
          <w:p w14:paraId="0FA02FE0" w14:textId="77777777" w:rsidR="00BB2CB4" w:rsidRPr="00222C32" w:rsidRDefault="000674DA">
            <w:pPr>
              <w:pStyle w:val="MeasureTableDataRightAlignedwith2ptsspacing"/>
              <w:keepNext/>
            </w:pPr>
            <w:r w:rsidRPr="00222C32">
              <w:t>7.1</w:t>
            </w:r>
          </w:p>
        </w:tc>
        <w:tc>
          <w:tcPr>
            <w:tcW w:w="1044" w:type="dxa"/>
          </w:tcPr>
          <w:p w14:paraId="0F59650B" w14:textId="77777777" w:rsidR="00BB2CB4" w:rsidRPr="00222C32" w:rsidRDefault="000674DA">
            <w:pPr>
              <w:pStyle w:val="MeasureTableDataRightAlignedwith2ptsspacing"/>
              <w:keepNext/>
            </w:pPr>
            <w:r w:rsidRPr="00222C32">
              <w:t>7.2</w:t>
            </w:r>
          </w:p>
        </w:tc>
        <w:tc>
          <w:tcPr>
            <w:tcW w:w="1044" w:type="dxa"/>
          </w:tcPr>
          <w:p w14:paraId="7386011A" w14:textId="77777777" w:rsidR="00BB2CB4" w:rsidRPr="00222C32" w:rsidRDefault="000674DA">
            <w:pPr>
              <w:pStyle w:val="MeasureTableDataRightAlignedwith2ptsspacing"/>
              <w:keepNext/>
            </w:pPr>
            <w:r w:rsidRPr="00222C32">
              <w:t>7.3</w:t>
            </w:r>
          </w:p>
        </w:tc>
      </w:tr>
      <w:tr w:rsidR="00BB2CB4" w:rsidRPr="00222C32" w14:paraId="1BFF5DE9" w14:textId="77777777" w:rsidTr="00825163">
        <w:trPr>
          <w:cantSplit/>
        </w:trPr>
        <w:tc>
          <w:tcPr>
            <w:tcW w:w="2501" w:type="dxa"/>
          </w:tcPr>
          <w:p w14:paraId="54B3669E" w14:textId="77777777" w:rsidR="00BB2CB4" w:rsidRPr="00222C32" w:rsidRDefault="000674DA">
            <w:pPr>
              <w:pStyle w:val="Totalrowleftaligned"/>
              <w:keepNext/>
            </w:pPr>
            <w:r w:rsidRPr="00222C32">
              <w:t>Total – Payments</w:t>
            </w:r>
          </w:p>
        </w:tc>
        <w:tc>
          <w:tcPr>
            <w:tcW w:w="1044" w:type="dxa"/>
          </w:tcPr>
          <w:p w14:paraId="0174AE91" w14:textId="77777777" w:rsidR="00BB2CB4" w:rsidRPr="00222C32" w:rsidRDefault="000674DA">
            <w:pPr>
              <w:pStyle w:val="Totaldatarowrightaligned"/>
              <w:keepNext/>
            </w:pPr>
            <w:r w:rsidRPr="00222C32">
              <w:t>-</w:t>
            </w:r>
          </w:p>
        </w:tc>
        <w:tc>
          <w:tcPr>
            <w:tcW w:w="1044" w:type="dxa"/>
          </w:tcPr>
          <w:p w14:paraId="7459AB1E" w14:textId="77777777" w:rsidR="00BB2CB4" w:rsidRPr="00222C32" w:rsidRDefault="000674DA">
            <w:pPr>
              <w:pStyle w:val="Totaldatarowrightaligned"/>
              <w:keepNext/>
            </w:pPr>
            <w:r w:rsidRPr="00222C32">
              <w:t>17.3</w:t>
            </w:r>
          </w:p>
        </w:tc>
        <w:tc>
          <w:tcPr>
            <w:tcW w:w="1044" w:type="dxa"/>
          </w:tcPr>
          <w:p w14:paraId="2F0691D1" w14:textId="77777777" w:rsidR="00BB2CB4" w:rsidRPr="00222C32" w:rsidRDefault="000674DA">
            <w:pPr>
              <w:pStyle w:val="Totaldatarowrightaligned"/>
              <w:keepNext/>
            </w:pPr>
            <w:r w:rsidRPr="00222C32">
              <w:t>9.1</w:t>
            </w:r>
          </w:p>
        </w:tc>
        <w:tc>
          <w:tcPr>
            <w:tcW w:w="1044" w:type="dxa"/>
          </w:tcPr>
          <w:p w14:paraId="2A14BDF1" w14:textId="77777777" w:rsidR="00BB2CB4" w:rsidRPr="00222C32" w:rsidRDefault="000674DA">
            <w:pPr>
              <w:pStyle w:val="Totaldatarowrightaligned"/>
              <w:keepNext/>
            </w:pPr>
            <w:r w:rsidRPr="00222C32">
              <w:t>7.2</w:t>
            </w:r>
          </w:p>
        </w:tc>
        <w:tc>
          <w:tcPr>
            <w:tcW w:w="1044" w:type="dxa"/>
          </w:tcPr>
          <w:p w14:paraId="78C7972C" w14:textId="77777777" w:rsidR="00BB2CB4" w:rsidRPr="00222C32" w:rsidRDefault="000674DA">
            <w:pPr>
              <w:pStyle w:val="Totaldatarowrightaligned"/>
              <w:keepNext/>
            </w:pPr>
            <w:r w:rsidRPr="00222C32">
              <w:t>7.3</w:t>
            </w:r>
          </w:p>
        </w:tc>
      </w:tr>
    </w:tbl>
    <w:p w14:paraId="18ED4C80" w14:textId="77777777" w:rsidR="00857D27" w:rsidRDefault="00857D27" w:rsidP="00857D27">
      <w:pPr>
        <w:pStyle w:val="SingleParagraph"/>
      </w:pPr>
    </w:p>
    <w:p w14:paraId="7425D47B" w14:textId="77777777" w:rsidR="00BB2CB4" w:rsidRDefault="000674DA">
      <w:pPr>
        <w:pStyle w:val="Normal2"/>
      </w:pPr>
      <w:r>
        <w:t>The Government will provide $40.8 million over four years from 2025–‍26 (and $7.4 million per year ongoing) to support the delivery of Government priorities in the Prime Minister and Cabinet portfolio. Funding includes:</w:t>
      </w:r>
    </w:p>
    <w:p w14:paraId="6A556BD7" w14:textId="77777777" w:rsidR="00BB2CB4" w:rsidRDefault="000674DA">
      <w:pPr>
        <w:pStyle w:val="Bullet"/>
      </w:pPr>
      <w:r>
        <w:t>$25.1 million over four years from 2025–‍26 (and $7.4 million per year ongoing) for the Department of the Prime Minister and Cabinet to support national security priorities</w:t>
      </w:r>
    </w:p>
    <w:p w14:paraId="6A170C5E" w14:textId="77777777" w:rsidR="00BB2CB4" w:rsidRDefault="000674DA">
      <w:pPr>
        <w:pStyle w:val="Bullet"/>
      </w:pPr>
      <w:r>
        <w:t>$9.2 million in 2025–‍26 for the Australian Public Service Commission to continue implementing APS Reform to strengthen the capability of the Australian Public Service</w:t>
      </w:r>
    </w:p>
    <w:p w14:paraId="11425641" w14:textId="77777777" w:rsidR="00BB2CB4" w:rsidRDefault="000674DA">
      <w:pPr>
        <w:pStyle w:val="Bullet"/>
      </w:pPr>
      <w:r>
        <w:t>$6.5 million over two years from 2025–‍26 to the Office of the Official Secretary to the Governor‑General to support its effective operation.</w:t>
      </w:r>
    </w:p>
    <w:p w14:paraId="38F3C8DD" w14:textId="77777777" w:rsidR="00BB2CB4" w:rsidRDefault="00BB2CB4">
      <w:pPr>
        <w:sectPr w:rsidR="00BB2CB4" w:rsidSect="00301ACF">
          <w:headerReference w:type="even" r:id="rId133"/>
          <w:headerReference w:type="default" r:id="rId134"/>
          <w:footerReference w:type="even" r:id="rId135"/>
          <w:footerReference w:type="default" r:id="rId136"/>
          <w:headerReference w:type="first" r:id="rId137"/>
          <w:footerReference w:type="first" r:id="rId138"/>
          <w:pgSz w:w="11906" w:h="16838" w:code="9"/>
          <w:pgMar w:top="2835" w:right="2098" w:bottom="2466" w:left="2098" w:header="1814" w:footer="1814" w:gutter="0"/>
          <w:cols w:space="720"/>
          <w:docGrid w:linePitch="272"/>
        </w:sectPr>
      </w:pPr>
    </w:p>
    <w:p w14:paraId="7B6DAA89" w14:textId="32C81516" w:rsidR="00BB2CB4" w:rsidRDefault="000674DA" w:rsidP="00BA09AF">
      <w:pPr>
        <w:pStyle w:val="PortfolioName"/>
        <w:spacing w:before="0"/>
      </w:pPr>
      <w:r>
        <w:lastRenderedPageBreak/>
        <w:t>Social Services</w:t>
      </w:r>
    </w:p>
    <w:p w14:paraId="39344B52" w14:textId="77777777" w:rsidR="00BB2CB4" w:rsidRDefault="000674DA">
      <w:pPr>
        <w:pStyle w:val="MeasureTitle"/>
      </w:pPr>
      <w:r>
        <w:t>A Fairer More Efficient Social Security System</w:t>
      </w:r>
    </w:p>
    <w:p w14:paraId="263A64E1"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4C6A132" w14:textId="77777777" w:rsidTr="00825163">
        <w:tc>
          <w:tcPr>
            <w:tcW w:w="2501" w:type="dxa"/>
            <w:tcBorders>
              <w:top w:val="single" w:sz="4" w:space="0" w:color="293F5B"/>
              <w:bottom w:val="single" w:sz="4" w:space="0" w:color="293F5B"/>
            </w:tcBorders>
          </w:tcPr>
          <w:p w14:paraId="293CC84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BDC4302"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C0356D3"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726D83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841575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DBFDE79" w14:textId="77777777" w:rsidR="00BB2CB4" w:rsidRPr="00222C32" w:rsidRDefault="000674DA">
            <w:pPr>
              <w:pStyle w:val="MeasureTableYearHeadings"/>
              <w:keepNext/>
            </w:pPr>
            <w:r w:rsidRPr="00222C32">
              <w:t>2028-29</w:t>
            </w:r>
          </w:p>
        </w:tc>
      </w:tr>
      <w:tr w:rsidR="00BB2CB4" w:rsidRPr="00222C32" w14:paraId="41F269A5" w14:textId="77777777" w:rsidTr="00825163">
        <w:tc>
          <w:tcPr>
            <w:tcW w:w="2501" w:type="dxa"/>
            <w:tcBorders>
              <w:top w:val="single" w:sz="4" w:space="0" w:color="293F5B"/>
              <w:bottom w:val="single" w:sz="4" w:space="0" w:color="293F5B"/>
            </w:tcBorders>
          </w:tcPr>
          <w:p w14:paraId="6322E1D0" w14:textId="77777777" w:rsidR="00BB2CB4" w:rsidRPr="00222C32" w:rsidRDefault="000674DA">
            <w:pPr>
              <w:pStyle w:val="MeasureTableHeadingleftalignedwith2ptsspacing"/>
              <w:keepNext/>
            </w:pPr>
            <w:r w:rsidRPr="00222C32">
              <w:t>Services Australia</w:t>
            </w:r>
          </w:p>
        </w:tc>
        <w:tc>
          <w:tcPr>
            <w:tcW w:w="1044" w:type="dxa"/>
            <w:tcBorders>
              <w:top w:val="single" w:sz="4" w:space="0" w:color="293F5B"/>
              <w:bottom w:val="single" w:sz="4" w:space="0" w:color="293F5B"/>
            </w:tcBorders>
          </w:tcPr>
          <w:p w14:paraId="4C3DE2E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3742F5" w14:textId="77777777" w:rsidR="00BB2CB4" w:rsidRPr="00222C32" w:rsidRDefault="000674DA">
            <w:pPr>
              <w:pStyle w:val="MeasureTableDataRightAlignedwith2ptsspacing"/>
              <w:keepNext/>
            </w:pPr>
            <w:r w:rsidRPr="00222C32">
              <w:t>54.0</w:t>
            </w:r>
          </w:p>
        </w:tc>
        <w:tc>
          <w:tcPr>
            <w:tcW w:w="1044" w:type="dxa"/>
            <w:tcBorders>
              <w:top w:val="single" w:sz="4" w:space="0" w:color="293F5B"/>
              <w:bottom w:val="single" w:sz="4" w:space="0" w:color="293F5B"/>
            </w:tcBorders>
          </w:tcPr>
          <w:p w14:paraId="4C10BF4B" w14:textId="77777777" w:rsidR="00BB2CB4" w:rsidRPr="00222C32" w:rsidRDefault="000674DA">
            <w:pPr>
              <w:pStyle w:val="MeasureTableDataRightAlignedwith2ptsspacing"/>
              <w:keepNext/>
            </w:pPr>
            <w:r w:rsidRPr="00222C32">
              <w:t>38.1</w:t>
            </w:r>
          </w:p>
        </w:tc>
        <w:tc>
          <w:tcPr>
            <w:tcW w:w="1044" w:type="dxa"/>
            <w:tcBorders>
              <w:top w:val="single" w:sz="4" w:space="0" w:color="293F5B"/>
              <w:bottom w:val="single" w:sz="4" w:space="0" w:color="293F5B"/>
            </w:tcBorders>
          </w:tcPr>
          <w:p w14:paraId="398777B0" w14:textId="77777777" w:rsidR="00BB2CB4" w:rsidRPr="00222C32" w:rsidRDefault="000674DA">
            <w:pPr>
              <w:pStyle w:val="MeasureTableDataRightAlignedwith2ptsspacing"/>
              <w:keepNext/>
            </w:pPr>
            <w:r w:rsidRPr="00222C32">
              <w:t>1.8</w:t>
            </w:r>
          </w:p>
        </w:tc>
        <w:tc>
          <w:tcPr>
            <w:tcW w:w="1044" w:type="dxa"/>
            <w:tcBorders>
              <w:top w:val="single" w:sz="4" w:space="0" w:color="293F5B"/>
              <w:bottom w:val="single" w:sz="4" w:space="0" w:color="293F5B"/>
            </w:tcBorders>
          </w:tcPr>
          <w:p w14:paraId="1D0773CE" w14:textId="77777777" w:rsidR="00BB2CB4" w:rsidRPr="00222C32" w:rsidRDefault="000674DA">
            <w:pPr>
              <w:pStyle w:val="MeasureTableDataRightAlignedwith2ptsspacing"/>
              <w:keepNext/>
            </w:pPr>
            <w:r w:rsidRPr="00222C32">
              <w:t>1.5</w:t>
            </w:r>
          </w:p>
        </w:tc>
      </w:tr>
      <w:tr w:rsidR="00BB2CB4" w:rsidRPr="00222C32" w14:paraId="6FBA7234" w14:textId="77777777" w:rsidTr="00825163">
        <w:tc>
          <w:tcPr>
            <w:tcW w:w="2501" w:type="dxa"/>
            <w:tcBorders>
              <w:top w:val="single" w:sz="4" w:space="0" w:color="293F5B"/>
              <w:bottom w:val="single" w:sz="4" w:space="0" w:color="293F5B"/>
            </w:tcBorders>
          </w:tcPr>
          <w:p w14:paraId="0BCBC78B"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23B2E8D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19BC65E" w14:textId="77777777" w:rsidR="00BB2CB4" w:rsidRPr="00222C32" w:rsidRDefault="000674DA">
            <w:pPr>
              <w:pStyle w:val="MeasureTableDataRightAlignedwith2ptsspacing"/>
              <w:keepNext/>
            </w:pPr>
            <w:r w:rsidRPr="00222C32">
              <w:t>6.3</w:t>
            </w:r>
          </w:p>
        </w:tc>
        <w:tc>
          <w:tcPr>
            <w:tcW w:w="1044" w:type="dxa"/>
            <w:tcBorders>
              <w:top w:val="single" w:sz="4" w:space="0" w:color="293F5B"/>
              <w:bottom w:val="single" w:sz="4" w:space="0" w:color="293F5B"/>
            </w:tcBorders>
          </w:tcPr>
          <w:p w14:paraId="7015CF73" w14:textId="77777777" w:rsidR="00BB2CB4" w:rsidRPr="00222C32" w:rsidRDefault="000674DA">
            <w:pPr>
              <w:pStyle w:val="MeasureTableDataRightAlignedwith2ptsspacing"/>
              <w:keepNext/>
            </w:pPr>
            <w:r w:rsidRPr="00222C32">
              <w:t>35.5</w:t>
            </w:r>
          </w:p>
        </w:tc>
        <w:tc>
          <w:tcPr>
            <w:tcW w:w="1044" w:type="dxa"/>
            <w:tcBorders>
              <w:top w:val="single" w:sz="4" w:space="0" w:color="293F5B"/>
              <w:bottom w:val="single" w:sz="4" w:space="0" w:color="293F5B"/>
            </w:tcBorders>
          </w:tcPr>
          <w:p w14:paraId="0FC45DA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B4A62BA" w14:textId="77777777" w:rsidR="00BB2CB4" w:rsidRPr="00222C32" w:rsidRDefault="000674DA">
            <w:pPr>
              <w:pStyle w:val="MeasureTableDataRightAlignedwith2ptsspacing"/>
              <w:keepNext/>
            </w:pPr>
            <w:r w:rsidRPr="00222C32">
              <w:t>-</w:t>
            </w:r>
          </w:p>
        </w:tc>
      </w:tr>
      <w:tr w:rsidR="00BB2CB4" w:rsidRPr="00222C32" w14:paraId="50C96F09" w14:textId="77777777" w:rsidTr="00825163">
        <w:tc>
          <w:tcPr>
            <w:tcW w:w="2501" w:type="dxa"/>
            <w:tcBorders>
              <w:top w:val="single" w:sz="4" w:space="0" w:color="293F5B"/>
              <w:bottom w:val="single" w:sz="4" w:space="0" w:color="293F5B"/>
            </w:tcBorders>
          </w:tcPr>
          <w:p w14:paraId="5EBC1FD0" w14:textId="006DF2B7" w:rsidR="00BB2CB4" w:rsidRPr="00222C32" w:rsidRDefault="000674DA">
            <w:pPr>
              <w:pStyle w:val="MeasureTableHeadingleftalignedwith2ptsspacing"/>
              <w:keepNext/>
            </w:pPr>
            <w:r w:rsidRPr="00222C32">
              <w:t>Department of Veterans</w:t>
            </w:r>
            <w:r w:rsidR="007A29FA">
              <w:t>’</w:t>
            </w:r>
            <w:r w:rsidRPr="00222C32">
              <w:t xml:space="preserve"> Affairs</w:t>
            </w:r>
          </w:p>
        </w:tc>
        <w:tc>
          <w:tcPr>
            <w:tcW w:w="1044" w:type="dxa"/>
            <w:tcBorders>
              <w:top w:val="single" w:sz="4" w:space="0" w:color="293F5B"/>
              <w:bottom w:val="single" w:sz="4" w:space="0" w:color="293F5B"/>
            </w:tcBorders>
          </w:tcPr>
          <w:p w14:paraId="721D503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99A5BA3" w14:textId="77777777" w:rsidR="00BB2CB4" w:rsidRPr="00222C32" w:rsidRDefault="000674DA">
            <w:pPr>
              <w:pStyle w:val="MeasureTableDataRightAlignedwith2ptsspacing"/>
              <w:keepNext/>
            </w:pPr>
            <w:r w:rsidRPr="00222C32">
              <w:t>0.6</w:t>
            </w:r>
          </w:p>
        </w:tc>
        <w:tc>
          <w:tcPr>
            <w:tcW w:w="1044" w:type="dxa"/>
            <w:tcBorders>
              <w:top w:val="single" w:sz="4" w:space="0" w:color="293F5B"/>
              <w:bottom w:val="single" w:sz="4" w:space="0" w:color="293F5B"/>
            </w:tcBorders>
          </w:tcPr>
          <w:p w14:paraId="61BA7586"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493B7271" w14:textId="77777777" w:rsidR="00BB2CB4" w:rsidRPr="00222C32" w:rsidRDefault="000674DA">
            <w:pPr>
              <w:pStyle w:val="MeasureTableDataRightAlignedwith2ptsspacing"/>
              <w:keepNext/>
            </w:pPr>
            <w:r w:rsidRPr="00222C32">
              <w:t>0.3</w:t>
            </w:r>
          </w:p>
        </w:tc>
        <w:tc>
          <w:tcPr>
            <w:tcW w:w="1044" w:type="dxa"/>
            <w:tcBorders>
              <w:top w:val="single" w:sz="4" w:space="0" w:color="293F5B"/>
              <w:bottom w:val="single" w:sz="4" w:space="0" w:color="293F5B"/>
            </w:tcBorders>
          </w:tcPr>
          <w:p w14:paraId="08A22DF3" w14:textId="77777777" w:rsidR="00BB2CB4" w:rsidRPr="00222C32" w:rsidRDefault="000674DA">
            <w:pPr>
              <w:pStyle w:val="MeasureTableDataRightAlignedwith2ptsspacing"/>
              <w:keepNext/>
            </w:pPr>
            <w:r w:rsidRPr="00222C32">
              <w:t>0.3</w:t>
            </w:r>
          </w:p>
        </w:tc>
      </w:tr>
      <w:tr w:rsidR="00BB2CB4" w:rsidRPr="00222C32" w14:paraId="2463306F" w14:textId="77777777" w:rsidTr="00825163">
        <w:tc>
          <w:tcPr>
            <w:tcW w:w="2501" w:type="dxa"/>
            <w:tcBorders>
              <w:top w:val="single" w:sz="4" w:space="0" w:color="293F5B"/>
              <w:bottom w:val="single" w:sz="4" w:space="0" w:color="293F5B"/>
            </w:tcBorders>
          </w:tcPr>
          <w:p w14:paraId="5AB5891B" w14:textId="77777777" w:rsidR="00BB2CB4" w:rsidRPr="00222C32" w:rsidRDefault="000674DA">
            <w:pPr>
              <w:pStyle w:val="MeasureTableHeadingleftalignedwith2ptsspacing"/>
              <w:keepNext/>
            </w:pPr>
            <w:r w:rsidRPr="00222C32">
              <w:t>Department of Education</w:t>
            </w:r>
          </w:p>
        </w:tc>
        <w:tc>
          <w:tcPr>
            <w:tcW w:w="1044" w:type="dxa"/>
            <w:tcBorders>
              <w:top w:val="single" w:sz="4" w:space="0" w:color="293F5B"/>
              <w:bottom w:val="single" w:sz="4" w:space="0" w:color="293F5B"/>
            </w:tcBorders>
          </w:tcPr>
          <w:p w14:paraId="0159ACA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842107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97F4242" w14:textId="77777777" w:rsidR="00BB2CB4" w:rsidRPr="00222C32" w:rsidRDefault="000674DA">
            <w:pPr>
              <w:pStyle w:val="MeasureTableDataRightAlignedwith2ptsspacing"/>
              <w:keepNext/>
            </w:pPr>
            <w:r w:rsidRPr="00222C32">
              <w:t>0.2</w:t>
            </w:r>
          </w:p>
        </w:tc>
        <w:tc>
          <w:tcPr>
            <w:tcW w:w="1044" w:type="dxa"/>
            <w:tcBorders>
              <w:top w:val="single" w:sz="4" w:space="0" w:color="293F5B"/>
              <w:bottom w:val="single" w:sz="4" w:space="0" w:color="293F5B"/>
            </w:tcBorders>
          </w:tcPr>
          <w:p w14:paraId="321DC1C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A9FED66" w14:textId="77777777" w:rsidR="00BB2CB4" w:rsidRPr="00222C32" w:rsidRDefault="000674DA">
            <w:pPr>
              <w:pStyle w:val="MeasureTableDataRightAlignedwith2ptsspacing"/>
              <w:keepNext/>
            </w:pPr>
            <w:r w:rsidRPr="00222C32">
              <w:t>-</w:t>
            </w:r>
          </w:p>
        </w:tc>
      </w:tr>
      <w:tr w:rsidR="00BB2CB4" w:rsidRPr="00222C32" w14:paraId="3BFDB929" w14:textId="77777777" w:rsidTr="00825163">
        <w:tc>
          <w:tcPr>
            <w:tcW w:w="2501" w:type="dxa"/>
            <w:tcBorders>
              <w:top w:val="single" w:sz="4" w:space="0" w:color="293F5B"/>
              <w:bottom w:val="single" w:sz="4" w:space="0" w:color="293F5B"/>
            </w:tcBorders>
          </w:tcPr>
          <w:p w14:paraId="0C45C5A7"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BBC5B67"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40B600D" w14:textId="77777777" w:rsidR="00BB2CB4" w:rsidRPr="00222C32" w:rsidRDefault="000674DA">
            <w:pPr>
              <w:pStyle w:val="Totaldatarowrightaligned"/>
              <w:keepNext/>
            </w:pPr>
            <w:r w:rsidRPr="00222C32">
              <w:t>60.9</w:t>
            </w:r>
          </w:p>
        </w:tc>
        <w:tc>
          <w:tcPr>
            <w:tcW w:w="1044" w:type="dxa"/>
            <w:tcBorders>
              <w:top w:val="single" w:sz="4" w:space="0" w:color="293F5B"/>
              <w:bottom w:val="single" w:sz="4" w:space="0" w:color="293F5B"/>
            </w:tcBorders>
          </w:tcPr>
          <w:p w14:paraId="3370A046" w14:textId="77777777" w:rsidR="00BB2CB4" w:rsidRPr="00222C32" w:rsidRDefault="000674DA">
            <w:pPr>
              <w:pStyle w:val="Totaldatarowrightaligned"/>
              <w:keepNext/>
            </w:pPr>
            <w:r w:rsidRPr="00222C32">
              <w:t>74.0</w:t>
            </w:r>
          </w:p>
        </w:tc>
        <w:tc>
          <w:tcPr>
            <w:tcW w:w="1044" w:type="dxa"/>
            <w:tcBorders>
              <w:top w:val="single" w:sz="4" w:space="0" w:color="293F5B"/>
              <w:bottom w:val="single" w:sz="4" w:space="0" w:color="293F5B"/>
            </w:tcBorders>
          </w:tcPr>
          <w:p w14:paraId="02C17733" w14:textId="77777777" w:rsidR="00BB2CB4" w:rsidRPr="00222C32" w:rsidRDefault="000674DA">
            <w:pPr>
              <w:pStyle w:val="Totaldatarowrightaligned"/>
              <w:keepNext/>
            </w:pPr>
            <w:r w:rsidRPr="00222C32">
              <w:t>2.1</w:t>
            </w:r>
          </w:p>
        </w:tc>
        <w:tc>
          <w:tcPr>
            <w:tcW w:w="1044" w:type="dxa"/>
            <w:tcBorders>
              <w:top w:val="single" w:sz="4" w:space="0" w:color="293F5B"/>
              <w:bottom w:val="single" w:sz="4" w:space="0" w:color="293F5B"/>
            </w:tcBorders>
          </w:tcPr>
          <w:p w14:paraId="530683DE" w14:textId="77777777" w:rsidR="00BB2CB4" w:rsidRPr="00222C32" w:rsidRDefault="000674DA">
            <w:pPr>
              <w:pStyle w:val="Totaldatarowrightaligned"/>
              <w:keepNext/>
            </w:pPr>
            <w:r w:rsidRPr="00222C32">
              <w:t>1.7</w:t>
            </w:r>
          </w:p>
        </w:tc>
      </w:tr>
      <w:tr w:rsidR="00BB2CB4" w:rsidRPr="00222C32" w14:paraId="4C242C4F" w14:textId="77777777" w:rsidTr="00825163">
        <w:tc>
          <w:tcPr>
            <w:tcW w:w="2501" w:type="dxa"/>
            <w:tcBorders>
              <w:top w:val="single" w:sz="4" w:space="0" w:color="293F5B"/>
            </w:tcBorders>
          </w:tcPr>
          <w:p w14:paraId="0FB53EC0" w14:textId="77777777" w:rsidR="00BB2CB4" w:rsidRPr="00222C32" w:rsidRDefault="000674DA">
            <w:pPr>
              <w:pStyle w:val="AgencyName"/>
              <w:keepNext/>
            </w:pPr>
            <w:r w:rsidRPr="00222C32">
              <w:t>Related receipts ($m)</w:t>
            </w:r>
          </w:p>
        </w:tc>
        <w:tc>
          <w:tcPr>
            <w:tcW w:w="1044" w:type="dxa"/>
            <w:tcBorders>
              <w:top w:val="single" w:sz="4" w:space="0" w:color="293F5B"/>
            </w:tcBorders>
          </w:tcPr>
          <w:p w14:paraId="373511F5" w14:textId="77777777" w:rsidR="00BB2CB4" w:rsidRPr="00222C32" w:rsidRDefault="00BB2CB4">
            <w:pPr>
              <w:pStyle w:val="AgencyName"/>
              <w:keepNext/>
            </w:pPr>
          </w:p>
        </w:tc>
        <w:tc>
          <w:tcPr>
            <w:tcW w:w="1044" w:type="dxa"/>
            <w:tcBorders>
              <w:top w:val="single" w:sz="4" w:space="0" w:color="293F5B"/>
            </w:tcBorders>
          </w:tcPr>
          <w:p w14:paraId="09FEC56A" w14:textId="77777777" w:rsidR="00BB2CB4" w:rsidRPr="00222C32" w:rsidRDefault="00BB2CB4">
            <w:pPr>
              <w:pStyle w:val="AgencyName"/>
              <w:keepNext/>
            </w:pPr>
          </w:p>
        </w:tc>
        <w:tc>
          <w:tcPr>
            <w:tcW w:w="1044" w:type="dxa"/>
            <w:tcBorders>
              <w:top w:val="single" w:sz="4" w:space="0" w:color="293F5B"/>
            </w:tcBorders>
          </w:tcPr>
          <w:p w14:paraId="0DE82C15" w14:textId="77777777" w:rsidR="00BB2CB4" w:rsidRPr="00222C32" w:rsidRDefault="00BB2CB4">
            <w:pPr>
              <w:pStyle w:val="AgencyName"/>
              <w:keepNext/>
            </w:pPr>
          </w:p>
        </w:tc>
        <w:tc>
          <w:tcPr>
            <w:tcW w:w="1044" w:type="dxa"/>
            <w:tcBorders>
              <w:top w:val="single" w:sz="4" w:space="0" w:color="293F5B"/>
            </w:tcBorders>
          </w:tcPr>
          <w:p w14:paraId="1EEFDA6D" w14:textId="77777777" w:rsidR="00BB2CB4" w:rsidRPr="00222C32" w:rsidRDefault="00BB2CB4">
            <w:pPr>
              <w:pStyle w:val="AgencyName"/>
              <w:keepNext/>
            </w:pPr>
          </w:p>
        </w:tc>
        <w:tc>
          <w:tcPr>
            <w:tcW w:w="1044" w:type="dxa"/>
            <w:tcBorders>
              <w:top w:val="single" w:sz="4" w:space="0" w:color="293F5B"/>
            </w:tcBorders>
          </w:tcPr>
          <w:p w14:paraId="729B554C" w14:textId="77777777" w:rsidR="00BB2CB4" w:rsidRPr="00222C32" w:rsidRDefault="00BB2CB4">
            <w:pPr>
              <w:pStyle w:val="AgencyName"/>
              <w:keepNext/>
            </w:pPr>
          </w:p>
        </w:tc>
      </w:tr>
      <w:tr w:rsidR="00BB2CB4" w:rsidRPr="00222C32" w14:paraId="246C70D1" w14:textId="77777777" w:rsidTr="00825163">
        <w:tc>
          <w:tcPr>
            <w:tcW w:w="2501" w:type="dxa"/>
            <w:tcBorders>
              <w:bottom w:val="single" w:sz="4" w:space="0" w:color="293F5B"/>
            </w:tcBorders>
          </w:tcPr>
          <w:p w14:paraId="22C4BB87" w14:textId="77777777" w:rsidR="00BB2CB4" w:rsidRPr="00222C32" w:rsidRDefault="000674DA">
            <w:pPr>
              <w:pStyle w:val="AgencyNamewith2ptsspacing"/>
              <w:keepNext/>
            </w:pPr>
            <w:r w:rsidRPr="00222C32">
              <w:t>Department of Education</w:t>
            </w:r>
          </w:p>
        </w:tc>
        <w:tc>
          <w:tcPr>
            <w:tcW w:w="1044" w:type="dxa"/>
            <w:tcBorders>
              <w:bottom w:val="single" w:sz="4" w:space="0" w:color="293F5B"/>
            </w:tcBorders>
          </w:tcPr>
          <w:p w14:paraId="705AE1F0" w14:textId="77777777" w:rsidR="00BB2CB4" w:rsidRPr="00222C32" w:rsidRDefault="000674DA">
            <w:pPr>
              <w:pStyle w:val="Measuretabledatarightaligneditalics"/>
              <w:keepNext/>
            </w:pPr>
            <w:r w:rsidRPr="00222C32">
              <w:t>-</w:t>
            </w:r>
          </w:p>
        </w:tc>
        <w:tc>
          <w:tcPr>
            <w:tcW w:w="1044" w:type="dxa"/>
            <w:tcBorders>
              <w:bottom w:val="single" w:sz="4" w:space="0" w:color="293F5B"/>
            </w:tcBorders>
          </w:tcPr>
          <w:p w14:paraId="699AA15B" w14:textId="77777777" w:rsidR="00BB2CB4" w:rsidRPr="00222C32" w:rsidRDefault="000674DA">
            <w:pPr>
              <w:pStyle w:val="Measuretabledatarightaligneditalics"/>
              <w:keepNext/>
            </w:pPr>
            <w:r w:rsidRPr="00222C32">
              <w:t>-1.0</w:t>
            </w:r>
          </w:p>
        </w:tc>
        <w:tc>
          <w:tcPr>
            <w:tcW w:w="1044" w:type="dxa"/>
            <w:tcBorders>
              <w:bottom w:val="single" w:sz="4" w:space="0" w:color="293F5B"/>
            </w:tcBorders>
          </w:tcPr>
          <w:p w14:paraId="6C2D12EC" w14:textId="77777777" w:rsidR="00BB2CB4" w:rsidRPr="00222C32" w:rsidRDefault="000674DA">
            <w:pPr>
              <w:pStyle w:val="Measuretabledatarightaligneditalics"/>
              <w:keepNext/>
            </w:pPr>
            <w:r w:rsidRPr="00222C32">
              <w:t>-7.7</w:t>
            </w:r>
          </w:p>
        </w:tc>
        <w:tc>
          <w:tcPr>
            <w:tcW w:w="1044" w:type="dxa"/>
            <w:tcBorders>
              <w:bottom w:val="single" w:sz="4" w:space="0" w:color="293F5B"/>
            </w:tcBorders>
          </w:tcPr>
          <w:p w14:paraId="183BD309" w14:textId="77777777" w:rsidR="00BB2CB4" w:rsidRPr="00222C32" w:rsidRDefault="000674DA">
            <w:pPr>
              <w:pStyle w:val="Measuretabledatarightaligneditalics"/>
              <w:keepNext/>
            </w:pPr>
            <w:r w:rsidRPr="00222C32">
              <w:t>-10.1</w:t>
            </w:r>
          </w:p>
        </w:tc>
        <w:tc>
          <w:tcPr>
            <w:tcW w:w="1044" w:type="dxa"/>
            <w:tcBorders>
              <w:bottom w:val="single" w:sz="4" w:space="0" w:color="293F5B"/>
            </w:tcBorders>
          </w:tcPr>
          <w:p w14:paraId="4A1BB7F1" w14:textId="77777777" w:rsidR="00BB2CB4" w:rsidRPr="00222C32" w:rsidRDefault="000674DA">
            <w:pPr>
              <w:pStyle w:val="Measuretabledatarightaligneditalics"/>
              <w:keepNext/>
            </w:pPr>
            <w:r w:rsidRPr="00222C32">
              <w:t>-11.3</w:t>
            </w:r>
          </w:p>
        </w:tc>
      </w:tr>
      <w:tr w:rsidR="00BB2CB4" w:rsidRPr="00222C32" w14:paraId="38661028" w14:textId="77777777" w:rsidTr="00825163">
        <w:tc>
          <w:tcPr>
            <w:tcW w:w="2501" w:type="dxa"/>
            <w:tcBorders>
              <w:top w:val="single" w:sz="4" w:space="0" w:color="293F5B"/>
              <w:bottom w:val="single" w:sz="4" w:space="0" w:color="293F5B"/>
            </w:tcBorders>
          </w:tcPr>
          <w:p w14:paraId="6F30DAB7" w14:textId="77777777" w:rsidR="00BB2CB4" w:rsidRPr="00222C32" w:rsidRDefault="000674DA">
            <w:pPr>
              <w:pStyle w:val="AgencyNamewith2ptsspacing"/>
              <w:keepNext/>
            </w:pPr>
            <w:r w:rsidRPr="00222C32">
              <w:t>Department of Social Services</w:t>
            </w:r>
          </w:p>
        </w:tc>
        <w:tc>
          <w:tcPr>
            <w:tcW w:w="1044" w:type="dxa"/>
            <w:tcBorders>
              <w:top w:val="single" w:sz="4" w:space="0" w:color="293F5B"/>
              <w:bottom w:val="single" w:sz="4" w:space="0" w:color="293F5B"/>
            </w:tcBorders>
          </w:tcPr>
          <w:p w14:paraId="404381B0"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78D3034B" w14:textId="77777777" w:rsidR="00BB2CB4" w:rsidRPr="00222C32" w:rsidRDefault="000674DA">
            <w:pPr>
              <w:pStyle w:val="Measuretabledatarightaligneditalics"/>
              <w:keepNext/>
            </w:pPr>
            <w:r w:rsidRPr="00222C32">
              <w:t>-11.3</w:t>
            </w:r>
          </w:p>
        </w:tc>
        <w:tc>
          <w:tcPr>
            <w:tcW w:w="1044" w:type="dxa"/>
            <w:tcBorders>
              <w:top w:val="single" w:sz="4" w:space="0" w:color="293F5B"/>
              <w:bottom w:val="single" w:sz="4" w:space="0" w:color="293F5B"/>
            </w:tcBorders>
          </w:tcPr>
          <w:p w14:paraId="52324397" w14:textId="77777777" w:rsidR="00BB2CB4" w:rsidRPr="00222C32" w:rsidRDefault="000674DA">
            <w:pPr>
              <w:pStyle w:val="Measuretabledatarightaligneditalics"/>
              <w:keepNext/>
            </w:pPr>
            <w:r w:rsidRPr="00222C32">
              <w:t>-49.9</w:t>
            </w:r>
          </w:p>
        </w:tc>
        <w:tc>
          <w:tcPr>
            <w:tcW w:w="1044" w:type="dxa"/>
            <w:tcBorders>
              <w:top w:val="single" w:sz="4" w:space="0" w:color="293F5B"/>
              <w:bottom w:val="single" w:sz="4" w:space="0" w:color="293F5B"/>
            </w:tcBorders>
          </w:tcPr>
          <w:p w14:paraId="6D57CEB2" w14:textId="77777777" w:rsidR="00BB2CB4" w:rsidRPr="00222C32" w:rsidRDefault="000674DA">
            <w:pPr>
              <w:pStyle w:val="Measuretabledatarightaligneditalics"/>
              <w:keepNext/>
            </w:pPr>
            <w:r w:rsidRPr="00222C32">
              <w:t>-28.3</w:t>
            </w:r>
          </w:p>
        </w:tc>
        <w:tc>
          <w:tcPr>
            <w:tcW w:w="1044" w:type="dxa"/>
            <w:tcBorders>
              <w:top w:val="single" w:sz="4" w:space="0" w:color="293F5B"/>
              <w:bottom w:val="single" w:sz="4" w:space="0" w:color="293F5B"/>
            </w:tcBorders>
          </w:tcPr>
          <w:p w14:paraId="5CA17082" w14:textId="77777777" w:rsidR="00BB2CB4" w:rsidRPr="00222C32" w:rsidRDefault="000674DA">
            <w:pPr>
              <w:pStyle w:val="Measuretabledatarightaligneditalics"/>
              <w:keepNext/>
            </w:pPr>
            <w:r w:rsidRPr="00222C32">
              <w:t>-28.1</w:t>
            </w:r>
          </w:p>
        </w:tc>
      </w:tr>
      <w:tr w:rsidR="00BB2CB4" w:rsidRPr="00222C32" w14:paraId="1C6ECF6C" w14:textId="77777777" w:rsidTr="00825163">
        <w:tc>
          <w:tcPr>
            <w:tcW w:w="2501" w:type="dxa"/>
            <w:tcBorders>
              <w:top w:val="single" w:sz="4" w:space="0" w:color="293F5B"/>
              <w:bottom w:val="single" w:sz="4" w:space="0" w:color="293F5B"/>
            </w:tcBorders>
          </w:tcPr>
          <w:p w14:paraId="3E869BB5" w14:textId="77777777" w:rsidR="00BB2CB4" w:rsidRPr="00222C32" w:rsidRDefault="000674DA">
            <w:pPr>
              <w:pStyle w:val="Totalrowitalicsleftaligned"/>
              <w:keepNext/>
            </w:pPr>
            <w:r w:rsidRPr="00222C32">
              <w:t>Total – Receipts</w:t>
            </w:r>
          </w:p>
        </w:tc>
        <w:tc>
          <w:tcPr>
            <w:tcW w:w="1044" w:type="dxa"/>
            <w:tcBorders>
              <w:top w:val="single" w:sz="4" w:space="0" w:color="293F5B"/>
              <w:bottom w:val="single" w:sz="4" w:space="0" w:color="293F5B"/>
            </w:tcBorders>
          </w:tcPr>
          <w:p w14:paraId="4D104C0A" w14:textId="77777777" w:rsidR="00BB2CB4" w:rsidRPr="00222C32" w:rsidRDefault="000674DA">
            <w:pPr>
              <w:pStyle w:val="Measuretabledatarightaligneditalics"/>
              <w:keepNext/>
            </w:pPr>
            <w:r w:rsidRPr="00222C32">
              <w:t>-</w:t>
            </w:r>
          </w:p>
        </w:tc>
        <w:tc>
          <w:tcPr>
            <w:tcW w:w="1044" w:type="dxa"/>
            <w:tcBorders>
              <w:top w:val="single" w:sz="4" w:space="0" w:color="293F5B"/>
              <w:bottom w:val="single" w:sz="4" w:space="0" w:color="293F5B"/>
            </w:tcBorders>
          </w:tcPr>
          <w:p w14:paraId="0541FAF2" w14:textId="77777777" w:rsidR="00BB2CB4" w:rsidRPr="00222C32" w:rsidRDefault="000674DA">
            <w:pPr>
              <w:pStyle w:val="Measuretabledatarightaligneditalics"/>
              <w:keepNext/>
            </w:pPr>
            <w:r w:rsidRPr="00222C32">
              <w:t>-12.4</w:t>
            </w:r>
          </w:p>
        </w:tc>
        <w:tc>
          <w:tcPr>
            <w:tcW w:w="1044" w:type="dxa"/>
            <w:tcBorders>
              <w:top w:val="single" w:sz="4" w:space="0" w:color="293F5B"/>
              <w:bottom w:val="single" w:sz="4" w:space="0" w:color="293F5B"/>
            </w:tcBorders>
          </w:tcPr>
          <w:p w14:paraId="4F44CB30" w14:textId="77777777" w:rsidR="00BB2CB4" w:rsidRPr="00222C32" w:rsidRDefault="000674DA">
            <w:pPr>
              <w:pStyle w:val="Measuretabledatarightaligneditalics"/>
              <w:keepNext/>
            </w:pPr>
            <w:r w:rsidRPr="00222C32">
              <w:t>-57.6</w:t>
            </w:r>
          </w:p>
        </w:tc>
        <w:tc>
          <w:tcPr>
            <w:tcW w:w="1044" w:type="dxa"/>
            <w:tcBorders>
              <w:top w:val="single" w:sz="4" w:space="0" w:color="293F5B"/>
              <w:bottom w:val="single" w:sz="4" w:space="0" w:color="293F5B"/>
            </w:tcBorders>
          </w:tcPr>
          <w:p w14:paraId="1D33CFE6" w14:textId="77777777" w:rsidR="00BB2CB4" w:rsidRPr="00222C32" w:rsidRDefault="000674DA">
            <w:pPr>
              <w:pStyle w:val="Measuretabledatarightaligneditalics"/>
              <w:keepNext/>
            </w:pPr>
            <w:r w:rsidRPr="00222C32">
              <w:t>-38.4</w:t>
            </w:r>
          </w:p>
        </w:tc>
        <w:tc>
          <w:tcPr>
            <w:tcW w:w="1044" w:type="dxa"/>
            <w:tcBorders>
              <w:top w:val="single" w:sz="4" w:space="0" w:color="293F5B"/>
              <w:bottom w:val="single" w:sz="4" w:space="0" w:color="293F5B"/>
            </w:tcBorders>
          </w:tcPr>
          <w:p w14:paraId="67BB6DC3" w14:textId="77777777" w:rsidR="00BB2CB4" w:rsidRPr="00222C32" w:rsidRDefault="000674DA">
            <w:pPr>
              <w:pStyle w:val="Measuretabledatarightaligneditalics"/>
              <w:keepNext/>
            </w:pPr>
            <w:r w:rsidRPr="00222C32">
              <w:t>-39.5</w:t>
            </w:r>
          </w:p>
        </w:tc>
      </w:tr>
    </w:tbl>
    <w:p w14:paraId="0EEC2903" w14:textId="77777777" w:rsidR="00BA047C" w:rsidRDefault="00BA047C" w:rsidP="00BA047C">
      <w:pPr>
        <w:pStyle w:val="SingleParagraph"/>
      </w:pPr>
    </w:p>
    <w:p w14:paraId="537E1C56" w14:textId="77777777" w:rsidR="00BB2CB4" w:rsidRDefault="000674DA">
      <w:pPr>
        <w:pStyle w:val="Normal2"/>
      </w:pPr>
      <w:r>
        <w:t>The Government will provide $138.7 million over four years from 2025–‍26 (and $1.1 million per year ongoing) to address historical social security debts affected by income apportionment and invest in structural reform to provide a more efficient and targeted approach to debt recovery processes. Funding includes:</w:t>
      </w:r>
    </w:p>
    <w:p w14:paraId="2811F6B8" w14:textId="77777777" w:rsidR="00BB2CB4" w:rsidRDefault="000674DA">
      <w:pPr>
        <w:pStyle w:val="Bullet"/>
      </w:pPr>
      <w:r>
        <w:t>$97.2 million over two years from 2025–‍26 to establish a resolution scheme for those impacted by the historical debt calculation method known as income apportionment. People with historical debts affected by income apportionment from 2003 to 2020 will be eligible to apply for a resolution payment of up to $600 under the scheme</w:t>
      </w:r>
    </w:p>
    <w:p w14:paraId="5432C4C3" w14:textId="77777777" w:rsidR="00BB2CB4" w:rsidRDefault="000674DA">
      <w:pPr>
        <w:pStyle w:val="Bullet"/>
      </w:pPr>
      <w:r>
        <w:t>$21.7 million over four years from 2025–‍26 (and $1.0 million per year ongoing) to increase the small debt waiver threshold to $250 and expand eligibility for the special circumstances debt waiver, including in cases of domestic, family and sexual violence</w:t>
      </w:r>
    </w:p>
    <w:p w14:paraId="3AB35777" w14:textId="77777777" w:rsidR="00BB2CB4" w:rsidRDefault="000674DA">
      <w:pPr>
        <w:pStyle w:val="Bullet"/>
      </w:pPr>
      <w:r>
        <w:t>$19.8 million over four years from 2025–‍26 (and $0.1 million per year ongoing) in implementation costs for the validated income apportionment payment calculation method.</w:t>
      </w:r>
    </w:p>
    <w:p w14:paraId="0D2F35EB" w14:textId="77777777" w:rsidR="00BB2CB4" w:rsidRDefault="000674DA">
      <w:pPr>
        <w:pStyle w:val="Normal2"/>
      </w:pPr>
      <w:r>
        <w:t>The measure is estimated to decrease receipts by $147.8 million over four years from 2025–‍26 (and $40.8 million per year ongoing).</w:t>
      </w:r>
    </w:p>
    <w:p w14:paraId="5DFF8BBB" w14:textId="77777777" w:rsidR="00B1775F" w:rsidRDefault="00B1775F">
      <w:pPr>
        <w:autoSpaceDE/>
        <w:autoSpaceDN/>
        <w:adjustRightInd/>
        <w:rPr>
          <w:rFonts w:cs="Times New Roman"/>
          <w:b/>
          <w:color w:val="000000"/>
        </w:rPr>
      </w:pPr>
      <w:r>
        <w:br w:type="page"/>
      </w:r>
    </w:p>
    <w:p w14:paraId="673428FF" w14:textId="5C4F01A9" w:rsidR="00BB2CB4" w:rsidRDefault="000674DA">
      <w:pPr>
        <w:pStyle w:val="MeasureTitle"/>
      </w:pPr>
      <w:r w:rsidRPr="69C11E82">
        <w:rPr>
          <w:lang w:val="en-US"/>
        </w:rPr>
        <w:lastRenderedPageBreak/>
        <w:t>Australian Orphanage Museum – additional funding</w:t>
      </w:r>
    </w:p>
    <w:p w14:paraId="5715BA6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30E5298" w14:textId="77777777" w:rsidTr="00825163">
        <w:trPr>
          <w:cantSplit/>
        </w:trPr>
        <w:tc>
          <w:tcPr>
            <w:tcW w:w="2501" w:type="dxa"/>
            <w:tcBorders>
              <w:top w:val="single" w:sz="4" w:space="0" w:color="293F5B"/>
              <w:bottom w:val="single" w:sz="4" w:space="0" w:color="293F5B"/>
            </w:tcBorders>
          </w:tcPr>
          <w:p w14:paraId="779D776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EFAB721"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35071FD"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031BA45"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6EC3CE38"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8CB1C6C" w14:textId="77777777" w:rsidR="00BB2CB4" w:rsidRPr="00222C32" w:rsidRDefault="000674DA">
            <w:pPr>
              <w:pStyle w:val="MeasureTableYearHeadings"/>
              <w:keepNext/>
            </w:pPr>
            <w:r w:rsidRPr="00222C32">
              <w:t>2028-29</w:t>
            </w:r>
          </w:p>
        </w:tc>
      </w:tr>
      <w:tr w:rsidR="00BB2CB4" w:rsidRPr="00222C32" w14:paraId="271B88AB" w14:textId="77777777" w:rsidTr="00825163">
        <w:trPr>
          <w:cantSplit/>
        </w:trPr>
        <w:tc>
          <w:tcPr>
            <w:tcW w:w="2501" w:type="dxa"/>
            <w:tcBorders>
              <w:top w:val="single" w:sz="4" w:space="0" w:color="293F5B"/>
              <w:bottom w:val="single" w:sz="4" w:space="0" w:color="293F5B"/>
            </w:tcBorders>
          </w:tcPr>
          <w:p w14:paraId="6783789E"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39B738B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5078CD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DB3BF98"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03CA04BC"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782463F4" w14:textId="77777777" w:rsidR="00BB2CB4" w:rsidRPr="00222C32" w:rsidRDefault="000674DA">
            <w:pPr>
              <w:pStyle w:val="MeasureTableDataRightAlignedwith2ptsspacing"/>
              <w:keepNext/>
            </w:pPr>
            <w:r w:rsidRPr="00222C32">
              <w:t>0.1</w:t>
            </w:r>
          </w:p>
        </w:tc>
      </w:tr>
    </w:tbl>
    <w:p w14:paraId="28837443" w14:textId="77777777" w:rsidR="00BA047C" w:rsidRDefault="00BA047C" w:rsidP="00BA047C">
      <w:pPr>
        <w:pStyle w:val="SingleParagraph"/>
      </w:pPr>
    </w:p>
    <w:p w14:paraId="2CF0FA02" w14:textId="77777777" w:rsidR="00BB2CB4" w:rsidRDefault="000674DA">
      <w:pPr>
        <w:pStyle w:val="Normal2"/>
      </w:pPr>
      <w:r w:rsidRPr="69C11E82">
        <w:rPr>
          <w:lang w:val="en-US"/>
        </w:rPr>
        <w:t>The Government will provide additional funding of $0.4 million over three years from 2026–‍27 (and an additional $0.1 million in 2029–‍30) to support the operations of the Australian Orphanage Museum.</w:t>
      </w:r>
    </w:p>
    <w:p w14:paraId="33B3E8D5" w14:textId="77777777" w:rsidR="00BB2CB4" w:rsidRDefault="000674DA">
      <w:pPr>
        <w:pStyle w:val="Normal2"/>
      </w:pPr>
      <w:r w:rsidRPr="69C11E82">
        <w:rPr>
          <w:lang w:val="en-US"/>
        </w:rPr>
        <w:t xml:space="preserve">This measure extends the 2024–‍25 Budget measure titled </w:t>
      </w:r>
      <w:r w:rsidRPr="69C11E82">
        <w:rPr>
          <w:i/>
          <w:lang w:val="en-US"/>
        </w:rPr>
        <w:t>Australian Orphanage Museum – additional funding</w:t>
      </w:r>
      <w:r w:rsidRPr="69C11E82">
        <w:rPr>
          <w:lang w:val="en-US"/>
        </w:rPr>
        <w:t>.</w:t>
      </w:r>
    </w:p>
    <w:p w14:paraId="17F7FF82" w14:textId="77777777" w:rsidR="00BB2CB4" w:rsidRDefault="000674DA">
      <w:pPr>
        <w:pStyle w:val="MeasureTitle"/>
      </w:pPr>
      <w:r>
        <w:t>Delivering Social Services Election Commitments</w:t>
      </w:r>
    </w:p>
    <w:p w14:paraId="2011E6AF"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2420FA4" w14:textId="77777777" w:rsidTr="00825163">
        <w:trPr>
          <w:cantSplit/>
        </w:trPr>
        <w:tc>
          <w:tcPr>
            <w:tcW w:w="2501" w:type="dxa"/>
            <w:tcBorders>
              <w:top w:val="single" w:sz="4" w:space="0" w:color="293F5B"/>
              <w:bottom w:val="single" w:sz="4" w:space="0" w:color="293F5B"/>
            </w:tcBorders>
          </w:tcPr>
          <w:p w14:paraId="69CB93D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1F3E896"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52EACE4"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AAB7DF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00C7674"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928EE12" w14:textId="77777777" w:rsidR="00BB2CB4" w:rsidRPr="00222C32" w:rsidRDefault="000674DA">
            <w:pPr>
              <w:pStyle w:val="MeasureTableYearHeadings"/>
              <w:keepNext/>
            </w:pPr>
            <w:r w:rsidRPr="00222C32">
              <w:t>2028-29</w:t>
            </w:r>
          </w:p>
        </w:tc>
      </w:tr>
      <w:tr w:rsidR="00BB2CB4" w:rsidRPr="00222C32" w14:paraId="2B0D1F86" w14:textId="77777777" w:rsidTr="00825163">
        <w:trPr>
          <w:cantSplit/>
        </w:trPr>
        <w:tc>
          <w:tcPr>
            <w:tcW w:w="2501" w:type="dxa"/>
            <w:tcBorders>
              <w:top w:val="single" w:sz="4" w:space="0" w:color="293F5B"/>
              <w:bottom w:val="single" w:sz="4" w:space="0" w:color="293F5B"/>
            </w:tcBorders>
          </w:tcPr>
          <w:p w14:paraId="7B5EDE04"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01783EA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098388" w14:textId="77777777" w:rsidR="00BB2CB4" w:rsidRPr="00222C32" w:rsidRDefault="000674DA">
            <w:pPr>
              <w:pStyle w:val="MeasureTableDataRightAlignedwith2ptsspacing"/>
              <w:keepNext/>
            </w:pPr>
            <w:r w:rsidRPr="00222C32">
              <w:t>10.0</w:t>
            </w:r>
          </w:p>
        </w:tc>
        <w:tc>
          <w:tcPr>
            <w:tcW w:w="1044" w:type="dxa"/>
            <w:tcBorders>
              <w:top w:val="single" w:sz="4" w:space="0" w:color="293F5B"/>
              <w:bottom w:val="single" w:sz="4" w:space="0" w:color="293F5B"/>
            </w:tcBorders>
          </w:tcPr>
          <w:p w14:paraId="7107EEF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866869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0453B9E" w14:textId="77777777" w:rsidR="00BB2CB4" w:rsidRPr="00222C32" w:rsidRDefault="000674DA">
            <w:pPr>
              <w:pStyle w:val="MeasureTableDataRightAlignedwith2ptsspacing"/>
              <w:keepNext/>
            </w:pPr>
            <w:r w:rsidRPr="00222C32">
              <w:t>-</w:t>
            </w:r>
          </w:p>
        </w:tc>
      </w:tr>
    </w:tbl>
    <w:p w14:paraId="63630E3B" w14:textId="77777777" w:rsidR="00BA047C" w:rsidRDefault="00BA047C" w:rsidP="00BA047C">
      <w:pPr>
        <w:pStyle w:val="SingleParagraph"/>
      </w:pPr>
    </w:p>
    <w:p w14:paraId="76E39543" w14:textId="77777777" w:rsidR="00BB2CB4" w:rsidRDefault="000674DA">
      <w:pPr>
        <w:pStyle w:val="Normal2"/>
      </w:pPr>
      <w:r>
        <w:t>The Government will provide $11.3 million over two years from 2025–‍26 to deliver election commitments in the Social Services portfolio. Funding includes:</w:t>
      </w:r>
    </w:p>
    <w:p w14:paraId="13E2264D" w14:textId="77777777" w:rsidR="00BB2CB4" w:rsidRDefault="000674DA">
      <w:pPr>
        <w:pStyle w:val="Bullet"/>
      </w:pPr>
      <w:r>
        <w:t>$10.0 million in 2025–‍26 to the Reverend Bill Crews Foundation to support vulnerable Australians experiencing financial hardship through services such as food relief, literacy support and accessible healthcare through to 2028–‍29</w:t>
      </w:r>
    </w:p>
    <w:p w14:paraId="65E40E4B" w14:textId="77777777" w:rsidR="00BB2CB4" w:rsidRDefault="000674DA">
      <w:pPr>
        <w:pStyle w:val="Bullet"/>
      </w:pPr>
      <w:r>
        <w:t>$1.3 million over two years from 2025–‍26 to undertake an independent investigation into the historical South Korea‑Australia Intercountry Adoption program and assess its impact on Korean‑Australian adoptees and their families.</w:t>
      </w:r>
    </w:p>
    <w:p w14:paraId="79054788" w14:textId="77777777" w:rsidR="00BB2CB4" w:rsidRDefault="000674DA">
      <w:pPr>
        <w:pStyle w:val="Normal2"/>
      </w:pPr>
      <w:r>
        <w:t>The Department of Social Services will partially meet the cost of this measure from within existing resources.</w:t>
      </w:r>
    </w:p>
    <w:p w14:paraId="5A962903" w14:textId="15050B28" w:rsidR="00BB2CB4" w:rsidRDefault="000674DA">
      <w:pPr>
        <w:pStyle w:val="Normal2"/>
      </w:pPr>
      <w:r>
        <w:t>This measure delivers on the Government</w:t>
      </w:r>
      <w:r w:rsidR="00222C32">
        <w:t>’</w:t>
      </w:r>
      <w:r>
        <w:t>s election commitments made during the 2025</w:t>
      </w:r>
      <w:r w:rsidR="00C66B6B">
        <w:t> federal</w:t>
      </w:r>
      <w:r>
        <w:t xml:space="preserve"> election.</w:t>
      </w:r>
    </w:p>
    <w:p w14:paraId="78E1B5B9" w14:textId="77777777" w:rsidR="00B1775F" w:rsidRDefault="00B1775F">
      <w:pPr>
        <w:pStyle w:val="MeasureTitle"/>
      </w:pPr>
      <w:r>
        <w:br w:type="page"/>
      </w:r>
    </w:p>
    <w:p w14:paraId="4DB034A0" w14:textId="6E1D6612" w:rsidR="00BB2CB4" w:rsidRDefault="000674DA">
      <w:pPr>
        <w:pStyle w:val="MeasureTitle"/>
      </w:pPr>
      <w:r>
        <w:lastRenderedPageBreak/>
        <w:t>Resetting Social Security Deeming Rates</w:t>
      </w:r>
    </w:p>
    <w:p w14:paraId="7BDFC479"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572F8EBB" w14:textId="77777777" w:rsidTr="00825163">
        <w:tc>
          <w:tcPr>
            <w:tcW w:w="2501" w:type="dxa"/>
            <w:tcBorders>
              <w:top w:val="single" w:sz="4" w:space="0" w:color="293F5B"/>
              <w:bottom w:val="single" w:sz="4" w:space="0" w:color="293F5B"/>
            </w:tcBorders>
          </w:tcPr>
          <w:p w14:paraId="52815AC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47856C9F"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64A4FD28"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890C8D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55769E40"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42A1E088" w14:textId="77777777" w:rsidR="00BB2CB4" w:rsidRPr="00222C32" w:rsidRDefault="000674DA">
            <w:pPr>
              <w:pStyle w:val="MeasureTableYearHeadings"/>
              <w:keepNext/>
            </w:pPr>
            <w:r w:rsidRPr="00222C32">
              <w:t>2028-29</w:t>
            </w:r>
          </w:p>
        </w:tc>
      </w:tr>
      <w:tr w:rsidR="00BB2CB4" w:rsidRPr="00222C32" w14:paraId="71068C6A" w14:textId="77777777" w:rsidTr="00825163">
        <w:tc>
          <w:tcPr>
            <w:tcW w:w="2501" w:type="dxa"/>
            <w:tcBorders>
              <w:top w:val="single" w:sz="4" w:space="0" w:color="293F5B"/>
              <w:bottom w:val="single" w:sz="4" w:space="0" w:color="293F5B"/>
            </w:tcBorders>
          </w:tcPr>
          <w:p w14:paraId="56838728" w14:textId="7D89CB9B" w:rsidR="00BB2CB4" w:rsidRPr="00222C32" w:rsidRDefault="000674DA">
            <w:pPr>
              <w:pStyle w:val="MeasureTableHeadingleftalignedwith2ptsspacing"/>
              <w:keepNext/>
            </w:pPr>
            <w:r w:rsidRPr="00222C32">
              <w:t>Department of Veterans</w:t>
            </w:r>
            <w:r w:rsidR="007A29FA">
              <w:t>’</w:t>
            </w:r>
            <w:r w:rsidRPr="00222C32">
              <w:t xml:space="preserve"> Affairs</w:t>
            </w:r>
          </w:p>
        </w:tc>
        <w:tc>
          <w:tcPr>
            <w:tcW w:w="1044" w:type="dxa"/>
            <w:tcBorders>
              <w:top w:val="single" w:sz="4" w:space="0" w:color="293F5B"/>
              <w:bottom w:val="single" w:sz="4" w:space="0" w:color="293F5B"/>
            </w:tcBorders>
          </w:tcPr>
          <w:p w14:paraId="0EE4E09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8929F7" w14:textId="77777777" w:rsidR="00BB2CB4" w:rsidRPr="00222C32" w:rsidRDefault="000674DA">
            <w:pPr>
              <w:pStyle w:val="MeasureTableDataRightAlignedwith2ptsspacing"/>
              <w:keepNext/>
            </w:pPr>
            <w:r w:rsidRPr="00222C32">
              <w:t>-6.5</w:t>
            </w:r>
          </w:p>
        </w:tc>
        <w:tc>
          <w:tcPr>
            <w:tcW w:w="1044" w:type="dxa"/>
            <w:tcBorders>
              <w:top w:val="single" w:sz="4" w:space="0" w:color="293F5B"/>
              <w:bottom w:val="single" w:sz="4" w:space="0" w:color="293F5B"/>
            </w:tcBorders>
          </w:tcPr>
          <w:p w14:paraId="121BE783" w14:textId="77777777" w:rsidR="00BB2CB4" w:rsidRPr="00222C32" w:rsidRDefault="000674DA">
            <w:pPr>
              <w:pStyle w:val="MeasureTableDataRightAlignedwith2ptsspacing"/>
              <w:keepNext/>
            </w:pPr>
            <w:r w:rsidRPr="00222C32">
              <w:t>-12.3</w:t>
            </w:r>
          </w:p>
        </w:tc>
        <w:tc>
          <w:tcPr>
            <w:tcW w:w="1044" w:type="dxa"/>
            <w:tcBorders>
              <w:top w:val="single" w:sz="4" w:space="0" w:color="293F5B"/>
              <w:bottom w:val="single" w:sz="4" w:space="0" w:color="293F5B"/>
            </w:tcBorders>
          </w:tcPr>
          <w:p w14:paraId="538D4CF4" w14:textId="77777777" w:rsidR="00BB2CB4" w:rsidRPr="00222C32" w:rsidRDefault="000674DA">
            <w:pPr>
              <w:pStyle w:val="MeasureTableDataRightAlignedwith2ptsspacing"/>
              <w:keepNext/>
            </w:pPr>
            <w:r w:rsidRPr="00222C32">
              <w:t>-11.9</w:t>
            </w:r>
          </w:p>
        </w:tc>
        <w:tc>
          <w:tcPr>
            <w:tcW w:w="1044" w:type="dxa"/>
            <w:tcBorders>
              <w:top w:val="single" w:sz="4" w:space="0" w:color="293F5B"/>
              <w:bottom w:val="single" w:sz="4" w:space="0" w:color="293F5B"/>
            </w:tcBorders>
          </w:tcPr>
          <w:p w14:paraId="6ECE079A" w14:textId="77777777" w:rsidR="00BB2CB4" w:rsidRPr="00222C32" w:rsidRDefault="000674DA">
            <w:pPr>
              <w:pStyle w:val="MeasureTableDataRightAlignedwith2ptsspacing"/>
              <w:keepNext/>
            </w:pPr>
            <w:r w:rsidRPr="00222C32">
              <w:t>-11.5</w:t>
            </w:r>
          </w:p>
        </w:tc>
      </w:tr>
      <w:tr w:rsidR="00BB2CB4" w:rsidRPr="00222C32" w14:paraId="49C419CF" w14:textId="77777777" w:rsidTr="00825163">
        <w:tc>
          <w:tcPr>
            <w:tcW w:w="2501" w:type="dxa"/>
            <w:tcBorders>
              <w:top w:val="single" w:sz="4" w:space="0" w:color="293F5B"/>
              <w:bottom w:val="single" w:sz="4" w:space="0" w:color="293F5B"/>
            </w:tcBorders>
          </w:tcPr>
          <w:p w14:paraId="2345A6E3"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422006F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1B8FE69" w14:textId="77777777" w:rsidR="00BB2CB4" w:rsidRPr="00222C32" w:rsidRDefault="000674DA">
            <w:pPr>
              <w:pStyle w:val="MeasureTableDataRightAlignedwith2ptsspacing"/>
              <w:keepNext/>
            </w:pPr>
            <w:r w:rsidRPr="00222C32">
              <w:t>-19.5</w:t>
            </w:r>
          </w:p>
        </w:tc>
        <w:tc>
          <w:tcPr>
            <w:tcW w:w="1044" w:type="dxa"/>
            <w:tcBorders>
              <w:top w:val="single" w:sz="4" w:space="0" w:color="293F5B"/>
              <w:bottom w:val="single" w:sz="4" w:space="0" w:color="293F5B"/>
            </w:tcBorders>
          </w:tcPr>
          <w:p w14:paraId="1104EE92" w14:textId="77777777" w:rsidR="00BB2CB4" w:rsidRPr="00222C32" w:rsidRDefault="000674DA">
            <w:pPr>
              <w:pStyle w:val="MeasureTableDataRightAlignedwith2ptsspacing"/>
              <w:keepNext/>
            </w:pPr>
            <w:r w:rsidRPr="00222C32">
              <w:t>-41.1</w:t>
            </w:r>
          </w:p>
        </w:tc>
        <w:tc>
          <w:tcPr>
            <w:tcW w:w="1044" w:type="dxa"/>
            <w:tcBorders>
              <w:top w:val="single" w:sz="4" w:space="0" w:color="293F5B"/>
              <w:bottom w:val="single" w:sz="4" w:space="0" w:color="293F5B"/>
            </w:tcBorders>
          </w:tcPr>
          <w:p w14:paraId="05410426" w14:textId="77777777" w:rsidR="00BB2CB4" w:rsidRPr="00222C32" w:rsidRDefault="000674DA">
            <w:pPr>
              <w:pStyle w:val="MeasureTableDataRightAlignedwith2ptsspacing"/>
              <w:keepNext/>
            </w:pPr>
            <w:r w:rsidRPr="00222C32">
              <w:t>-43.0</w:t>
            </w:r>
          </w:p>
        </w:tc>
        <w:tc>
          <w:tcPr>
            <w:tcW w:w="1044" w:type="dxa"/>
            <w:tcBorders>
              <w:top w:val="single" w:sz="4" w:space="0" w:color="293F5B"/>
              <w:bottom w:val="single" w:sz="4" w:space="0" w:color="293F5B"/>
            </w:tcBorders>
          </w:tcPr>
          <w:p w14:paraId="2A48E69F" w14:textId="77777777" w:rsidR="00BB2CB4" w:rsidRPr="00222C32" w:rsidRDefault="000674DA">
            <w:pPr>
              <w:pStyle w:val="MeasureTableDataRightAlignedwith2ptsspacing"/>
              <w:keepNext/>
            </w:pPr>
            <w:r w:rsidRPr="00222C32">
              <w:t>-43.6</w:t>
            </w:r>
          </w:p>
        </w:tc>
      </w:tr>
      <w:tr w:rsidR="00BB2CB4" w:rsidRPr="00222C32" w14:paraId="245420F8" w14:textId="77777777" w:rsidTr="00825163">
        <w:tc>
          <w:tcPr>
            <w:tcW w:w="2501" w:type="dxa"/>
            <w:tcBorders>
              <w:top w:val="single" w:sz="4" w:space="0" w:color="293F5B"/>
              <w:bottom w:val="single" w:sz="4" w:space="0" w:color="293F5B"/>
            </w:tcBorders>
          </w:tcPr>
          <w:p w14:paraId="031EEEF2"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54C17E1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E0F6A2A" w14:textId="77777777" w:rsidR="00BB2CB4" w:rsidRPr="00222C32" w:rsidRDefault="000674DA">
            <w:pPr>
              <w:pStyle w:val="MeasureTableDataRightAlignedwith2ptsspacing"/>
              <w:keepNext/>
            </w:pPr>
            <w:r w:rsidRPr="00222C32">
              <w:t>-215.2</w:t>
            </w:r>
          </w:p>
        </w:tc>
        <w:tc>
          <w:tcPr>
            <w:tcW w:w="1044" w:type="dxa"/>
            <w:tcBorders>
              <w:top w:val="single" w:sz="4" w:space="0" w:color="293F5B"/>
              <w:bottom w:val="single" w:sz="4" w:space="0" w:color="293F5B"/>
            </w:tcBorders>
          </w:tcPr>
          <w:p w14:paraId="50689902" w14:textId="77777777" w:rsidR="00BB2CB4" w:rsidRPr="00222C32" w:rsidRDefault="000674DA">
            <w:pPr>
              <w:pStyle w:val="MeasureTableDataRightAlignedwith2ptsspacing"/>
              <w:keepNext/>
            </w:pPr>
            <w:r w:rsidRPr="00222C32">
              <w:t>-462.5</w:t>
            </w:r>
          </w:p>
        </w:tc>
        <w:tc>
          <w:tcPr>
            <w:tcW w:w="1044" w:type="dxa"/>
            <w:tcBorders>
              <w:top w:val="single" w:sz="4" w:space="0" w:color="293F5B"/>
              <w:bottom w:val="single" w:sz="4" w:space="0" w:color="293F5B"/>
            </w:tcBorders>
          </w:tcPr>
          <w:p w14:paraId="57C2D411" w14:textId="77777777" w:rsidR="00BB2CB4" w:rsidRPr="00222C32" w:rsidRDefault="000674DA">
            <w:pPr>
              <w:pStyle w:val="MeasureTableDataRightAlignedwith2ptsspacing"/>
              <w:keepNext/>
            </w:pPr>
            <w:r w:rsidRPr="00222C32">
              <w:t>-487.1</w:t>
            </w:r>
          </w:p>
        </w:tc>
        <w:tc>
          <w:tcPr>
            <w:tcW w:w="1044" w:type="dxa"/>
            <w:tcBorders>
              <w:top w:val="single" w:sz="4" w:space="0" w:color="293F5B"/>
              <w:bottom w:val="single" w:sz="4" w:space="0" w:color="293F5B"/>
            </w:tcBorders>
          </w:tcPr>
          <w:p w14:paraId="684E710E" w14:textId="77777777" w:rsidR="00BB2CB4" w:rsidRPr="00222C32" w:rsidRDefault="000674DA">
            <w:pPr>
              <w:pStyle w:val="MeasureTableDataRightAlignedwith2ptsspacing"/>
              <w:keepNext/>
            </w:pPr>
            <w:r w:rsidRPr="00222C32">
              <w:t>-510.5</w:t>
            </w:r>
          </w:p>
        </w:tc>
      </w:tr>
      <w:tr w:rsidR="00BB2CB4" w:rsidRPr="00222C32" w14:paraId="7A4F31EF" w14:textId="77777777" w:rsidTr="00825163">
        <w:tc>
          <w:tcPr>
            <w:tcW w:w="2501" w:type="dxa"/>
            <w:tcBorders>
              <w:top w:val="single" w:sz="4" w:space="0" w:color="293F5B"/>
              <w:bottom w:val="single" w:sz="4" w:space="0" w:color="293F5B"/>
            </w:tcBorders>
          </w:tcPr>
          <w:p w14:paraId="4A819FBD"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69D9E0BC"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668F8CA6" w14:textId="77777777" w:rsidR="00BB2CB4" w:rsidRPr="00222C32" w:rsidRDefault="000674DA">
            <w:pPr>
              <w:pStyle w:val="Totaldatarowrightaligned"/>
              <w:keepNext/>
            </w:pPr>
            <w:r w:rsidRPr="00222C32">
              <w:t>-241.3</w:t>
            </w:r>
          </w:p>
        </w:tc>
        <w:tc>
          <w:tcPr>
            <w:tcW w:w="1044" w:type="dxa"/>
            <w:tcBorders>
              <w:top w:val="single" w:sz="4" w:space="0" w:color="293F5B"/>
              <w:bottom w:val="single" w:sz="4" w:space="0" w:color="293F5B"/>
            </w:tcBorders>
          </w:tcPr>
          <w:p w14:paraId="2C139BEA" w14:textId="77777777" w:rsidR="00BB2CB4" w:rsidRPr="00222C32" w:rsidRDefault="000674DA">
            <w:pPr>
              <w:pStyle w:val="Totaldatarowrightaligned"/>
              <w:keepNext/>
            </w:pPr>
            <w:r w:rsidRPr="00222C32">
              <w:t>-515.9</w:t>
            </w:r>
          </w:p>
        </w:tc>
        <w:tc>
          <w:tcPr>
            <w:tcW w:w="1044" w:type="dxa"/>
            <w:tcBorders>
              <w:top w:val="single" w:sz="4" w:space="0" w:color="293F5B"/>
              <w:bottom w:val="single" w:sz="4" w:space="0" w:color="293F5B"/>
            </w:tcBorders>
          </w:tcPr>
          <w:p w14:paraId="07513129" w14:textId="77777777" w:rsidR="00BB2CB4" w:rsidRPr="00222C32" w:rsidRDefault="000674DA">
            <w:pPr>
              <w:pStyle w:val="Totaldatarowrightaligned"/>
              <w:keepNext/>
            </w:pPr>
            <w:r w:rsidRPr="00222C32">
              <w:t>-542.0</w:t>
            </w:r>
          </w:p>
        </w:tc>
        <w:tc>
          <w:tcPr>
            <w:tcW w:w="1044" w:type="dxa"/>
            <w:tcBorders>
              <w:top w:val="single" w:sz="4" w:space="0" w:color="293F5B"/>
              <w:bottom w:val="single" w:sz="4" w:space="0" w:color="293F5B"/>
            </w:tcBorders>
          </w:tcPr>
          <w:p w14:paraId="50D79A81" w14:textId="77777777" w:rsidR="00BB2CB4" w:rsidRPr="00222C32" w:rsidRDefault="000674DA">
            <w:pPr>
              <w:pStyle w:val="Totaldatarowrightaligned"/>
              <w:keepNext/>
            </w:pPr>
            <w:r w:rsidRPr="00222C32">
              <w:t>-565.6</w:t>
            </w:r>
          </w:p>
        </w:tc>
      </w:tr>
      <w:tr w:rsidR="00BB2CB4" w:rsidRPr="00222C32" w14:paraId="6B9AC47C" w14:textId="77777777" w:rsidTr="00825163">
        <w:tc>
          <w:tcPr>
            <w:tcW w:w="2501" w:type="dxa"/>
            <w:tcBorders>
              <w:top w:val="single" w:sz="4" w:space="0" w:color="293F5B"/>
              <w:bottom w:val="nil"/>
            </w:tcBorders>
          </w:tcPr>
          <w:p w14:paraId="4B3B8D51"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6A9410E" w14:textId="77777777" w:rsidR="00BB2CB4" w:rsidRPr="00222C32" w:rsidRDefault="00BB2CB4">
            <w:pPr>
              <w:pStyle w:val="AgencyName"/>
              <w:keepNext/>
            </w:pPr>
          </w:p>
        </w:tc>
        <w:tc>
          <w:tcPr>
            <w:tcW w:w="1044" w:type="dxa"/>
            <w:tcBorders>
              <w:top w:val="single" w:sz="4" w:space="0" w:color="293F5B"/>
              <w:bottom w:val="nil"/>
            </w:tcBorders>
          </w:tcPr>
          <w:p w14:paraId="66318DC0" w14:textId="77777777" w:rsidR="00BB2CB4" w:rsidRPr="00222C32" w:rsidRDefault="00BB2CB4">
            <w:pPr>
              <w:pStyle w:val="AgencyName"/>
              <w:keepNext/>
            </w:pPr>
          </w:p>
        </w:tc>
        <w:tc>
          <w:tcPr>
            <w:tcW w:w="1044" w:type="dxa"/>
            <w:tcBorders>
              <w:top w:val="single" w:sz="4" w:space="0" w:color="293F5B"/>
              <w:bottom w:val="nil"/>
            </w:tcBorders>
          </w:tcPr>
          <w:p w14:paraId="1617EC86" w14:textId="77777777" w:rsidR="00BB2CB4" w:rsidRPr="00222C32" w:rsidRDefault="00BB2CB4">
            <w:pPr>
              <w:pStyle w:val="AgencyName"/>
              <w:keepNext/>
            </w:pPr>
          </w:p>
        </w:tc>
        <w:tc>
          <w:tcPr>
            <w:tcW w:w="1044" w:type="dxa"/>
            <w:tcBorders>
              <w:top w:val="single" w:sz="4" w:space="0" w:color="293F5B"/>
              <w:bottom w:val="nil"/>
            </w:tcBorders>
          </w:tcPr>
          <w:p w14:paraId="2ED98821" w14:textId="77777777" w:rsidR="00BB2CB4" w:rsidRPr="00222C32" w:rsidRDefault="00BB2CB4">
            <w:pPr>
              <w:pStyle w:val="AgencyName"/>
              <w:keepNext/>
            </w:pPr>
          </w:p>
        </w:tc>
        <w:tc>
          <w:tcPr>
            <w:tcW w:w="1044" w:type="dxa"/>
            <w:tcBorders>
              <w:top w:val="single" w:sz="4" w:space="0" w:color="293F5B"/>
              <w:bottom w:val="nil"/>
            </w:tcBorders>
          </w:tcPr>
          <w:p w14:paraId="6A481D59" w14:textId="77777777" w:rsidR="00BB2CB4" w:rsidRPr="00222C32" w:rsidRDefault="00BB2CB4">
            <w:pPr>
              <w:pStyle w:val="AgencyName"/>
              <w:keepNext/>
            </w:pPr>
          </w:p>
        </w:tc>
      </w:tr>
      <w:tr w:rsidR="00BB2CB4" w:rsidRPr="00222C32" w14:paraId="0BB47E13" w14:textId="77777777" w:rsidTr="00825163">
        <w:tc>
          <w:tcPr>
            <w:tcW w:w="2501" w:type="dxa"/>
            <w:tcBorders>
              <w:top w:val="nil"/>
              <w:bottom w:val="single" w:sz="4" w:space="0" w:color="293F5B"/>
            </w:tcBorders>
          </w:tcPr>
          <w:p w14:paraId="2B70AB21" w14:textId="77777777" w:rsidR="00BB2CB4" w:rsidRPr="00222C32" w:rsidRDefault="000674DA">
            <w:pPr>
              <w:pStyle w:val="AgencyNamewith2ptsspacing"/>
              <w:keepNext/>
            </w:pPr>
            <w:r w:rsidRPr="00222C32">
              <w:t>Australian Taxation Office</w:t>
            </w:r>
          </w:p>
        </w:tc>
        <w:tc>
          <w:tcPr>
            <w:tcW w:w="1044" w:type="dxa"/>
            <w:tcBorders>
              <w:top w:val="nil"/>
              <w:bottom w:val="single" w:sz="4" w:space="0" w:color="293F5B"/>
            </w:tcBorders>
          </w:tcPr>
          <w:p w14:paraId="1C61E1FD"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722767F2" w14:textId="77777777" w:rsidR="00BB2CB4" w:rsidRPr="00222C32" w:rsidRDefault="000674DA">
            <w:pPr>
              <w:pStyle w:val="Measuretabledatarightaligneditalics"/>
              <w:keepNext/>
            </w:pPr>
            <w:r w:rsidRPr="00222C32">
              <w:t>-1.0</w:t>
            </w:r>
          </w:p>
        </w:tc>
        <w:tc>
          <w:tcPr>
            <w:tcW w:w="1044" w:type="dxa"/>
            <w:tcBorders>
              <w:top w:val="nil"/>
              <w:bottom w:val="single" w:sz="4" w:space="0" w:color="293F5B"/>
            </w:tcBorders>
          </w:tcPr>
          <w:p w14:paraId="6CCBA23A" w14:textId="77777777" w:rsidR="00BB2CB4" w:rsidRPr="00222C32" w:rsidRDefault="000674DA">
            <w:pPr>
              <w:pStyle w:val="Measuretabledatarightaligneditalics"/>
              <w:keepNext/>
            </w:pPr>
            <w:r w:rsidRPr="00222C32">
              <w:t>-15.0</w:t>
            </w:r>
          </w:p>
        </w:tc>
        <w:tc>
          <w:tcPr>
            <w:tcW w:w="1044" w:type="dxa"/>
            <w:tcBorders>
              <w:top w:val="nil"/>
              <w:bottom w:val="single" w:sz="4" w:space="0" w:color="293F5B"/>
            </w:tcBorders>
          </w:tcPr>
          <w:p w14:paraId="5B1B79E3" w14:textId="77777777" w:rsidR="00BB2CB4" w:rsidRPr="00222C32" w:rsidRDefault="000674DA">
            <w:pPr>
              <w:pStyle w:val="Measuretabledatarightaligneditalics"/>
              <w:keepNext/>
            </w:pPr>
            <w:r w:rsidRPr="00222C32">
              <w:t>-29.0</w:t>
            </w:r>
          </w:p>
        </w:tc>
        <w:tc>
          <w:tcPr>
            <w:tcW w:w="1044" w:type="dxa"/>
            <w:tcBorders>
              <w:top w:val="nil"/>
              <w:bottom w:val="single" w:sz="4" w:space="0" w:color="293F5B"/>
            </w:tcBorders>
          </w:tcPr>
          <w:p w14:paraId="481FEC2E" w14:textId="77777777" w:rsidR="00BB2CB4" w:rsidRPr="00222C32" w:rsidRDefault="000674DA">
            <w:pPr>
              <w:pStyle w:val="Measuretabledatarightaligneditalics"/>
              <w:keepNext/>
            </w:pPr>
            <w:r w:rsidRPr="00222C32">
              <w:t>-32.0</w:t>
            </w:r>
          </w:p>
        </w:tc>
      </w:tr>
    </w:tbl>
    <w:p w14:paraId="62CC4A14" w14:textId="77777777" w:rsidR="00BA047C" w:rsidRDefault="00BA047C" w:rsidP="00BA047C">
      <w:pPr>
        <w:pStyle w:val="SingleParagraph"/>
      </w:pPr>
    </w:p>
    <w:p w14:paraId="34234F71" w14:textId="77777777" w:rsidR="00BB2CB4" w:rsidRDefault="000674DA">
      <w:pPr>
        <w:pStyle w:val="Normal2"/>
      </w:pPr>
      <w:r w:rsidRPr="42F5CE43">
        <w:rPr>
          <w:lang w:val="en-US"/>
        </w:rPr>
        <w:t>The Government will achieve savings of $1.8 billion over four years from 2025–‍26 (and $553.8 million per year ongoing) by returning to the practice of updating the social security deeming rates on financial assets to reflect market returns.</w:t>
      </w:r>
    </w:p>
    <w:p w14:paraId="49AB81E2" w14:textId="77777777" w:rsidR="00BB2CB4" w:rsidRDefault="000674DA">
      <w:pPr>
        <w:pStyle w:val="Normal2"/>
      </w:pPr>
      <w:r w:rsidRPr="69C11E82">
        <w:rPr>
          <w:lang w:val="en-US"/>
        </w:rPr>
        <w:t>From 20 September 2025, a deeming rate of 0.75 per cent will apply to financial assets under $64,200 for singles and $106,200 for couples. Assets over this amount will be deemed at a rate of 2.75 per cent.</w:t>
      </w:r>
    </w:p>
    <w:p w14:paraId="53A2A127" w14:textId="77777777" w:rsidR="00BB2CB4" w:rsidRDefault="000674DA">
      <w:pPr>
        <w:pStyle w:val="Normal2"/>
      </w:pPr>
      <w:r>
        <w:t>The Government will provide $0.8 million over four years from 2025–‍26 (and $0.2 million per year ongoing) for the Australian Government Actuary to review market returns on financial assets twice a year, from March 2026, and provide a recommendation to the Government on the deeming rate, guided by the returns that pensioners and other payment recipients with deemed financial assets can reasonably access on their investments.</w:t>
      </w:r>
    </w:p>
    <w:p w14:paraId="210D3E25" w14:textId="77777777" w:rsidR="00BB2CB4" w:rsidRDefault="000674DA">
      <w:pPr>
        <w:pStyle w:val="Normal2"/>
      </w:pPr>
      <w:r>
        <w:t>The savings from this measure will be redirected to fund other government policy priorities.</w:t>
      </w:r>
    </w:p>
    <w:p w14:paraId="4898C3DF" w14:textId="77777777" w:rsidR="00B1775F" w:rsidRDefault="00B1775F">
      <w:pPr>
        <w:autoSpaceDE/>
        <w:autoSpaceDN/>
        <w:adjustRightInd/>
        <w:rPr>
          <w:rFonts w:cs="Times New Roman"/>
          <w:b/>
          <w:color w:val="000000"/>
          <w:lang w:val="en-AU"/>
        </w:rPr>
      </w:pPr>
      <w:r>
        <w:br w:type="page"/>
      </w:r>
    </w:p>
    <w:p w14:paraId="1415D747" w14:textId="6DF0C3E9" w:rsidR="00BB2CB4" w:rsidRDefault="000674DA">
      <w:pPr>
        <w:pStyle w:val="MeasureTitle"/>
      </w:pPr>
      <w:r>
        <w:lastRenderedPageBreak/>
        <w:t>Supporting the Safety and Wellbeing of Children, Families and Communities</w:t>
      </w:r>
    </w:p>
    <w:p w14:paraId="24F07D5C"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97CD0B0" w14:textId="77777777" w:rsidTr="00825163">
        <w:trPr>
          <w:cantSplit/>
        </w:trPr>
        <w:tc>
          <w:tcPr>
            <w:tcW w:w="2501" w:type="dxa"/>
            <w:tcBorders>
              <w:top w:val="single" w:sz="4" w:space="0" w:color="293F5B"/>
              <w:bottom w:val="single" w:sz="4" w:space="0" w:color="293F5B"/>
            </w:tcBorders>
          </w:tcPr>
          <w:p w14:paraId="3905FF99"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362B6DDE"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3B22BCF5"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EB7DEA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EE5190A"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5FE57D8" w14:textId="77777777" w:rsidR="00BB2CB4" w:rsidRPr="00222C32" w:rsidRDefault="000674DA">
            <w:pPr>
              <w:pStyle w:val="MeasureTableYearHeadings"/>
              <w:keepNext/>
            </w:pPr>
            <w:r w:rsidRPr="00222C32">
              <w:t>2028-29</w:t>
            </w:r>
          </w:p>
        </w:tc>
      </w:tr>
      <w:tr w:rsidR="00BB2CB4" w:rsidRPr="00222C32" w14:paraId="51BE3F94" w14:textId="77777777" w:rsidTr="00825163">
        <w:trPr>
          <w:cantSplit/>
        </w:trPr>
        <w:tc>
          <w:tcPr>
            <w:tcW w:w="2501" w:type="dxa"/>
            <w:tcBorders>
              <w:top w:val="single" w:sz="4" w:space="0" w:color="293F5B"/>
              <w:bottom w:val="single" w:sz="4" w:space="0" w:color="293F5B"/>
            </w:tcBorders>
          </w:tcPr>
          <w:p w14:paraId="345EB3E6"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30284EB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5611D0D" w14:textId="77777777" w:rsidR="00BB2CB4" w:rsidRPr="00222C32" w:rsidRDefault="000674DA">
            <w:pPr>
              <w:pStyle w:val="MeasureTableDataRightAlignedwith2ptsspacing"/>
              <w:keepNext/>
            </w:pPr>
            <w:r w:rsidRPr="00222C32">
              <w:t>-6.2</w:t>
            </w:r>
          </w:p>
        </w:tc>
        <w:tc>
          <w:tcPr>
            <w:tcW w:w="1044" w:type="dxa"/>
            <w:tcBorders>
              <w:top w:val="single" w:sz="4" w:space="0" w:color="293F5B"/>
              <w:bottom w:val="single" w:sz="4" w:space="0" w:color="293F5B"/>
            </w:tcBorders>
          </w:tcPr>
          <w:p w14:paraId="49A42947" w14:textId="77777777" w:rsidR="00BB2CB4" w:rsidRPr="00222C32" w:rsidRDefault="000674DA">
            <w:pPr>
              <w:pStyle w:val="MeasureTableDataRightAlignedwith2ptsspacing"/>
              <w:keepNext/>
            </w:pPr>
            <w:r w:rsidRPr="00222C32">
              <w:t>8.2</w:t>
            </w:r>
          </w:p>
        </w:tc>
        <w:tc>
          <w:tcPr>
            <w:tcW w:w="1044" w:type="dxa"/>
            <w:tcBorders>
              <w:top w:val="single" w:sz="4" w:space="0" w:color="293F5B"/>
              <w:bottom w:val="single" w:sz="4" w:space="0" w:color="293F5B"/>
            </w:tcBorders>
          </w:tcPr>
          <w:p w14:paraId="39D0736B" w14:textId="77777777" w:rsidR="00BB2CB4" w:rsidRPr="00222C32" w:rsidRDefault="000674DA">
            <w:pPr>
              <w:pStyle w:val="MeasureTableDataRightAlignedwith2ptsspacing"/>
              <w:keepNext/>
            </w:pPr>
            <w:r w:rsidRPr="00222C32">
              <w:t>-0.2</w:t>
            </w:r>
          </w:p>
        </w:tc>
        <w:tc>
          <w:tcPr>
            <w:tcW w:w="1044" w:type="dxa"/>
            <w:tcBorders>
              <w:top w:val="single" w:sz="4" w:space="0" w:color="293F5B"/>
              <w:bottom w:val="single" w:sz="4" w:space="0" w:color="293F5B"/>
            </w:tcBorders>
          </w:tcPr>
          <w:p w14:paraId="0CE8958F" w14:textId="77777777" w:rsidR="00BB2CB4" w:rsidRPr="00222C32" w:rsidRDefault="000674DA">
            <w:pPr>
              <w:pStyle w:val="MeasureTableDataRightAlignedwith2ptsspacing"/>
              <w:keepNext/>
            </w:pPr>
            <w:r w:rsidRPr="00222C32">
              <w:t>-0.2</w:t>
            </w:r>
          </w:p>
        </w:tc>
      </w:tr>
    </w:tbl>
    <w:p w14:paraId="49806ED1" w14:textId="77777777" w:rsidR="00241CF0" w:rsidRDefault="00241CF0" w:rsidP="00241CF0">
      <w:pPr>
        <w:pStyle w:val="SingleParagraph"/>
      </w:pPr>
    </w:p>
    <w:p w14:paraId="4D20759C" w14:textId="77777777" w:rsidR="00BB2CB4" w:rsidRDefault="000674DA" w:rsidP="00B1775F">
      <w:pPr>
        <w:pStyle w:val="Normal2"/>
        <w:spacing w:before="100" w:after="100"/>
      </w:pPr>
      <w:r w:rsidRPr="69C11E82">
        <w:rPr>
          <w:lang w:val="en-US"/>
        </w:rPr>
        <w:t>The Government will provide $8.9 million over two years from 2025–‍26 to continue delivery of services and programs that support the safety and wellbeing of children, families and communities. Funding includes:</w:t>
      </w:r>
    </w:p>
    <w:p w14:paraId="714CC805" w14:textId="77777777" w:rsidR="00BB2CB4" w:rsidRDefault="000674DA" w:rsidP="00B1775F">
      <w:pPr>
        <w:pStyle w:val="Bullet"/>
        <w:spacing w:before="100" w:after="100"/>
      </w:pPr>
      <w:r>
        <w:t>$7.3 million over two years from 2025–‍26 to continue programs for children and families and support for national peak bodies for the community sector while the Government consults on reforms to the Families and Children Activity</w:t>
      </w:r>
    </w:p>
    <w:p w14:paraId="29A26CAA" w14:textId="77777777" w:rsidR="00BB2CB4" w:rsidRDefault="000674DA" w:rsidP="00B1775F">
      <w:pPr>
        <w:pStyle w:val="Bullet"/>
        <w:spacing w:before="100" w:after="100"/>
      </w:pPr>
      <w:r>
        <w:t>$1.6 million in 2026–‍27 to provide support for organisations to reduce the rates of child abuse and neglect and to improve child safety, including providing continued secretariat support to the National Coalition on Child Safety and Wellbeing and the Safe and Supported Aboriginal and Torres Strait Islander Leadership Group, and support for the National Centre for Action on Child Sexual Abuse.</w:t>
      </w:r>
    </w:p>
    <w:p w14:paraId="572F918B" w14:textId="17DC9284" w:rsidR="00BB2CB4" w:rsidRDefault="000674DA" w:rsidP="00B1775F">
      <w:pPr>
        <w:pStyle w:val="Normal2"/>
        <w:spacing w:before="100" w:after="100"/>
      </w:pPr>
      <w:r>
        <w:t>Parts of this measure support the implementation of Safe and Supported: The National Framework for Protecting Australia</w:t>
      </w:r>
      <w:r w:rsidR="00222C32">
        <w:t>’</w:t>
      </w:r>
      <w:r>
        <w:t>s Children 2021–‍2031</w:t>
      </w:r>
      <w:r w:rsidRPr="000674DA">
        <w:rPr>
          <w:i/>
        </w:rPr>
        <w:t>.</w:t>
      </w:r>
    </w:p>
    <w:p w14:paraId="56EF6EE4" w14:textId="77777777" w:rsidR="00BB2CB4" w:rsidRDefault="000674DA" w:rsidP="00B1775F">
      <w:pPr>
        <w:pStyle w:val="Normal2"/>
        <w:spacing w:before="100" w:after="100"/>
      </w:pPr>
      <w:r w:rsidRPr="69C11E82">
        <w:rPr>
          <w:lang w:val="en-US"/>
        </w:rPr>
        <w:t>The cost of this measure will be partially met from savings identified in the Department of Social Services.</w:t>
      </w:r>
    </w:p>
    <w:p w14:paraId="7BF86F5F" w14:textId="360592A0" w:rsidR="0017447A" w:rsidRDefault="000674DA" w:rsidP="00B1775F">
      <w:pPr>
        <w:pStyle w:val="Normal2"/>
        <w:spacing w:before="100" w:after="100"/>
      </w:pPr>
      <w:r>
        <w:t>This measure builds on the 2024–</w:t>
      </w:r>
      <w:r>
        <w:rPr>
          <w:rFonts w:ascii="Times New Roman" w:hAnsi="Times New Roman"/>
        </w:rPr>
        <w:t>‍</w:t>
      </w:r>
      <w:r>
        <w:t>25</w:t>
      </w:r>
      <w:r>
        <w:rPr>
          <w:rFonts w:cs="Book Antiqua"/>
        </w:rPr>
        <w:t> </w:t>
      </w:r>
      <w:r>
        <w:t xml:space="preserve">MYEFO measure titled </w:t>
      </w:r>
      <w:r w:rsidRPr="000674DA">
        <w:rPr>
          <w:i/>
        </w:rPr>
        <w:t>Partnering with Communities for Change.</w:t>
      </w:r>
    </w:p>
    <w:p w14:paraId="0F25B6DD" w14:textId="7E64CC24" w:rsidR="00BB2CB4" w:rsidRDefault="000674DA">
      <w:pPr>
        <w:pStyle w:val="MeasureTitle"/>
      </w:pPr>
      <w:r>
        <w:t>Targeting Entrenched Community Disadvantage</w:t>
      </w:r>
    </w:p>
    <w:p w14:paraId="34E4F93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64EC21B6" w14:textId="77777777" w:rsidTr="00825163">
        <w:trPr>
          <w:cantSplit/>
        </w:trPr>
        <w:tc>
          <w:tcPr>
            <w:tcW w:w="2501" w:type="dxa"/>
            <w:tcBorders>
              <w:top w:val="single" w:sz="4" w:space="0" w:color="293F5B"/>
              <w:bottom w:val="single" w:sz="4" w:space="0" w:color="293F5B"/>
            </w:tcBorders>
          </w:tcPr>
          <w:p w14:paraId="4F390D37"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5ABCE234"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B3EBBF6"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0BD8264"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1400EBF"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18275C0" w14:textId="77777777" w:rsidR="00BB2CB4" w:rsidRPr="00222C32" w:rsidRDefault="000674DA">
            <w:pPr>
              <w:pStyle w:val="MeasureTableYearHeadings"/>
              <w:keepNext/>
            </w:pPr>
            <w:r w:rsidRPr="00222C32">
              <w:t>2028-29</w:t>
            </w:r>
          </w:p>
        </w:tc>
      </w:tr>
      <w:tr w:rsidR="00BB2CB4" w:rsidRPr="00222C32" w14:paraId="5FCB7495" w14:textId="77777777" w:rsidTr="00825163">
        <w:trPr>
          <w:cantSplit/>
        </w:trPr>
        <w:tc>
          <w:tcPr>
            <w:tcW w:w="2501" w:type="dxa"/>
            <w:tcBorders>
              <w:top w:val="single" w:sz="4" w:space="0" w:color="293F5B"/>
              <w:bottom w:val="single" w:sz="4" w:space="0" w:color="293F5B"/>
            </w:tcBorders>
          </w:tcPr>
          <w:p w14:paraId="51D63096"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112D2C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A2D8997" w14:textId="77777777" w:rsidR="00BB2CB4" w:rsidRPr="00222C32" w:rsidRDefault="000674DA">
            <w:pPr>
              <w:pStyle w:val="MeasureTableDataRightAlignedwith2ptsspacing"/>
              <w:keepNext/>
            </w:pPr>
            <w:r w:rsidRPr="00222C32">
              <w:t>1.9</w:t>
            </w:r>
          </w:p>
        </w:tc>
        <w:tc>
          <w:tcPr>
            <w:tcW w:w="1044" w:type="dxa"/>
            <w:tcBorders>
              <w:top w:val="single" w:sz="4" w:space="0" w:color="293F5B"/>
              <w:bottom w:val="single" w:sz="4" w:space="0" w:color="293F5B"/>
            </w:tcBorders>
          </w:tcPr>
          <w:p w14:paraId="7004498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F84F06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A072962" w14:textId="77777777" w:rsidR="00BB2CB4" w:rsidRPr="00222C32" w:rsidRDefault="000674DA">
            <w:pPr>
              <w:pStyle w:val="MeasureTableDataRightAlignedwith2ptsspacing"/>
              <w:keepNext/>
            </w:pPr>
            <w:r w:rsidRPr="00222C32">
              <w:t>-</w:t>
            </w:r>
          </w:p>
        </w:tc>
      </w:tr>
      <w:tr w:rsidR="00BB2CB4" w:rsidRPr="00222C32" w14:paraId="593A7F5E" w14:textId="77777777" w:rsidTr="00825163">
        <w:trPr>
          <w:cantSplit/>
        </w:trPr>
        <w:tc>
          <w:tcPr>
            <w:tcW w:w="2501" w:type="dxa"/>
            <w:tcBorders>
              <w:top w:val="single" w:sz="4" w:space="0" w:color="293F5B"/>
              <w:bottom w:val="single" w:sz="4" w:space="0" w:color="293F5B"/>
            </w:tcBorders>
          </w:tcPr>
          <w:p w14:paraId="1B446C1F" w14:textId="77777777" w:rsidR="00BB2CB4" w:rsidRPr="00222C32" w:rsidRDefault="000674DA">
            <w:pPr>
              <w:pStyle w:val="MeasureTableHeadingleftalignedwith2ptsspacing"/>
              <w:keepNext/>
            </w:pPr>
            <w:r w:rsidRPr="00222C32">
              <w:t>Department of Social Services</w:t>
            </w:r>
          </w:p>
        </w:tc>
        <w:tc>
          <w:tcPr>
            <w:tcW w:w="1044" w:type="dxa"/>
            <w:tcBorders>
              <w:top w:val="single" w:sz="4" w:space="0" w:color="293F5B"/>
              <w:bottom w:val="single" w:sz="4" w:space="0" w:color="293F5B"/>
            </w:tcBorders>
          </w:tcPr>
          <w:p w14:paraId="2AF49BA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5035C70" w14:textId="77777777" w:rsidR="00BB2CB4" w:rsidRPr="00222C32" w:rsidRDefault="000674DA">
            <w:pPr>
              <w:pStyle w:val="MeasureTableDataRightAlignedwith2ptsspacing"/>
              <w:keepNext/>
            </w:pPr>
            <w:r w:rsidRPr="00222C32">
              <w:t>1.7</w:t>
            </w:r>
          </w:p>
        </w:tc>
        <w:tc>
          <w:tcPr>
            <w:tcW w:w="1044" w:type="dxa"/>
            <w:tcBorders>
              <w:top w:val="single" w:sz="4" w:space="0" w:color="293F5B"/>
              <w:bottom w:val="single" w:sz="4" w:space="0" w:color="293F5B"/>
            </w:tcBorders>
          </w:tcPr>
          <w:p w14:paraId="6CFDEC35" w14:textId="77777777" w:rsidR="00BB2CB4" w:rsidRPr="00222C32" w:rsidRDefault="000674DA">
            <w:pPr>
              <w:pStyle w:val="MeasureTableDataRightAlignedwith2ptsspacing"/>
              <w:keepNext/>
            </w:pPr>
            <w:r w:rsidRPr="00222C32">
              <w:t>3.9</w:t>
            </w:r>
          </w:p>
        </w:tc>
        <w:tc>
          <w:tcPr>
            <w:tcW w:w="1044" w:type="dxa"/>
            <w:tcBorders>
              <w:top w:val="single" w:sz="4" w:space="0" w:color="293F5B"/>
              <w:bottom w:val="single" w:sz="4" w:space="0" w:color="293F5B"/>
            </w:tcBorders>
          </w:tcPr>
          <w:p w14:paraId="645B9DF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C72DF3" w14:textId="77777777" w:rsidR="00BB2CB4" w:rsidRPr="00222C32" w:rsidRDefault="000674DA">
            <w:pPr>
              <w:pStyle w:val="MeasureTableDataRightAlignedwith2ptsspacing"/>
              <w:keepNext/>
            </w:pPr>
            <w:r w:rsidRPr="00222C32">
              <w:t>-</w:t>
            </w:r>
          </w:p>
        </w:tc>
      </w:tr>
      <w:tr w:rsidR="00BB2CB4" w:rsidRPr="00222C32" w14:paraId="3B387899" w14:textId="77777777" w:rsidTr="00825163">
        <w:trPr>
          <w:cantSplit/>
        </w:trPr>
        <w:tc>
          <w:tcPr>
            <w:tcW w:w="2501" w:type="dxa"/>
            <w:tcBorders>
              <w:top w:val="single" w:sz="4" w:space="0" w:color="293F5B"/>
              <w:bottom w:val="single" w:sz="4" w:space="0" w:color="293F5B"/>
            </w:tcBorders>
          </w:tcPr>
          <w:p w14:paraId="34352CEA"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7708D8D5"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9735CB1" w14:textId="77777777" w:rsidR="00BB2CB4" w:rsidRPr="00222C32" w:rsidRDefault="000674DA">
            <w:pPr>
              <w:pStyle w:val="Totaldatarowrightaligned"/>
              <w:keepNext/>
            </w:pPr>
            <w:r w:rsidRPr="00222C32">
              <w:t>3.6</w:t>
            </w:r>
          </w:p>
        </w:tc>
        <w:tc>
          <w:tcPr>
            <w:tcW w:w="1044" w:type="dxa"/>
            <w:tcBorders>
              <w:top w:val="single" w:sz="4" w:space="0" w:color="293F5B"/>
              <w:bottom w:val="single" w:sz="4" w:space="0" w:color="293F5B"/>
            </w:tcBorders>
          </w:tcPr>
          <w:p w14:paraId="49B7A8C6" w14:textId="77777777" w:rsidR="00BB2CB4" w:rsidRPr="00222C32" w:rsidRDefault="000674DA">
            <w:pPr>
              <w:pStyle w:val="Totaldatarowrightaligned"/>
              <w:keepNext/>
            </w:pPr>
            <w:r w:rsidRPr="00222C32">
              <w:t>3.9</w:t>
            </w:r>
          </w:p>
        </w:tc>
        <w:tc>
          <w:tcPr>
            <w:tcW w:w="1044" w:type="dxa"/>
            <w:tcBorders>
              <w:top w:val="single" w:sz="4" w:space="0" w:color="293F5B"/>
              <w:bottom w:val="single" w:sz="4" w:space="0" w:color="293F5B"/>
            </w:tcBorders>
          </w:tcPr>
          <w:p w14:paraId="25D28FCB"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19E32CC0" w14:textId="77777777" w:rsidR="00BB2CB4" w:rsidRPr="00222C32" w:rsidRDefault="000674DA">
            <w:pPr>
              <w:pStyle w:val="Totaldatarowrightaligned"/>
              <w:keepNext/>
            </w:pPr>
            <w:r w:rsidRPr="00222C32">
              <w:t>-</w:t>
            </w:r>
          </w:p>
        </w:tc>
      </w:tr>
    </w:tbl>
    <w:p w14:paraId="7BABE144" w14:textId="77777777" w:rsidR="00241CF0" w:rsidRDefault="00241CF0" w:rsidP="00241CF0">
      <w:pPr>
        <w:pStyle w:val="SingleParagraph"/>
      </w:pPr>
    </w:p>
    <w:p w14:paraId="7E5B067D" w14:textId="77777777" w:rsidR="00BB2CB4" w:rsidRDefault="000674DA" w:rsidP="00B1775F">
      <w:pPr>
        <w:pStyle w:val="Normal2"/>
        <w:spacing w:before="100" w:after="100"/>
      </w:pPr>
      <w:r>
        <w:t>The Government will provide $7.5 million over two years from 2025–‍26 to address entrenched community disadvantage. Funding includes:</w:t>
      </w:r>
    </w:p>
    <w:p w14:paraId="0514EEDD" w14:textId="77777777" w:rsidR="00BB2CB4" w:rsidRDefault="000674DA" w:rsidP="00B1775F">
      <w:pPr>
        <w:pStyle w:val="Bullet"/>
        <w:spacing w:before="100" w:after="100"/>
      </w:pPr>
      <w:r>
        <w:t>$3.9 million in 2026–‍27 to extend the Social Enterprise Development Initiative to provide grants, online education and mentoring to eligible organisations to build their capability to access capital and better participate in the social impact investing market to support improved social outcomes</w:t>
      </w:r>
    </w:p>
    <w:p w14:paraId="0F1C4045" w14:textId="77777777" w:rsidR="00BB2CB4" w:rsidRDefault="000674DA" w:rsidP="00B1775F">
      <w:pPr>
        <w:pStyle w:val="Bullet"/>
        <w:spacing w:before="100" w:after="100"/>
      </w:pPr>
      <w:r>
        <w:t>$3.6 million in 2025–‍26 to continue work on a whole‑of‑government Framework to Address Community Disadvantage that will identify strategic objectives to guide how the Commonwealth will work in partnership with communities to build capability to address cycles of disadvantage.</w:t>
      </w:r>
    </w:p>
    <w:p w14:paraId="1E1133F4" w14:textId="54731C47" w:rsidR="00BB2CB4" w:rsidRDefault="000674DA" w:rsidP="00B1775F">
      <w:pPr>
        <w:pStyle w:val="Normal2"/>
        <w:spacing w:before="100" w:after="100"/>
      </w:pPr>
      <w:r>
        <w:t xml:space="preserve">This measure builds on the 2023–‍24 Budget measure titled </w:t>
      </w:r>
      <w:r w:rsidRPr="000674DA">
        <w:rPr>
          <w:i/>
        </w:rPr>
        <w:t>Targeting Entrenched Community Disadvantage</w:t>
      </w:r>
      <w:r>
        <w:t>.</w:t>
      </w:r>
    </w:p>
    <w:p w14:paraId="59FF7EE9" w14:textId="77777777" w:rsidR="00B1647A" w:rsidRDefault="00B1647A">
      <w:pPr>
        <w:sectPr w:rsidR="00B1647A" w:rsidSect="00A3139E">
          <w:headerReference w:type="even" r:id="rId139"/>
          <w:headerReference w:type="default" r:id="rId140"/>
          <w:footerReference w:type="even" r:id="rId141"/>
          <w:footerReference w:type="default" r:id="rId142"/>
          <w:headerReference w:type="first" r:id="rId143"/>
          <w:footerReference w:type="first" r:id="rId144"/>
          <w:pgSz w:w="11906" w:h="16838" w:code="9"/>
          <w:pgMar w:top="2835" w:right="2098" w:bottom="2466" w:left="2098" w:header="1814" w:footer="1814" w:gutter="0"/>
          <w:cols w:space="720"/>
          <w:docGrid w:linePitch="272"/>
        </w:sectPr>
      </w:pPr>
    </w:p>
    <w:p w14:paraId="39B4A622" w14:textId="77777777" w:rsidR="00BB2CB4" w:rsidRDefault="000674DA" w:rsidP="00BA09AF">
      <w:pPr>
        <w:pStyle w:val="PortfolioName"/>
        <w:spacing w:before="0"/>
      </w:pPr>
      <w:r>
        <w:lastRenderedPageBreak/>
        <w:t>Treasury</w:t>
      </w:r>
    </w:p>
    <w:p w14:paraId="625638FF" w14:textId="77777777" w:rsidR="00BB2CB4" w:rsidRDefault="000674DA" w:rsidP="00773EF0">
      <w:pPr>
        <w:pStyle w:val="MeasureTitle"/>
      </w:pPr>
      <w:r w:rsidRPr="00773EF0">
        <w:t>Competition</w:t>
      </w:r>
      <w:r>
        <w:t xml:space="preserve"> Reforms</w:t>
      </w:r>
    </w:p>
    <w:p w14:paraId="20D575E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29A54EA7" w14:textId="77777777" w:rsidTr="00825163">
        <w:tc>
          <w:tcPr>
            <w:tcW w:w="2501" w:type="dxa"/>
            <w:tcBorders>
              <w:top w:val="single" w:sz="4" w:space="0" w:color="293F5B"/>
              <w:bottom w:val="single" w:sz="4" w:space="0" w:color="293F5B"/>
            </w:tcBorders>
          </w:tcPr>
          <w:p w14:paraId="38186AD8"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1BC7B11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56E1AA47"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2A4E475A"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18140E3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5471B7CE" w14:textId="77777777" w:rsidR="00BB2CB4" w:rsidRPr="00222C32" w:rsidRDefault="000674DA">
            <w:pPr>
              <w:pStyle w:val="MeasureTableYearHeadings"/>
              <w:keepNext/>
            </w:pPr>
            <w:r w:rsidRPr="00222C32">
              <w:t>2028-29</w:t>
            </w:r>
          </w:p>
        </w:tc>
      </w:tr>
      <w:tr w:rsidR="00BB2CB4" w:rsidRPr="00222C32" w14:paraId="176ED639" w14:textId="77777777" w:rsidTr="00825163">
        <w:tc>
          <w:tcPr>
            <w:tcW w:w="2501" w:type="dxa"/>
            <w:tcBorders>
              <w:top w:val="single" w:sz="4" w:space="0" w:color="293F5B"/>
              <w:bottom w:val="single" w:sz="4" w:space="0" w:color="293F5B"/>
            </w:tcBorders>
          </w:tcPr>
          <w:p w14:paraId="45C716F6" w14:textId="77777777" w:rsidR="00BB2CB4" w:rsidRPr="00222C32" w:rsidRDefault="000674DA">
            <w:pPr>
              <w:pStyle w:val="MeasureTableHeadingleftalignedwith2ptsspacing"/>
              <w:keepNext/>
            </w:pPr>
            <w:r w:rsidRPr="00222C32">
              <w:t>Federal Court of Australia</w:t>
            </w:r>
          </w:p>
        </w:tc>
        <w:tc>
          <w:tcPr>
            <w:tcW w:w="1044" w:type="dxa"/>
            <w:tcBorders>
              <w:top w:val="single" w:sz="4" w:space="0" w:color="293F5B"/>
              <w:bottom w:val="single" w:sz="4" w:space="0" w:color="293F5B"/>
            </w:tcBorders>
          </w:tcPr>
          <w:p w14:paraId="01C8C15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DAE2EFA" w14:textId="77777777" w:rsidR="00BB2CB4" w:rsidRPr="00222C32" w:rsidRDefault="000674DA">
            <w:pPr>
              <w:pStyle w:val="MeasureTableDataRightAlignedwith2ptsspacing"/>
              <w:keepNext/>
            </w:pPr>
            <w:r w:rsidRPr="00222C32">
              <w:t>2.2</w:t>
            </w:r>
          </w:p>
        </w:tc>
        <w:tc>
          <w:tcPr>
            <w:tcW w:w="1044" w:type="dxa"/>
            <w:tcBorders>
              <w:top w:val="single" w:sz="4" w:space="0" w:color="293F5B"/>
              <w:bottom w:val="single" w:sz="4" w:space="0" w:color="293F5B"/>
            </w:tcBorders>
          </w:tcPr>
          <w:p w14:paraId="6E4CF6C6"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19A4057D" w14:textId="77777777" w:rsidR="00BB2CB4" w:rsidRPr="00222C32" w:rsidRDefault="000674DA">
            <w:pPr>
              <w:pStyle w:val="MeasureTableDataRightAlignedwith2ptsspacing"/>
              <w:keepNext/>
            </w:pPr>
            <w:r w:rsidRPr="00222C32">
              <w:t>6.1</w:t>
            </w:r>
          </w:p>
        </w:tc>
        <w:tc>
          <w:tcPr>
            <w:tcW w:w="1044" w:type="dxa"/>
            <w:tcBorders>
              <w:top w:val="single" w:sz="4" w:space="0" w:color="293F5B"/>
              <w:bottom w:val="single" w:sz="4" w:space="0" w:color="293F5B"/>
            </w:tcBorders>
          </w:tcPr>
          <w:p w14:paraId="4473541E" w14:textId="77777777" w:rsidR="00BB2CB4" w:rsidRPr="00222C32" w:rsidRDefault="000674DA">
            <w:pPr>
              <w:pStyle w:val="MeasureTableDataRightAlignedwith2ptsspacing"/>
              <w:keepNext/>
            </w:pPr>
            <w:r w:rsidRPr="00222C32">
              <w:t>6.2</w:t>
            </w:r>
          </w:p>
        </w:tc>
      </w:tr>
      <w:tr w:rsidR="00BB2CB4" w:rsidRPr="00222C32" w14:paraId="209F27CE" w14:textId="77777777" w:rsidTr="00825163">
        <w:tc>
          <w:tcPr>
            <w:tcW w:w="2501" w:type="dxa"/>
            <w:tcBorders>
              <w:top w:val="single" w:sz="4" w:space="0" w:color="293F5B"/>
              <w:bottom w:val="single" w:sz="4" w:space="0" w:color="293F5B"/>
            </w:tcBorders>
          </w:tcPr>
          <w:p w14:paraId="121CFB96"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7CEC69C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4A2F1A7" w14:textId="77777777" w:rsidR="00BB2CB4" w:rsidRPr="00222C32" w:rsidRDefault="000674DA">
            <w:pPr>
              <w:pStyle w:val="MeasureTableDataRightAlignedwith2ptsspacing"/>
              <w:keepNext/>
            </w:pPr>
            <w:r w:rsidRPr="00222C32">
              <w:t>0.6</w:t>
            </w:r>
          </w:p>
        </w:tc>
        <w:tc>
          <w:tcPr>
            <w:tcW w:w="1044" w:type="dxa"/>
            <w:tcBorders>
              <w:top w:val="single" w:sz="4" w:space="0" w:color="293F5B"/>
              <w:bottom w:val="single" w:sz="4" w:space="0" w:color="293F5B"/>
            </w:tcBorders>
          </w:tcPr>
          <w:p w14:paraId="4A1D5EF8" w14:textId="77777777" w:rsidR="00BB2CB4" w:rsidRPr="00222C32" w:rsidRDefault="000674DA">
            <w:pPr>
              <w:pStyle w:val="MeasureTableDataRightAlignedwith2ptsspacing"/>
              <w:keepNext/>
            </w:pPr>
            <w:r w:rsidRPr="00222C32">
              <w:t>6.3</w:t>
            </w:r>
          </w:p>
        </w:tc>
        <w:tc>
          <w:tcPr>
            <w:tcW w:w="1044" w:type="dxa"/>
            <w:tcBorders>
              <w:top w:val="single" w:sz="4" w:space="0" w:color="293F5B"/>
              <w:bottom w:val="single" w:sz="4" w:space="0" w:color="293F5B"/>
            </w:tcBorders>
          </w:tcPr>
          <w:p w14:paraId="63D13EFC" w14:textId="77777777" w:rsidR="00BB2CB4" w:rsidRPr="00222C32" w:rsidRDefault="000674DA">
            <w:pPr>
              <w:pStyle w:val="MeasureTableDataRightAlignedwith2ptsspacing"/>
              <w:keepNext/>
            </w:pPr>
            <w:r w:rsidRPr="00222C32">
              <w:t>5.3</w:t>
            </w:r>
          </w:p>
        </w:tc>
        <w:tc>
          <w:tcPr>
            <w:tcW w:w="1044" w:type="dxa"/>
            <w:tcBorders>
              <w:top w:val="single" w:sz="4" w:space="0" w:color="293F5B"/>
              <w:bottom w:val="single" w:sz="4" w:space="0" w:color="293F5B"/>
            </w:tcBorders>
          </w:tcPr>
          <w:p w14:paraId="6D6A4327" w14:textId="77777777" w:rsidR="00BB2CB4" w:rsidRPr="00222C32" w:rsidRDefault="000674DA">
            <w:pPr>
              <w:pStyle w:val="MeasureTableDataRightAlignedwith2ptsspacing"/>
              <w:keepNext/>
            </w:pPr>
            <w:r w:rsidRPr="00222C32">
              <w:t>3.8</w:t>
            </w:r>
          </w:p>
        </w:tc>
      </w:tr>
      <w:tr w:rsidR="00BB2CB4" w:rsidRPr="00222C32" w14:paraId="6617A846" w14:textId="77777777" w:rsidTr="00825163">
        <w:tc>
          <w:tcPr>
            <w:tcW w:w="2501" w:type="dxa"/>
            <w:tcBorders>
              <w:top w:val="single" w:sz="4" w:space="0" w:color="293F5B"/>
              <w:bottom w:val="single" w:sz="4" w:space="0" w:color="293F5B"/>
            </w:tcBorders>
          </w:tcPr>
          <w:p w14:paraId="14C6CE66" w14:textId="77777777" w:rsidR="00BB2CB4" w:rsidRPr="00222C32" w:rsidRDefault="000674DA">
            <w:pPr>
              <w:pStyle w:val="MeasureTableHeadingleftalignedwith2ptsspacing"/>
              <w:keepNext/>
            </w:pPr>
            <w:r w:rsidRPr="00222C32">
              <w:t>National Competition Council</w:t>
            </w:r>
          </w:p>
        </w:tc>
        <w:tc>
          <w:tcPr>
            <w:tcW w:w="1044" w:type="dxa"/>
            <w:tcBorders>
              <w:top w:val="single" w:sz="4" w:space="0" w:color="293F5B"/>
              <w:bottom w:val="single" w:sz="4" w:space="0" w:color="293F5B"/>
            </w:tcBorders>
          </w:tcPr>
          <w:p w14:paraId="29E8DA4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5098FC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ADCDC65" w14:textId="77777777" w:rsidR="00BB2CB4" w:rsidRPr="00222C32" w:rsidRDefault="000674DA">
            <w:pPr>
              <w:pStyle w:val="MeasureTableDataRightAlignedwith2ptsspacing"/>
              <w:keepNext/>
            </w:pPr>
            <w:r w:rsidRPr="00222C32">
              <w:t>1.6</w:t>
            </w:r>
          </w:p>
        </w:tc>
        <w:tc>
          <w:tcPr>
            <w:tcW w:w="1044" w:type="dxa"/>
            <w:tcBorders>
              <w:top w:val="single" w:sz="4" w:space="0" w:color="293F5B"/>
              <w:bottom w:val="single" w:sz="4" w:space="0" w:color="293F5B"/>
            </w:tcBorders>
          </w:tcPr>
          <w:p w14:paraId="45FFDD24" w14:textId="77777777" w:rsidR="00BB2CB4" w:rsidRPr="00222C32" w:rsidRDefault="000674DA">
            <w:pPr>
              <w:pStyle w:val="MeasureTableDataRightAlignedwith2ptsspacing"/>
              <w:keepNext/>
            </w:pPr>
            <w:r w:rsidRPr="00222C32">
              <w:t>1.7</w:t>
            </w:r>
          </w:p>
        </w:tc>
        <w:tc>
          <w:tcPr>
            <w:tcW w:w="1044" w:type="dxa"/>
            <w:tcBorders>
              <w:top w:val="single" w:sz="4" w:space="0" w:color="293F5B"/>
              <w:bottom w:val="single" w:sz="4" w:space="0" w:color="293F5B"/>
            </w:tcBorders>
          </w:tcPr>
          <w:p w14:paraId="03D38EBD" w14:textId="77777777" w:rsidR="00BB2CB4" w:rsidRPr="00222C32" w:rsidRDefault="000674DA">
            <w:pPr>
              <w:pStyle w:val="MeasureTableDataRightAlignedwith2ptsspacing"/>
              <w:keepNext/>
            </w:pPr>
            <w:r w:rsidRPr="00222C32">
              <w:t>1.8</w:t>
            </w:r>
          </w:p>
        </w:tc>
      </w:tr>
      <w:tr w:rsidR="00BB2CB4" w:rsidRPr="00222C32" w14:paraId="2F7A36D2" w14:textId="77777777" w:rsidTr="00825163">
        <w:tc>
          <w:tcPr>
            <w:tcW w:w="2501" w:type="dxa"/>
            <w:tcBorders>
              <w:top w:val="single" w:sz="4" w:space="0" w:color="293F5B"/>
              <w:bottom w:val="single" w:sz="4" w:space="0" w:color="293F5B"/>
            </w:tcBorders>
          </w:tcPr>
          <w:p w14:paraId="349F6770" w14:textId="77777777" w:rsidR="00BB2CB4" w:rsidRPr="00222C32" w:rsidRDefault="000674DA">
            <w:pPr>
              <w:pStyle w:val="MeasureTableHeadingleftalignedwith2ptsspacing"/>
              <w:keepNext/>
            </w:pPr>
            <w:r w:rsidRPr="00222C32">
              <w:t>Department of Finance</w:t>
            </w:r>
          </w:p>
        </w:tc>
        <w:tc>
          <w:tcPr>
            <w:tcW w:w="1044" w:type="dxa"/>
            <w:tcBorders>
              <w:top w:val="single" w:sz="4" w:space="0" w:color="293F5B"/>
              <w:bottom w:val="single" w:sz="4" w:space="0" w:color="293F5B"/>
            </w:tcBorders>
          </w:tcPr>
          <w:p w14:paraId="624FFDA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1C2612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915260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B618C4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84E50B0" w14:textId="77777777" w:rsidR="00BB2CB4" w:rsidRPr="00222C32" w:rsidRDefault="000674DA">
            <w:pPr>
              <w:pStyle w:val="MeasureTableDataRightAlignedwith2ptsspacing"/>
              <w:keepNext/>
            </w:pPr>
            <w:r w:rsidRPr="00222C32">
              <w:t>-</w:t>
            </w:r>
          </w:p>
        </w:tc>
      </w:tr>
      <w:tr w:rsidR="00BB2CB4" w:rsidRPr="00222C32" w14:paraId="0FBEBE30" w14:textId="77777777" w:rsidTr="00825163">
        <w:tc>
          <w:tcPr>
            <w:tcW w:w="2501" w:type="dxa"/>
            <w:tcBorders>
              <w:top w:val="single" w:sz="4" w:space="0" w:color="293F5B"/>
              <w:bottom w:val="single" w:sz="4" w:space="0" w:color="293F5B"/>
            </w:tcBorders>
          </w:tcPr>
          <w:p w14:paraId="7E95E9AE" w14:textId="77777777" w:rsidR="00BB2CB4" w:rsidRPr="00222C32" w:rsidRDefault="000674DA">
            <w:pPr>
              <w:pStyle w:val="MeasureTableHeadingleftalignedwith2ptsspacing"/>
              <w:keepNext/>
            </w:pPr>
            <w:r w:rsidRPr="00222C32">
              <w:t>Office of the Fair Work Ombudsman</w:t>
            </w:r>
          </w:p>
        </w:tc>
        <w:tc>
          <w:tcPr>
            <w:tcW w:w="1044" w:type="dxa"/>
            <w:tcBorders>
              <w:top w:val="single" w:sz="4" w:space="0" w:color="293F5B"/>
              <w:bottom w:val="single" w:sz="4" w:space="0" w:color="293F5B"/>
            </w:tcBorders>
          </w:tcPr>
          <w:p w14:paraId="5832BEC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DCDE13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E44C2C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EF246E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F970599" w14:textId="77777777" w:rsidR="00BB2CB4" w:rsidRPr="00222C32" w:rsidRDefault="000674DA">
            <w:pPr>
              <w:pStyle w:val="MeasureTableDataRightAlignedwith2ptsspacing"/>
              <w:keepNext/>
            </w:pPr>
            <w:r w:rsidRPr="00222C32">
              <w:t>-</w:t>
            </w:r>
          </w:p>
        </w:tc>
      </w:tr>
      <w:tr w:rsidR="00BB2CB4" w:rsidRPr="00222C32" w14:paraId="398D33D0" w14:textId="77777777" w:rsidTr="00825163">
        <w:tc>
          <w:tcPr>
            <w:tcW w:w="2501" w:type="dxa"/>
            <w:tcBorders>
              <w:top w:val="single" w:sz="4" w:space="0" w:color="293F5B"/>
              <w:bottom w:val="single" w:sz="4" w:space="0" w:color="293F5B"/>
            </w:tcBorders>
          </w:tcPr>
          <w:p w14:paraId="2392F7CE"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8394E6F"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2982E5CC" w14:textId="77777777" w:rsidR="00BB2CB4" w:rsidRPr="00222C32" w:rsidRDefault="000674DA">
            <w:pPr>
              <w:pStyle w:val="Totaldatarowrightaligned"/>
              <w:keepNext/>
            </w:pPr>
            <w:r w:rsidRPr="00222C32">
              <w:t>2.8</w:t>
            </w:r>
          </w:p>
        </w:tc>
        <w:tc>
          <w:tcPr>
            <w:tcW w:w="1044" w:type="dxa"/>
            <w:tcBorders>
              <w:top w:val="single" w:sz="4" w:space="0" w:color="293F5B"/>
              <w:bottom w:val="single" w:sz="4" w:space="0" w:color="293F5B"/>
            </w:tcBorders>
          </w:tcPr>
          <w:p w14:paraId="1DB6850C" w14:textId="77777777" w:rsidR="00BB2CB4" w:rsidRPr="00222C32" w:rsidRDefault="000674DA">
            <w:pPr>
              <w:pStyle w:val="Totaldatarowrightaligned"/>
              <w:keepNext/>
            </w:pPr>
            <w:r w:rsidRPr="00222C32">
              <w:t>14.3</w:t>
            </w:r>
          </w:p>
        </w:tc>
        <w:tc>
          <w:tcPr>
            <w:tcW w:w="1044" w:type="dxa"/>
            <w:tcBorders>
              <w:top w:val="single" w:sz="4" w:space="0" w:color="293F5B"/>
              <w:bottom w:val="single" w:sz="4" w:space="0" w:color="293F5B"/>
            </w:tcBorders>
          </w:tcPr>
          <w:p w14:paraId="7E1AF133" w14:textId="77777777" w:rsidR="00BB2CB4" w:rsidRPr="00222C32" w:rsidRDefault="000674DA">
            <w:pPr>
              <w:pStyle w:val="Totaldatarowrightaligned"/>
              <w:keepNext/>
            </w:pPr>
            <w:r w:rsidRPr="00222C32">
              <w:t>13.1</w:t>
            </w:r>
          </w:p>
        </w:tc>
        <w:tc>
          <w:tcPr>
            <w:tcW w:w="1044" w:type="dxa"/>
            <w:tcBorders>
              <w:top w:val="single" w:sz="4" w:space="0" w:color="293F5B"/>
              <w:bottom w:val="single" w:sz="4" w:space="0" w:color="293F5B"/>
            </w:tcBorders>
          </w:tcPr>
          <w:p w14:paraId="6AA43B8B" w14:textId="77777777" w:rsidR="00BB2CB4" w:rsidRPr="00222C32" w:rsidRDefault="000674DA">
            <w:pPr>
              <w:pStyle w:val="Totaldatarowrightaligned"/>
              <w:keepNext/>
            </w:pPr>
            <w:r w:rsidRPr="00222C32">
              <w:t>11.8</w:t>
            </w:r>
          </w:p>
        </w:tc>
      </w:tr>
      <w:tr w:rsidR="00BB2CB4" w:rsidRPr="00222C32" w14:paraId="0FDCEBF7" w14:textId="77777777" w:rsidTr="00825163">
        <w:tc>
          <w:tcPr>
            <w:tcW w:w="2501" w:type="dxa"/>
            <w:tcBorders>
              <w:top w:val="single" w:sz="4" w:space="0" w:color="293F5B"/>
              <w:bottom w:val="nil"/>
            </w:tcBorders>
          </w:tcPr>
          <w:p w14:paraId="7909971D"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7FF72A98" w14:textId="77777777" w:rsidR="00BB2CB4" w:rsidRPr="00222C32" w:rsidRDefault="00BB2CB4">
            <w:pPr>
              <w:pStyle w:val="AgencyName"/>
              <w:keepNext/>
            </w:pPr>
          </w:p>
        </w:tc>
        <w:tc>
          <w:tcPr>
            <w:tcW w:w="1044" w:type="dxa"/>
            <w:tcBorders>
              <w:top w:val="single" w:sz="4" w:space="0" w:color="293F5B"/>
              <w:bottom w:val="nil"/>
            </w:tcBorders>
          </w:tcPr>
          <w:p w14:paraId="4829FB2F" w14:textId="77777777" w:rsidR="00BB2CB4" w:rsidRPr="00222C32" w:rsidRDefault="00BB2CB4">
            <w:pPr>
              <w:pStyle w:val="AgencyName"/>
              <w:keepNext/>
            </w:pPr>
          </w:p>
        </w:tc>
        <w:tc>
          <w:tcPr>
            <w:tcW w:w="1044" w:type="dxa"/>
            <w:tcBorders>
              <w:top w:val="single" w:sz="4" w:space="0" w:color="293F5B"/>
              <w:bottom w:val="nil"/>
            </w:tcBorders>
          </w:tcPr>
          <w:p w14:paraId="0D961E8E" w14:textId="77777777" w:rsidR="00BB2CB4" w:rsidRPr="00222C32" w:rsidRDefault="00BB2CB4">
            <w:pPr>
              <w:pStyle w:val="AgencyName"/>
              <w:keepNext/>
            </w:pPr>
          </w:p>
        </w:tc>
        <w:tc>
          <w:tcPr>
            <w:tcW w:w="1044" w:type="dxa"/>
            <w:tcBorders>
              <w:top w:val="single" w:sz="4" w:space="0" w:color="293F5B"/>
              <w:bottom w:val="nil"/>
            </w:tcBorders>
          </w:tcPr>
          <w:p w14:paraId="531EF751" w14:textId="77777777" w:rsidR="00BB2CB4" w:rsidRPr="00222C32" w:rsidRDefault="00BB2CB4">
            <w:pPr>
              <w:pStyle w:val="AgencyName"/>
              <w:keepNext/>
            </w:pPr>
          </w:p>
        </w:tc>
        <w:tc>
          <w:tcPr>
            <w:tcW w:w="1044" w:type="dxa"/>
            <w:tcBorders>
              <w:top w:val="single" w:sz="4" w:space="0" w:color="293F5B"/>
              <w:bottom w:val="nil"/>
            </w:tcBorders>
          </w:tcPr>
          <w:p w14:paraId="6602AE13" w14:textId="77777777" w:rsidR="00BB2CB4" w:rsidRPr="00222C32" w:rsidRDefault="00BB2CB4">
            <w:pPr>
              <w:pStyle w:val="AgencyName"/>
              <w:keepNext/>
            </w:pPr>
          </w:p>
        </w:tc>
      </w:tr>
      <w:tr w:rsidR="00BB2CB4" w:rsidRPr="00222C32" w14:paraId="3B83F2B0" w14:textId="77777777" w:rsidTr="00825163">
        <w:tc>
          <w:tcPr>
            <w:tcW w:w="2501" w:type="dxa"/>
            <w:tcBorders>
              <w:top w:val="nil"/>
              <w:bottom w:val="single" w:sz="4" w:space="0" w:color="293F5B"/>
            </w:tcBorders>
          </w:tcPr>
          <w:p w14:paraId="29552D23" w14:textId="77777777" w:rsidR="00BB2CB4" w:rsidRPr="00222C32" w:rsidRDefault="000674DA">
            <w:pPr>
              <w:pStyle w:val="AgencyNamewith2ptsspacing"/>
              <w:keepNext/>
            </w:pPr>
            <w:r w:rsidRPr="00222C32">
              <w:t>Federal Court of Australia</w:t>
            </w:r>
          </w:p>
        </w:tc>
        <w:tc>
          <w:tcPr>
            <w:tcW w:w="1044" w:type="dxa"/>
            <w:tcBorders>
              <w:top w:val="nil"/>
              <w:bottom w:val="single" w:sz="4" w:space="0" w:color="293F5B"/>
            </w:tcBorders>
          </w:tcPr>
          <w:p w14:paraId="43B1595A"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05BDB009" w14:textId="77777777" w:rsidR="00BB2CB4" w:rsidRPr="00222C32" w:rsidRDefault="000674DA">
            <w:pPr>
              <w:pStyle w:val="Measuretabledatarightaligneditalics"/>
              <w:keepNext/>
            </w:pPr>
            <w:r w:rsidRPr="00222C32">
              <w:t>3.2</w:t>
            </w:r>
          </w:p>
        </w:tc>
        <w:tc>
          <w:tcPr>
            <w:tcW w:w="1044" w:type="dxa"/>
            <w:tcBorders>
              <w:top w:val="nil"/>
              <w:bottom w:val="single" w:sz="4" w:space="0" w:color="293F5B"/>
            </w:tcBorders>
          </w:tcPr>
          <w:p w14:paraId="5916F0AE" w14:textId="77777777" w:rsidR="00BB2CB4" w:rsidRPr="00222C32" w:rsidRDefault="000674DA">
            <w:pPr>
              <w:pStyle w:val="Measuretabledatarightaligneditalics"/>
              <w:keepNext/>
            </w:pPr>
            <w:r w:rsidRPr="00222C32">
              <w:t>5.8</w:t>
            </w:r>
          </w:p>
        </w:tc>
        <w:tc>
          <w:tcPr>
            <w:tcW w:w="1044" w:type="dxa"/>
            <w:tcBorders>
              <w:top w:val="nil"/>
              <w:bottom w:val="single" w:sz="4" w:space="0" w:color="293F5B"/>
            </w:tcBorders>
          </w:tcPr>
          <w:p w14:paraId="601C31E1" w14:textId="77777777" w:rsidR="00BB2CB4" w:rsidRPr="00222C32" w:rsidRDefault="000674DA">
            <w:pPr>
              <w:pStyle w:val="Measuretabledatarightaligneditalics"/>
              <w:keepNext/>
            </w:pPr>
            <w:r w:rsidRPr="00222C32">
              <w:t>6.1</w:t>
            </w:r>
          </w:p>
        </w:tc>
        <w:tc>
          <w:tcPr>
            <w:tcW w:w="1044" w:type="dxa"/>
            <w:tcBorders>
              <w:top w:val="nil"/>
              <w:bottom w:val="single" w:sz="4" w:space="0" w:color="293F5B"/>
            </w:tcBorders>
          </w:tcPr>
          <w:p w14:paraId="34B26971" w14:textId="77777777" w:rsidR="00BB2CB4" w:rsidRPr="00222C32" w:rsidRDefault="000674DA">
            <w:pPr>
              <w:pStyle w:val="Measuretabledatarightaligneditalics"/>
              <w:keepNext/>
            </w:pPr>
            <w:r w:rsidRPr="00222C32">
              <w:t>6.4</w:t>
            </w:r>
          </w:p>
        </w:tc>
      </w:tr>
    </w:tbl>
    <w:p w14:paraId="25BE2515" w14:textId="77777777" w:rsidR="00241CF0" w:rsidRDefault="00241CF0" w:rsidP="00241CF0">
      <w:pPr>
        <w:pStyle w:val="SingleParagraph"/>
      </w:pPr>
    </w:p>
    <w:p w14:paraId="79C221E4" w14:textId="77777777" w:rsidR="00BB2CB4" w:rsidRDefault="000674DA">
      <w:pPr>
        <w:pStyle w:val="Normal2"/>
      </w:pPr>
      <w:r>
        <w:t>The Government will provide $42.0 million over four years from 2025–‍26 to develop and implement competition reforms. Additional National Competition Policy reforms for development include:</w:t>
      </w:r>
    </w:p>
    <w:p w14:paraId="279B0E08" w14:textId="77777777" w:rsidR="00BB2CB4" w:rsidRDefault="000674DA">
      <w:pPr>
        <w:pStyle w:val="Bullet"/>
      </w:pPr>
      <w:r>
        <w:t>expanding right to repair to certain types of agricultural machinery</w:t>
      </w:r>
    </w:p>
    <w:p w14:paraId="02761975" w14:textId="77777777" w:rsidR="00BB2CB4" w:rsidRDefault="000674DA">
      <w:pPr>
        <w:pStyle w:val="Bullet"/>
      </w:pPr>
      <w:r>
        <w:t>undertaking occupational licencing reforms to support a single national market for workers</w:t>
      </w:r>
    </w:p>
    <w:p w14:paraId="07BB5B19" w14:textId="77777777" w:rsidR="00BB2CB4" w:rsidRDefault="000674DA">
      <w:pPr>
        <w:pStyle w:val="Bullet"/>
      </w:pPr>
      <w:r>
        <w:t>delivering a single market for goods, with a focus on building and construction, waste and recycled products, household electrical consumer products and food standards</w:t>
      </w:r>
    </w:p>
    <w:p w14:paraId="39A28D66" w14:textId="77777777" w:rsidR="00BB2CB4" w:rsidRDefault="000674DA">
      <w:pPr>
        <w:pStyle w:val="Bullet"/>
      </w:pPr>
      <w:r>
        <w:t>supporting heavy vehicle productivity reforms</w:t>
      </w:r>
    </w:p>
    <w:p w14:paraId="2C175F2F" w14:textId="77777777" w:rsidR="00BB2CB4" w:rsidRDefault="000674DA">
      <w:pPr>
        <w:pStyle w:val="Bullet"/>
      </w:pPr>
      <w:r>
        <w:t>expanding the scope of practice for health professionals</w:t>
      </w:r>
    </w:p>
    <w:p w14:paraId="17AB502A" w14:textId="77777777" w:rsidR="00BB2CB4" w:rsidRDefault="000674DA">
      <w:pPr>
        <w:pStyle w:val="Bullet"/>
      </w:pPr>
      <w:r>
        <w:t>developing a national approach to worker screening in the care and support economy.</w:t>
      </w:r>
    </w:p>
    <w:p w14:paraId="222F16AE" w14:textId="77777777" w:rsidR="00BB2CB4" w:rsidRDefault="000674DA">
      <w:pPr>
        <w:pStyle w:val="Normal2"/>
      </w:pPr>
      <w:r>
        <w:t>Funding includes:</w:t>
      </w:r>
    </w:p>
    <w:p w14:paraId="0385C644" w14:textId="77777777" w:rsidR="00BB2CB4" w:rsidRDefault="000674DA">
      <w:pPr>
        <w:pStyle w:val="Bullet"/>
      </w:pPr>
      <w:r>
        <w:t>$20.9 million over four years from 2025–‍26 (and $6.3 million per year ongoing) for the Federal Court of Australia to support Australian Competition Tribunal reviews of the Australian Competition and Consumer Commission (ACCC) merger decisions as part of mandatory mergers and acquisition reforms commencing 1 January 2026</w:t>
      </w:r>
    </w:p>
    <w:p w14:paraId="3E13C2E5" w14:textId="77777777" w:rsidR="00BB2CB4" w:rsidRDefault="000674DA">
      <w:pPr>
        <w:pStyle w:val="Bullet"/>
      </w:pPr>
      <w:r>
        <w:t>$16.0 million over four years from 2025–‍26 for the Treasury to implement and administer new and existing elements of National Competition Policy reforms, including extending the right to repair reforms to agricultural machinery, delivering a single national market for workers and goods, non‑compete clauses and other restraints in employment and for the development of future reforms</w:t>
      </w:r>
    </w:p>
    <w:p w14:paraId="17289AC5" w14:textId="77777777" w:rsidR="00BB2CB4" w:rsidRDefault="000674DA">
      <w:pPr>
        <w:pStyle w:val="Bullet"/>
      </w:pPr>
      <w:r>
        <w:t>$5.1 million over three years from 2026–‍27 (and $1.8 million per year from 2029–‍30 to 2034–‍35) for the National Competition Council to independently monitor Commonwealth, state and territory progress in implementing reforms.</w:t>
      </w:r>
    </w:p>
    <w:p w14:paraId="0BC6274D" w14:textId="77777777" w:rsidR="00BB2CB4" w:rsidRDefault="000674DA">
      <w:pPr>
        <w:pStyle w:val="Normal2"/>
      </w:pPr>
      <w:r w:rsidRPr="69C11E82">
        <w:rPr>
          <w:lang w:val="en-US"/>
        </w:rPr>
        <w:lastRenderedPageBreak/>
        <w:t xml:space="preserve">The Government will also amend the </w:t>
      </w:r>
      <w:r w:rsidRPr="69C11E82">
        <w:rPr>
          <w:i/>
          <w:lang w:val="en-US"/>
        </w:rPr>
        <w:t>Fair Work Act 2009</w:t>
      </w:r>
      <w:r w:rsidRPr="69C11E82">
        <w:rPr>
          <w:lang w:val="en-US"/>
        </w:rPr>
        <w:t xml:space="preserve"> and the </w:t>
      </w:r>
      <w:r w:rsidRPr="69C11E82">
        <w:rPr>
          <w:i/>
          <w:lang w:val="en-US"/>
        </w:rPr>
        <w:t>Competition and Consumer Act 2010</w:t>
      </w:r>
      <w:r w:rsidRPr="69C11E82">
        <w:rPr>
          <w:lang w:val="en-US"/>
        </w:rPr>
        <w:t xml:space="preserve"> to ban non‑compete clauses for employees earning below the high income threshold, as well as no‑poach and wage‑fixing agreements between businesses, effective from 1 January 2027.</w:t>
      </w:r>
    </w:p>
    <w:p w14:paraId="4BDE5D22" w14:textId="2A54E8FE" w:rsidR="00BB2CB4" w:rsidRDefault="000674DA">
      <w:pPr>
        <w:pStyle w:val="Normal2"/>
      </w:pPr>
      <w:r w:rsidRPr="69C11E82">
        <w:rPr>
          <w:lang w:val="en-US"/>
        </w:rPr>
        <w:t>The Department of Finance, the Fair Work Ombudsman and the ACCC will partially meet the cost of this measure from within existing resources. Costs relating to the Australian Competition Tribunal will be met through cost recovery.</w:t>
      </w:r>
    </w:p>
    <w:p w14:paraId="2CA7C8FB" w14:textId="77777777" w:rsidR="00BB2CB4" w:rsidRDefault="000674DA">
      <w:pPr>
        <w:pStyle w:val="Normal2"/>
      </w:pPr>
      <w:r w:rsidRPr="69C11E82">
        <w:rPr>
          <w:lang w:val="en-US"/>
        </w:rPr>
        <w:t xml:space="preserve">This measure builds on the 2024–‍25 Budget measure titled </w:t>
      </w:r>
      <w:r w:rsidRPr="69C11E82">
        <w:rPr>
          <w:i/>
          <w:lang w:val="en-US"/>
        </w:rPr>
        <w:t>Competition Reform</w:t>
      </w:r>
      <w:r w:rsidRPr="69C11E82">
        <w:rPr>
          <w:lang w:val="en-US"/>
        </w:rPr>
        <w:t xml:space="preserve"> and the 2024–‍25 MYEFO measure titled </w:t>
      </w:r>
      <w:r w:rsidRPr="69C11E82">
        <w:rPr>
          <w:i/>
          <w:lang w:val="en-US"/>
        </w:rPr>
        <w:t>Revitalising National Competition Policy</w:t>
      </w:r>
      <w:r w:rsidRPr="69C11E82">
        <w:rPr>
          <w:lang w:val="en-US"/>
        </w:rPr>
        <w:t>.</w:t>
      </w:r>
    </w:p>
    <w:p w14:paraId="3BD600AD" w14:textId="77777777" w:rsidR="00BB2CB4" w:rsidRDefault="000674DA">
      <w:pPr>
        <w:pStyle w:val="MeasureTitle"/>
      </w:pPr>
      <w:r>
        <w:t>Housing Australia Future Fund Round 3</w:t>
      </w:r>
    </w:p>
    <w:p w14:paraId="1BE4CF3B"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8986B7C" w14:textId="77777777" w:rsidTr="00825163">
        <w:tc>
          <w:tcPr>
            <w:tcW w:w="2501" w:type="dxa"/>
            <w:tcBorders>
              <w:top w:val="single" w:sz="4" w:space="0" w:color="293F5B"/>
              <w:bottom w:val="single" w:sz="4" w:space="0" w:color="293F5B"/>
            </w:tcBorders>
          </w:tcPr>
          <w:p w14:paraId="33EED0DE"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BCFA498"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17EA5428"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13AB3C9B"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2B40B10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BD3D4D2" w14:textId="77777777" w:rsidR="00BB2CB4" w:rsidRPr="00222C32" w:rsidRDefault="000674DA">
            <w:pPr>
              <w:pStyle w:val="MeasureTableYearHeadings"/>
              <w:keepNext/>
            </w:pPr>
            <w:r w:rsidRPr="00222C32">
              <w:t>2028-29</w:t>
            </w:r>
          </w:p>
        </w:tc>
      </w:tr>
      <w:tr w:rsidR="00BB2CB4" w:rsidRPr="00222C32" w14:paraId="6AF9D011" w14:textId="77777777" w:rsidTr="00825163">
        <w:tc>
          <w:tcPr>
            <w:tcW w:w="2501" w:type="dxa"/>
            <w:tcBorders>
              <w:top w:val="single" w:sz="4" w:space="0" w:color="293F5B"/>
              <w:bottom w:val="single" w:sz="4" w:space="0" w:color="293F5B"/>
            </w:tcBorders>
          </w:tcPr>
          <w:p w14:paraId="4A603CCD"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69096C9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998FC0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D09AACD" w14:textId="77777777" w:rsidR="00BB2CB4" w:rsidRPr="00222C32" w:rsidRDefault="000674DA">
            <w:pPr>
              <w:pStyle w:val="MeasureTableDataRightAlignedwith2ptsspacing"/>
              <w:keepNext/>
            </w:pPr>
            <w:r w:rsidRPr="00222C32">
              <w:t>3.0</w:t>
            </w:r>
          </w:p>
        </w:tc>
        <w:tc>
          <w:tcPr>
            <w:tcW w:w="1044" w:type="dxa"/>
            <w:tcBorders>
              <w:top w:val="single" w:sz="4" w:space="0" w:color="293F5B"/>
              <w:bottom w:val="single" w:sz="4" w:space="0" w:color="293F5B"/>
            </w:tcBorders>
          </w:tcPr>
          <w:p w14:paraId="26EA69E5" w14:textId="77777777" w:rsidR="00BB2CB4" w:rsidRPr="00222C32" w:rsidRDefault="000674DA">
            <w:pPr>
              <w:pStyle w:val="MeasureTableDataRightAlignedwith2ptsspacing"/>
              <w:keepNext/>
            </w:pPr>
            <w:r w:rsidRPr="00222C32">
              <w:t>3.0</w:t>
            </w:r>
          </w:p>
        </w:tc>
        <w:tc>
          <w:tcPr>
            <w:tcW w:w="1044" w:type="dxa"/>
            <w:tcBorders>
              <w:top w:val="single" w:sz="4" w:space="0" w:color="293F5B"/>
              <w:bottom w:val="single" w:sz="4" w:space="0" w:color="293F5B"/>
            </w:tcBorders>
          </w:tcPr>
          <w:p w14:paraId="09ED2D91" w14:textId="77777777" w:rsidR="00BB2CB4" w:rsidRPr="00222C32" w:rsidRDefault="000674DA">
            <w:pPr>
              <w:pStyle w:val="MeasureTableDataRightAlignedwith2ptsspacing"/>
              <w:keepNext/>
            </w:pPr>
            <w:r w:rsidRPr="00222C32">
              <w:t>-</w:t>
            </w:r>
          </w:p>
        </w:tc>
      </w:tr>
      <w:tr w:rsidR="00BB2CB4" w:rsidRPr="00222C32" w14:paraId="3412315D" w14:textId="77777777" w:rsidTr="00825163">
        <w:tc>
          <w:tcPr>
            <w:tcW w:w="2501" w:type="dxa"/>
            <w:tcBorders>
              <w:top w:val="single" w:sz="4" w:space="0" w:color="293F5B"/>
              <w:bottom w:val="single" w:sz="4" w:space="0" w:color="293F5B"/>
            </w:tcBorders>
          </w:tcPr>
          <w:p w14:paraId="0CB00574" w14:textId="77777777" w:rsidR="00BB2CB4" w:rsidRPr="00222C32" w:rsidRDefault="000674DA">
            <w:pPr>
              <w:pStyle w:val="MeasureTableHeadingleftalignedwith2ptsspacing"/>
              <w:keepNext/>
            </w:pPr>
            <w:r w:rsidRPr="00222C32">
              <w:t>Housing Australia</w:t>
            </w:r>
          </w:p>
        </w:tc>
        <w:tc>
          <w:tcPr>
            <w:tcW w:w="1044" w:type="dxa"/>
            <w:tcBorders>
              <w:top w:val="single" w:sz="4" w:space="0" w:color="293F5B"/>
              <w:bottom w:val="single" w:sz="4" w:space="0" w:color="293F5B"/>
            </w:tcBorders>
          </w:tcPr>
          <w:p w14:paraId="57CDEE8F"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245BF5D" w14:textId="77777777" w:rsidR="00BB2CB4" w:rsidRPr="00222C32" w:rsidRDefault="000674DA">
            <w:pPr>
              <w:pStyle w:val="MeasureTableDataRightAlignedwith2ptsspacing"/>
              <w:keepNext/>
            </w:pPr>
            <w:r w:rsidRPr="00222C32">
              <w:t>-422.2</w:t>
            </w:r>
          </w:p>
        </w:tc>
        <w:tc>
          <w:tcPr>
            <w:tcW w:w="1044" w:type="dxa"/>
            <w:tcBorders>
              <w:top w:val="single" w:sz="4" w:space="0" w:color="293F5B"/>
              <w:bottom w:val="single" w:sz="4" w:space="0" w:color="293F5B"/>
            </w:tcBorders>
          </w:tcPr>
          <w:p w14:paraId="18CB1D57" w14:textId="77777777" w:rsidR="00BB2CB4" w:rsidRPr="00222C32" w:rsidRDefault="000674DA">
            <w:pPr>
              <w:pStyle w:val="MeasureTableDataRightAlignedwith2ptsspacing"/>
              <w:keepNext/>
            </w:pPr>
            <w:r w:rsidRPr="00222C32">
              <w:t>-273.6</w:t>
            </w:r>
          </w:p>
        </w:tc>
        <w:tc>
          <w:tcPr>
            <w:tcW w:w="1044" w:type="dxa"/>
            <w:tcBorders>
              <w:top w:val="single" w:sz="4" w:space="0" w:color="293F5B"/>
              <w:bottom w:val="single" w:sz="4" w:space="0" w:color="293F5B"/>
            </w:tcBorders>
          </w:tcPr>
          <w:p w14:paraId="4331622E" w14:textId="77777777" w:rsidR="00BB2CB4" w:rsidRPr="00222C32" w:rsidRDefault="000674DA">
            <w:pPr>
              <w:pStyle w:val="MeasureTableDataRightAlignedwith2ptsspacing"/>
              <w:keepNext/>
            </w:pPr>
            <w:r w:rsidRPr="00222C32">
              <w:t>-203.4</w:t>
            </w:r>
          </w:p>
        </w:tc>
        <w:tc>
          <w:tcPr>
            <w:tcW w:w="1044" w:type="dxa"/>
            <w:tcBorders>
              <w:top w:val="single" w:sz="4" w:space="0" w:color="293F5B"/>
              <w:bottom w:val="single" w:sz="4" w:space="0" w:color="293F5B"/>
            </w:tcBorders>
          </w:tcPr>
          <w:p w14:paraId="589054CD" w14:textId="77777777" w:rsidR="00BB2CB4" w:rsidRPr="00222C32" w:rsidRDefault="000674DA">
            <w:pPr>
              <w:pStyle w:val="MeasureTableDataRightAlignedwith2ptsspacing"/>
              <w:keepNext/>
            </w:pPr>
            <w:r w:rsidRPr="00222C32">
              <w:t>150.6</w:t>
            </w:r>
          </w:p>
        </w:tc>
      </w:tr>
      <w:tr w:rsidR="00BB2CB4" w:rsidRPr="00222C32" w14:paraId="05698B5D" w14:textId="77777777" w:rsidTr="00825163">
        <w:tc>
          <w:tcPr>
            <w:tcW w:w="2501" w:type="dxa"/>
            <w:tcBorders>
              <w:top w:val="single" w:sz="4" w:space="0" w:color="293F5B"/>
              <w:bottom w:val="single" w:sz="4" w:space="0" w:color="293F5B"/>
            </w:tcBorders>
          </w:tcPr>
          <w:p w14:paraId="38FC7E0C"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97C7437"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4683445C" w14:textId="77777777" w:rsidR="00BB2CB4" w:rsidRPr="00222C32" w:rsidRDefault="000674DA">
            <w:pPr>
              <w:pStyle w:val="Totaldatarowrightaligned"/>
              <w:keepNext/>
            </w:pPr>
            <w:r w:rsidRPr="00222C32">
              <w:t>-422.2</w:t>
            </w:r>
          </w:p>
        </w:tc>
        <w:tc>
          <w:tcPr>
            <w:tcW w:w="1044" w:type="dxa"/>
            <w:tcBorders>
              <w:top w:val="single" w:sz="4" w:space="0" w:color="293F5B"/>
              <w:bottom w:val="single" w:sz="4" w:space="0" w:color="293F5B"/>
            </w:tcBorders>
          </w:tcPr>
          <w:p w14:paraId="34E26A38" w14:textId="77777777" w:rsidR="00BB2CB4" w:rsidRPr="00222C32" w:rsidRDefault="000674DA">
            <w:pPr>
              <w:pStyle w:val="Totaldatarowrightaligned"/>
              <w:keepNext/>
            </w:pPr>
            <w:r w:rsidRPr="00222C32">
              <w:t>-270.6</w:t>
            </w:r>
          </w:p>
        </w:tc>
        <w:tc>
          <w:tcPr>
            <w:tcW w:w="1044" w:type="dxa"/>
            <w:tcBorders>
              <w:top w:val="single" w:sz="4" w:space="0" w:color="293F5B"/>
              <w:bottom w:val="single" w:sz="4" w:space="0" w:color="293F5B"/>
            </w:tcBorders>
          </w:tcPr>
          <w:p w14:paraId="6D11B64A" w14:textId="77777777" w:rsidR="00BB2CB4" w:rsidRPr="00222C32" w:rsidRDefault="000674DA">
            <w:pPr>
              <w:pStyle w:val="Totaldatarowrightaligned"/>
              <w:keepNext/>
            </w:pPr>
            <w:r w:rsidRPr="00222C32">
              <w:t>-200.4</w:t>
            </w:r>
          </w:p>
        </w:tc>
        <w:tc>
          <w:tcPr>
            <w:tcW w:w="1044" w:type="dxa"/>
            <w:tcBorders>
              <w:top w:val="single" w:sz="4" w:space="0" w:color="293F5B"/>
              <w:bottom w:val="single" w:sz="4" w:space="0" w:color="293F5B"/>
            </w:tcBorders>
          </w:tcPr>
          <w:p w14:paraId="5B8B2DD1" w14:textId="77777777" w:rsidR="00BB2CB4" w:rsidRPr="00222C32" w:rsidRDefault="000674DA">
            <w:pPr>
              <w:pStyle w:val="Totaldatarowrightaligned"/>
              <w:keepNext/>
            </w:pPr>
            <w:r w:rsidRPr="00222C32">
              <w:t>150.6</w:t>
            </w:r>
          </w:p>
        </w:tc>
      </w:tr>
      <w:tr w:rsidR="00BB2CB4" w:rsidRPr="00222C32" w14:paraId="6EF3FEB7" w14:textId="77777777" w:rsidTr="00825163">
        <w:tc>
          <w:tcPr>
            <w:tcW w:w="2501" w:type="dxa"/>
            <w:tcBorders>
              <w:top w:val="single" w:sz="4" w:space="0" w:color="293F5B"/>
              <w:bottom w:val="nil"/>
            </w:tcBorders>
          </w:tcPr>
          <w:p w14:paraId="3D14197F"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722E525" w14:textId="77777777" w:rsidR="00BB2CB4" w:rsidRPr="00222C32" w:rsidRDefault="00BB2CB4">
            <w:pPr>
              <w:pStyle w:val="AgencyName"/>
              <w:keepNext/>
            </w:pPr>
          </w:p>
        </w:tc>
        <w:tc>
          <w:tcPr>
            <w:tcW w:w="1044" w:type="dxa"/>
            <w:tcBorders>
              <w:top w:val="single" w:sz="4" w:space="0" w:color="293F5B"/>
              <w:bottom w:val="nil"/>
            </w:tcBorders>
          </w:tcPr>
          <w:p w14:paraId="20BD8546" w14:textId="77777777" w:rsidR="00BB2CB4" w:rsidRPr="00222C32" w:rsidRDefault="00BB2CB4">
            <w:pPr>
              <w:pStyle w:val="AgencyName"/>
              <w:keepNext/>
            </w:pPr>
          </w:p>
        </w:tc>
        <w:tc>
          <w:tcPr>
            <w:tcW w:w="1044" w:type="dxa"/>
            <w:tcBorders>
              <w:top w:val="single" w:sz="4" w:space="0" w:color="293F5B"/>
              <w:bottom w:val="nil"/>
            </w:tcBorders>
          </w:tcPr>
          <w:p w14:paraId="21AE9730" w14:textId="77777777" w:rsidR="00BB2CB4" w:rsidRPr="00222C32" w:rsidRDefault="00BB2CB4">
            <w:pPr>
              <w:pStyle w:val="AgencyName"/>
              <w:keepNext/>
            </w:pPr>
          </w:p>
        </w:tc>
        <w:tc>
          <w:tcPr>
            <w:tcW w:w="1044" w:type="dxa"/>
            <w:tcBorders>
              <w:top w:val="single" w:sz="4" w:space="0" w:color="293F5B"/>
              <w:bottom w:val="nil"/>
            </w:tcBorders>
          </w:tcPr>
          <w:p w14:paraId="41EACE3A" w14:textId="77777777" w:rsidR="00BB2CB4" w:rsidRPr="00222C32" w:rsidRDefault="00BB2CB4">
            <w:pPr>
              <w:pStyle w:val="AgencyName"/>
              <w:keepNext/>
            </w:pPr>
          </w:p>
        </w:tc>
        <w:tc>
          <w:tcPr>
            <w:tcW w:w="1044" w:type="dxa"/>
            <w:tcBorders>
              <w:top w:val="single" w:sz="4" w:space="0" w:color="293F5B"/>
              <w:bottom w:val="nil"/>
            </w:tcBorders>
          </w:tcPr>
          <w:p w14:paraId="67F64CFA" w14:textId="77777777" w:rsidR="00BB2CB4" w:rsidRPr="00222C32" w:rsidRDefault="00BB2CB4">
            <w:pPr>
              <w:pStyle w:val="AgencyName"/>
              <w:keepNext/>
            </w:pPr>
          </w:p>
        </w:tc>
      </w:tr>
      <w:tr w:rsidR="00BB2CB4" w:rsidRPr="00222C32" w14:paraId="11A2CBA6" w14:textId="77777777" w:rsidTr="00825163">
        <w:tc>
          <w:tcPr>
            <w:tcW w:w="2501" w:type="dxa"/>
            <w:tcBorders>
              <w:top w:val="nil"/>
              <w:bottom w:val="single" w:sz="4" w:space="0" w:color="293F5B"/>
            </w:tcBorders>
          </w:tcPr>
          <w:p w14:paraId="217FA1E7" w14:textId="77777777" w:rsidR="00BB2CB4" w:rsidRPr="00222C32" w:rsidRDefault="000674DA">
            <w:pPr>
              <w:pStyle w:val="AgencyNamewith2ptsspacing"/>
              <w:keepNext/>
            </w:pPr>
            <w:r w:rsidRPr="00222C32">
              <w:t>Housing Australia</w:t>
            </w:r>
          </w:p>
        </w:tc>
        <w:tc>
          <w:tcPr>
            <w:tcW w:w="1044" w:type="dxa"/>
            <w:tcBorders>
              <w:top w:val="nil"/>
              <w:bottom w:val="single" w:sz="4" w:space="0" w:color="293F5B"/>
            </w:tcBorders>
          </w:tcPr>
          <w:p w14:paraId="3872D24A"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7FA43A4" w14:textId="77777777" w:rsidR="00BB2CB4" w:rsidRPr="00222C32" w:rsidRDefault="000674DA">
            <w:pPr>
              <w:pStyle w:val="Measuretabledatarightaligneditalics"/>
              <w:keepNext/>
            </w:pPr>
            <w:r w:rsidRPr="00222C32">
              <w:t>10.5</w:t>
            </w:r>
          </w:p>
        </w:tc>
        <w:tc>
          <w:tcPr>
            <w:tcW w:w="1044" w:type="dxa"/>
            <w:tcBorders>
              <w:top w:val="nil"/>
              <w:bottom w:val="single" w:sz="4" w:space="0" w:color="293F5B"/>
            </w:tcBorders>
          </w:tcPr>
          <w:p w14:paraId="4701AD7D" w14:textId="77777777" w:rsidR="00BB2CB4" w:rsidRPr="00222C32" w:rsidRDefault="000674DA">
            <w:pPr>
              <w:pStyle w:val="Measuretabledatarightaligneditalics"/>
              <w:keepNext/>
            </w:pPr>
            <w:r w:rsidRPr="00222C32">
              <w:t>28.0</w:t>
            </w:r>
          </w:p>
        </w:tc>
        <w:tc>
          <w:tcPr>
            <w:tcW w:w="1044" w:type="dxa"/>
            <w:tcBorders>
              <w:top w:val="nil"/>
              <w:bottom w:val="single" w:sz="4" w:space="0" w:color="293F5B"/>
            </w:tcBorders>
          </w:tcPr>
          <w:p w14:paraId="2669761E" w14:textId="77777777" w:rsidR="00BB2CB4" w:rsidRPr="00222C32" w:rsidRDefault="000674DA">
            <w:pPr>
              <w:pStyle w:val="Measuretabledatarightaligneditalics"/>
              <w:keepNext/>
            </w:pPr>
            <w:r w:rsidRPr="00222C32">
              <w:t>39.5</w:t>
            </w:r>
          </w:p>
        </w:tc>
        <w:tc>
          <w:tcPr>
            <w:tcW w:w="1044" w:type="dxa"/>
            <w:tcBorders>
              <w:top w:val="nil"/>
              <w:bottom w:val="single" w:sz="4" w:space="0" w:color="293F5B"/>
            </w:tcBorders>
          </w:tcPr>
          <w:p w14:paraId="36E53158" w14:textId="77777777" w:rsidR="00BB2CB4" w:rsidRPr="00222C32" w:rsidRDefault="000674DA">
            <w:pPr>
              <w:pStyle w:val="Measuretabledatarightaligneditalics"/>
              <w:keepNext/>
            </w:pPr>
            <w:r w:rsidRPr="00222C32">
              <w:t>48.3</w:t>
            </w:r>
          </w:p>
        </w:tc>
      </w:tr>
    </w:tbl>
    <w:p w14:paraId="602530B0" w14:textId="77777777" w:rsidR="001F40D7" w:rsidRDefault="001F40D7" w:rsidP="001F40D7">
      <w:pPr>
        <w:pStyle w:val="SingleParagraph"/>
      </w:pPr>
    </w:p>
    <w:p w14:paraId="07BB66B2" w14:textId="77777777" w:rsidR="00BB2CB4" w:rsidRDefault="000674DA">
      <w:pPr>
        <w:pStyle w:val="Normal2"/>
      </w:pPr>
      <w:r>
        <w:t>The Government will provide support to deliver more than 21,000 social and affordable homes through Round 3 of the Housing Australia Future Fund to meet its commitments to deliver 40,000 social and affordable homes from the Housing Australia Future Fund and the National Housing Accord by 30 June 2029. Funding includes:</w:t>
      </w:r>
    </w:p>
    <w:p w14:paraId="3B5F776E" w14:textId="77777777" w:rsidR="00BB2CB4" w:rsidRDefault="000674DA">
      <w:pPr>
        <w:pStyle w:val="Bullet"/>
      </w:pPr>
      <w:r>
        <w:t>an additional $2.6 billion in concessional loans to community housing providers</w:t>
      </w:r>
    </w:p>
    <w:p w14:paraId="58759CB6" w14:textId="77777777" w:rsidR="00BB2CB4" w:rsidRDefault="000674DA">
      <w:pPr>
        <w:pStyle w:val="Bullet"/>
      </w:pPr>
      <w:r>
        <w:t>reprofiling of $0.9 billion in disbursements and funding currently reflected in the forward estimates, with disbursements reinvested until they are required and payments provided to approved Housing Australia Future Fund projects in line with the delivery model</w:t>
      </w:r>
    </w:p>
    <w:p w14:paraId="3309E595" w14:textId="77777777" w:rsidR="00BB2CB4" w:rsidRDefault="000674DA">
      <w:pPr>
        <w:pStyle w:val="Bullet"/>
      </w:pPr>
      <w:r>
        <w:t>up to $3.1 billion over 15 years from 2037–‍38 to meet the cost of availability payments and supplement ongoing disbursements from the Housing Australia Future Fund.</w:t>
      </w:r>
    </w:p>
    <w:p w14:paraId="1DB95B73" w14:textId="38C760AB" w:rsidR="00BB2CB4" w:rsidRDefault="000674DA">
      <w:pPr>
        <w:pStyle w:val="Normal2"/>
      </w:pPr>
      <w:r w:rsidRPr="42F5CE43">
        <w:rPr>
          <w:lang w:val="en-US"/>
        </w:rPr>
        <w:t>The Government will increase the cap on the Commonwealth</w:t>
      </w:r>
      <w:r w:rsidR="00222C32">
        <w:rPr>
          <w:lang w:val="en-US"/>
        </w:rPr>
        <w:t>’</w:t>
      </w:r>
      <w:r w:rsidRPr="42F5CE43">
        <w:rPr>
          <w:lang w:val="en-US"/>
        </w:rPr>
        <w:t>s guarantee over Housing Australia</w:t>
      </w:r>
      <w:r w:rsidR="00222C32">
        <w:rPr>
          <w:lang w:val="en-US"/>
        </w:rPr>
        <w:t>’</w:t>
      </w:r>
      <w:r w:rsidRPr="42F5CE43">
        <w:rPr>
          <w:lang w:val="en-US"/>
        </w:rPr>
        <w:t>s commitments from $26 billion to $44 billion to support commitments for Round</w:t>
      </w:r>
      <w:r w:rsidR="001F40D7">
        <w:rPr>
          <w:lang w:val="en-US"/>
        </w:rPr>
        <w:t> </w:t>
      </w:r>
      <w:r w:rsidRPr="42F5CE43">
        <w:rPr>
          <w:lang w:val="en-US"/>
        </w:rPr>
        <w:t>3 projects.</w:t>
      </w:r>
    </w:p>
    <w:p w14:paraId="6AF607D7" w14:textId="77777777" w:rsidR="00BB2CB4" w:rsidRDefault="000674DA">
      <w:pPr>
        <w:pStyle w:val="Normal2"/>
      </w:pPr>
      <w:r w:rsidRPr="69C11E82">
        <w:rPr>
          <w:lang w:val="en-US"/>
        </w:rPr>
        <w:t>Round 3 of the Housing Australia Future Fund will provide additional support for First Nations communities through:</w:t>
      </w:r>
    </w:p>
    <w:p w14:paraId="7B97C4BA" w14:textId="77777777" w:rsidR="00BB2CB4" w:rsidRDefault="000674DA">
      <w:pPr>
        <w:pStyle w:val="Bullet"/>
      </w:pPr>
      <w:r>
        <w:t>dedicating $600.0 million in Round 3 funding and access to concessional loans to projects delivered by or in partnership with First Nations housing organisations</w:t>
      </w:r>
    </w:p>
    <w:p w14:paraId="08631D11" w14:textId="77777777" w:rsidR="00BB2CB4" w:rsidRDefault="000674DA">
      <w:pPr>
        <w:pStyle w:val="Bullet"/>
      </w:pPr>
      <w:r>
        <w:t>introducing a 10 per cent First Nations tenancy target across all social housing delivered under Round 3</w:t>
      </w:r>
    </w:p>
    <w:p w14:paraId="5D5ED4A3" w14:textId="77777777" w:rsidR="00BB2CB4" w:rsidRDefault="000674DA">
      <w:pPr>
        <w:pStyle w:val="Bullet"/>
      </w:pPr>
      <w:r>
        <w:lastRenderedPageBreak/>
        <w:t>a new First Nations concierge function within Housing Australia to support providers through the application and delivery process and help build the long‑term capacity of the community‑controlled housing sector, to be met from within existing resources.</w:t>
      </w:r>
    </w:p>
    <w:p w14:paraId="1A106BA6" w14:textId="515180E3" w:rsidR="00BB2CB4" w:rsidRDefault="000674DA">
      <w:pPr>
        <w:pStyle w:val="Normal2"/>
      </w:pPr>
      <w:r>
        <w:t>The Government will also provide $6.0 million over two years from 2026–‍27 to support the continuation of the Closing the Gap Housing Policy Partnership. The Partnership is a key forum for First Nations people</w:t>
      </w:r>
      <w:r w:rsidR="00C06AA3">
        <w:t>s</w:t>
      </w:r>
      <w:r>
        <w:t xml:space="preserve"> to have a genuine say in the design and delivery of First Nations housing services.</w:t>
      </w:r>
    </w:p>
    <w:p w14:paraId="02FE9181" w14:textId="77777777" w:rsidR="00BB2CB4" w:rsidRDefault="000674DA">
      <w:pPr>
        <w:pStyle w:val="Normal2"/>
      </w:pPr>
      <w:r w:rsidRPr="69C11E82">
        <w:rPr>
          <w:lang w:val="en-US"/>
        </w:rPr>
        <w:t>Housing Australia is expected to commence taking applications for Round 3 in January 2026.</w:t>
      </w:r>
    </w:p>
    <w:p w14:paraId="7B20BF4D" w14:textId="6ED7A86A" w:rsidR="00BB2CB4" w:rsidRDefault="000674DA">
      <w:pPr>
        <w:pStyle w:val="Normal2"/>
      </w:pPr>
      <w:r>
        <w:t xml:space="preserve">This measure builds on the 2022–‍23 October Budget measures titled </w:t>
      </w:r>
      <w:r w:rsidRPr="000674DA">
        <w:rPr>
          <w:i/>
        </w:rPr>
        <w:t>Safer and More Affordable Housing</w:t>
      </w:r>
      <w:r>
        <w:t xml:space="preserve"> and </w:t>
      </w:r>
      <w:r w:rsidRPr="000674DA">
        <w:rPr>
          <w:i/>
        </w:rPr>
        <w:t>Housing Accord</w:t>
      </w:r>
      <w:r>
        <w:t xml:space="preserve"> and the 2024–‍25 Budget measure </w:t>
      </w:r>
      <w:r w:rsidR="007974EF">
        <w:t>titled</w:t>
      </w:r>
      <w:r>
        <w:t xml:space="preserve"> </w:t>
      </w:r>
      <w:r w:rsidRPr="000674DA">
        <w:rPr>
          <w:i/>
        </w:rPr>
        <w:t>Housing Support</w:t>
      </w:r>
      <w:r>
        <w:t>.</w:t>
      </w:r>
    </w:p>
    <w:p w14:paraId="3257EB15" w14:textId="77777777" w:rsidR="00BB2CB4" w:rsidRDefault="000674DA">
      <w:pPr>
        <w:pStyle w:val="MeasureTitle"/>
      </w:pPr>
      <w:r>
        <w:t>Piloting the Investor Front Door</w:t>
      </w:r>
    </w:p>
    <w:p w14:paraId="71E243A4"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0F55C343" w14:textId="77777777" w:rsidTr="00825163">
        <w:trPr>
          <w:cantSplit/>
        </w:trPr>
        <w:tc>
          <w:tcPr>
            <w:tcW w:w="2501" w:type="dxa"/>
            <w:tcBorders>
              <w:top w:val="single" w:sz="4" w:space="0" w:color="293F5B"/>
              <w:bottom w:val="single" w:sz="4" w:space="0" w:color="293F5B"/>
            </w:tcBorders>
          </w:tcPr>
          <w:p w14:paraId="1049E191"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7D5F3C3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996AB5A"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343888B8"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77E1B955"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298FDE74" w14:textId="77777777" w:rsidR="00BB2CB4" w:rsidRPr="00222C32" w:rsidRDefault="000674DA">
            <w:pPr>
              <w:pStyle w:val="MeasureTableYearHeadings"/>
              <w:keepNext/>
            </w:pPr>
            <w:r w:rsidRPr="00222C32">
              <w:t>2028-29</w:t>
            </w:r>
          </w:p>
        </w:tc>
      </w:tr>
      <w:tr w:rsidR="00BB2CB4" w:rsidRPr="00222C32" w14:paraId="0463A36B" w14:textId="77777777" w:rsidTr="00825163">
        <w:trPr>
          <w:cantSplit/>
        </w:trPr>
        <w:tc>
          <w:tcPr>
            <w:tcW w:w="2501" w:type="dxa"/>
            <w:tcBorders>
              <w:top w:val="single" w:sz="4" w:space="0" w:color="293F5B"/>
              <w:bottom w:val="single" w:sz="4" w:space="0" w:color="293F5B"/>
            </w:tcBorders>
          </w:tcPr>
          <w:p w14:paraId="6830A0E0"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2C98B2C7"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90F4A5D" w14:textId="77777777" w:rsidR="00BB2CB4" w:rsidRPr="00222C32" w:rsidRDefault="000674DA">
            <w:pPr>
              <w:pStyle w:val="MeasureTableDataRightAlignedwith2ptsspacing"/>
              <w:keepNext/>
            </w:pPr>
            <w:r w:rsidRPr="00222C32">
              <w:t>5.8</w:t>
            </w:r>
          </w:p>
        </w:tc>
        <w:tc>
          <w:tcPr>
            <w:tcW w:w="1044" w:type="dxa"/>
            <w:tcBorders>
              <w:top w:val="single" w:sz="4" w:space="0" w:color="293F5B"/>
              <w:bottom w:val="single" w:sz="4" w:space="0" w:color="293F5B"/>
            </w:tcBorders>
          </w:tcPr>
          <w:p w14:paraId="5AA4DC54" w14:textId="77777777" w:rsidR="00BB2CB4" w:rsidRPr="00222C32" w:rsidRDefault="000674DA">
            <w:pPr>
              <w:pStyle w:val="MeasureTableDataRightAlignedwith2ptsspacing"/>
              <w:keepNext/>
            </w:pPr>
            <w:r w:rsidRPr="00222C32">
              <w:t>11.5</w:t>
            </w:r>
          </w:p>
        </w:tc>
        <w:tc>
          <w:tcPr>
            <w:tcW w:w="1044" w:type="dxa"/>
            <w:tcBorders>
              <w:top w:val="single" w:sz="4" w:space="0" w:color="293F5B"/>
              <w:bottom w:val="single" w:sz="4" w:space="0" w:color="293F5B"/>
            </w:tcBorders>
          </w:tcPr>
          <w:p w14:paraId="01A556D0"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F002A4D" w14:textId="77777777" w:rsidR="00BB2CB4" w:rsidRPr="00222C32" w:rsidRDefault="000674DA">
            <w:pPr>
              <w:pStyle w:val="MeasureTableDataRightAlignedwith2ptsspacing"/>
              <w:keepNext/>
            </w:pPr>
            <w:r w:rsidRPr="00222C32">
              <w:t>-</w:t>
            </w:r>
          </w:p>
        </w:tc>
      </w:tr>
    </w:tbl>
    <w:p w14:paraId="46910ACB" w14:textId="77777777" w:rsidR="001F40D7" w:rsidRDefault="001F40D7" w:rsidP="001F40D7">
      <w:pPr>
        <w:pStyle w:val="SingleParagraph"/>
      </w:pPr>
    </w:p>
    <w:p w14:paraId="5896DCE6" w14:textId="77777777" w:rsidR="00BB2CB4" w:rsidRDefault="000674DA">
      <w:pPr>
        <w:pStyle w:val="Normal2"/>
      </w:pPr>
      <w:r>
        <w:t>The Government will provide $17.3 million over two years from 2025–‍26 for the Investor Front Door to pilot and refine its service offering for projects of national significance.</w:t>
      </w:r>
    </w:p>
    <w:p w14:paraId="2EA53B99" w14:textId="77777777" w:rsidR="00BB2CB4" w:rsidRDefault="000674DA">
      <w:pPr>
        <w:pStyle w:val="Normal2"/>
      </w:pPr>
      <w:r>
        <w:t xml:space="preserve">This measure extends the 2024–‍25 MYEFO measure titled </w:t>
      </w:r>
      <w:r w:rsidRPr="000674DA">
        <w:rPr>
          <w:i/>
        </w:rPr>
        <w:t>Future Made in Australia –accelerating investment in Australian industries.</w:t>
      </w:r>
    </w:p>
    <w:p w14:paraId="13EC2078" w14:textId="77777777" w:rsidR="00BB2CB4" w:rsidRDefault="000674DA">
      <w:pPr>
        <w:pStyle w:val="MeasureTitle"/>
      </w:pPr>
      <w:r>
        <w:t>Support for Homebuyers</w:t>
      </w:r>
    </w:p>
    <w:p w14:paraId="64A664CC"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4F038579" w14:textId="77777777" w:rsidTr="00825163">
        <w:trPr>
          <w:cantSplit/>
        </w:trPr>
        <w:tc>
          <w:tcPr>
            <w:tcW w:w="2501" w:type="dxa"/>
            <w:tcBorders>
              <w:top w:val="single" w:sz="4" w:space="0" w:color="293F5B"/>
              <w:bottom w:val="single" w:sz="4" w:space="0" w:color="293F5B"/>
            </w:tcBorders>
          </w:tcPr>
          <w:p w14:paraId="5E75D1B4"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8FAE04C"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7B7BB1C0"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35F1367"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1782B9E"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A2DEDAA" w14:textId="77777777" w:rsidR="00BB2CB4" w:rsidRPr="00222C32" w:rsidRDefault="000674DA">
            <w:pPr>
              <w:pStyle w:val="MeasureTableYearHeadings"/>
              <w:keepNext/>
            </w:pPr>
            <w:r w:rsidRPr="00222C32">
              <w:t>2028-29</w:t>
            </w:r>
          </w:p>
        </w:tc>
      </w:tr>
      <w:tr w:rsidR="00BB2CB4" w:rsidRPr="00222C32" w14:paraId="126C3793" w14:textId="77777777" w:rsidTr="00825163">
        <w:trPr>
          <w:cantSplit/>
        </w:trPr>
        <w:tc>
          <w:tcPr>
            <w:tcW w:w="2501" w:type="dxa"/>
            <w:tcBorders>
              <w:top w:val="single" w:sz="4" w:space="0" w:color="293F5B"/>
              <w:bottom w:val="single" w:sz="4" w:space="0" w:color="293F5B"/>
            </w:tcBorders>
          </w:tcPr>
          <w:p w14:paraId="55245BEE"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6EE7A5A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7CB02F6" w14:textId="77777777" w:rsidR="00BB2CB4" w:rsidRPr="00222C32" w:rsidRDefault="000674DA">
            <w:pPr>
              <w:pStyle w:val="MeasureTableDataRightAlignedwith2ptsspacing"/>
              <w:keepNext/>
            </w:pPr>
            <w:r w:rsidRPr="00222C32">
              <w:t>13.3</w:t>
            </w:r>
          </w:p>
        </w:tc>
        <w:tc>
          <w:tcPr>
            <w:tcW w:w="1044" w:type="dxa"/>
            <w:tcBorders>
              <w:top w:val="single" w:sz="4" w:space="0" w:color="293F5B"/>
              <w:bottom w:val="single" w:sz="4" w:space="0" w:color="293F5B"/>
            </w:tcBorders>
          </w:tcPr>
          <w:p w14:paraId="523D649E" w14:textId="77777777" w:rsidR="00BB2CB4" w:rsidRPr="00222C32" w:rsidRDefault="000674DA">
            <w:pPr>
              <w:pStyle w:val="MeasureTableDataRightAlignedwith2ptsspacing"/>
              <w:keepNext/>
            </w:pPr>
            <w:r w:rsidRPr="00222C32">
              <w:t>124.8</w:t>
            </w:r>
          </w:p>
        </w:tc>
        <w:tc>
          <w:tcPr>
            <w:tcW w:w="1044" w:type="dxa"/>
            <w:tcBorders>
              <w:top w:val="single" w:sz="4" w:space="0" w:color="293F5B"/>
              <w:bottom w:val="single" w:sz="4" w:space="0" w:color="293F5B"/>
            </w:tcBorders>
          </w:tcPr>
          <w:p w14:paraId="1849E5A8" w14:textId="77777777" w:rsidR="00BB2CB4" w:rsidRPr="00222C32" w:rsidRDefault="000674DA">
            <w:pPr>
              <w:pStyle w:val="MeasureTableDataRightAlignedwith2ptsspacing"/>
              <w:keepNext/>
            </w:pPr>
            <w:r w:rsidRPr="00222C32">
              <w:t>187.8</w:t>
            </w:r>
          </w:p>
        </w:tc>
        <w:tc>
          <w:tcPr>
            <w:tcW w:w="1044" w:type="dxa"/>
            <w:tcBorders>
              <w:top w:val="single" w:sz="4" w:space="0" w:color="293F5B"/>
              <w:bottom w:val="single" w:sz="4" w:space="0" w:color="293F5B"/>
            </w:tcBorders>
          </w:tcPr>
          <w:p w14:paraId="65FC12DB" w14:textId="77777777" w:rsidR="00BB2CB4" w:rsidRPr="00222C32" w:rsidRDefault="000674DA">
            <w:pPr>
              <w:pStyle w:val="MeasureTableDataRightAlignedwith2ptsspacing"/>
              <w:keepNext/>
            </w:pPr>
            <w:r w:rsidRPr="00222C32">
              <w:t>190.6</w:t>
            </w:r>
          </w:p>
        </w:tc>
      </w:tr>
      <w:tr w:rsidR="00BB2CB4" w:rsidRPr="00222C32" w14:paraId="09829BFB" w14:textId="77777777" w:rsidTr="00825163">
        <w:trPr>
          <w:cantSplit/>
        </w:trPr>
        <w:tc>
          <w:tcPr>
            <w:tcW w:w="2501" w:type="dxa"/>
            <w:tcBorders>
              <w:top w:val="single" w:sz="4" w:space="0" w:color="293F5B"/>
              <w:bottom w:val="single" w:sz="4" w:space="0" w:color="293F5B"/>
            </w:tcBorders>
          </w:tcPr>
          <w:p w14:paraId="5C9CB7FA" w14:textId="77777777" w:rsidR="00BB2CB4" w:rsidRPr="00222C32" w:rsidRDefault="000674DA">
            <w:pPr>
              <w:pStyle w:val="MeasureTableHeadingleftalignedwith2ptsspacing"/>
              <w:keepNext/>
            </w:pPr>
            <w:r w:rsidRPr="00222C32">
              <w:t>Housing Australia</w:t>
            </w:r>
          </w:p>
        </w:tc>
        <w:tc>
          <w:tcPr>
            <w:tcW w:w="1044" w:type="dxa"/>
            <w:tcBorders>
              <w:top w:val="single" w:sz="4" w:space="0" w:color="293F5B"/>
              <w:bottom w:val="single" w:sz="4" w:space="0" w:color="293F5B"/>
            </w:tcBorders>
          </w:tcPr>
          <w:p w14:paraId="034AC6C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6B90C78" w14:textId="77777777" w:rsidR="00BB2CB4" w:rsidRPr="00222C32" w:rsidRDefault="000674DA">
            <w:pPr>
              <w:pStyle w:val="MeasureTableDataRightAlignedwith2ptsspacing"/>
              <w:keepNext/>
            </w:pPr>
            <w:r w:rsidRPr="00222C32">
              <w:t>0.6</w:t>
            </w:r>
          </w:p>
        </w:tc>
        <w:tc>
          <w:tcPr>
            <w:tcW w:w="1044" w:type="dxa"/>
            <w:tcBorders>
              <w:top w:val="single" w:sz="4" w:space="0" w:color="293F5B"/>
              <w:bottom w:val="single" w:sz="4" w:space="0" w:color="293F5B"/>
            </w:tcBorders>
          </w:tcPr>
          <w:p w14:paraId="642056AC" w14:textId="77777777" w:rsidR="00BB2CB4" w:rsidRPr="00222C32" w:rsidRDefault="000674DA">
            <w:pPr>
              <w:pStyle w:val="MeasureTableDataRightAlignedwith2ptsspacing"/>
              <w:keepNext/>
            </w:pPr>
            <w:r w:rsidRPr="00222C32">
              <w:t>0.6</w:t>
            </w:r>
          </w:p>
        </w:tc>
        <w:tc>
          <w:tcPr>
            <w:tcW w:w="1044" w:type="dxa"/>
            <w:tcBorders>
              <w:top w:val="single" w:sz="4" w:space="0" w:color="293F5B"/>
              <w:bottom w:val="single" w:sz="4" w:space="0" w:color="293F5B"/>
            </w:tcBorders>
          </w:tcPr>
          <w:p w14:paraId="47A9F7B9" w14:textId="77777777" w:rsidR="00BB2CB4" w:rsidRPr="00222C32" w:rsidRDefault="000674DA">
            <w:pPr>
              <w:pStyle w:val="MeasureTableDataRightAlignedwith2ptsspacing"/>
              <w:keepNext/>
            </w:pPr>
            <w:r w:rsidRPr="00222C32">
              <w:t>0.7</w:t>
            </w:r>
          </w:p>
        </w:tc>
        <w:tc>
          <w:tcPr>
            <w:tcW w:w="1044" w:type="dxa"/>
            <w:tcBorders>
              <w:top w:val="single" w:sz="4" w:space="0" w:color="293F5B"/>
              <w:bottom w:val="single" w:sz="4" w:space="0" w:color="293F5B"/>
            </w:tcBorders>
          </w:tcPr>
          <w:p w14:paraId="5E915BFB" w14:textId="77777777" w:rsidR="00BB2CB4" w:rsidRPr="00222C32" w:rsidRDefault="000674DA">
            <w:pPr>
              <w:pStyle w:val="MeasureTableDataRightAlignedwith2ptsspacing"/>
              <w:keepNext/>
            </w:pPr>
            <w:r w:rsidRPr="00222C32">
              <w:t>0.7</w:t>
            </w:r>
          </w:p>
        </w:tc>
      </w:tr>
      <w:tr w:rsidR="00BB2CB4" w:rsidRPr="00222C32" w14:paraId="5B7FEF4F" w14:textId="77777777" w:rsidTr="00825163">
        <w:trPr>
          <w:cantSplit/>
        </w:trPr>
        <w:tc>
          <w:tcPr>
            <w:tcW w:w="2501" w:type="dxa"/>
            <w:tcBorders>
              <w:top w:val="single" w:sz="4" w:space="0" w:color="293F5B"/>
              <w:bottom w:val="single" w:sz="4" w:space="0" w:color="293F5B"/>
            </w:tcBorders>
          </w:tcPr>
          <w:p w14:paraId="72A69FF5"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7D53678C"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03B85548" w14:textId="77777777" w:rsidR="00BB2CB4" w:rsidRPr="00222C32" w:rsidRDefault="000674DA">
            <w:pPr>
              <w:pStyle w:val="Totaldatarowrightaligned"/>
              <w:keepNext/>
            </w:pPr>
            <w:r w:rsidRPr="00222C32">
              <w:t>13.9</w:t>
            </w:r>
          </w:p>
        </w:tc>
        <w:tc>
          <w:tcPr>
            <w:tcW w:w="1044" w:type="dxa"/>
            <w:tcBorders>
              <w:top w:val="single" w:sz="4" w:space="0" w:color="293F5B"/>
              <w:bottom w:val="single" w:sz="4" w:space="0" w:color="293F5B"/>
            </w:tcBorders>
          </w:tcPr>
          <w:p w14:paraId="51AC6287" w14:textId="77777777" w:rsidR="00BB2CB4" w:rsidRPr="00222C32" w:rsidRDefault="000674DA">
            <w:pPr>
              <w:pStyle w:val="Totaldatarowrightaligned"/>
              <w:keepNext/>
            </w:pPr>
            <w:r w:rsidRPr="00222C32">
              <w:t>125.4</w:t>
            </w:r>
          </w:p>
        </w:tc>
        <w:tc>
          <w:tcPr>
            <w:tcW w:w="1044" w:type="dxa"/>
            <w:tcBorders>
              <w:top w:val="single" w:sz="4" w:space="0" w:color="293F5B"/>
              <w:bottom w:val="single" w:sz="4" w:space="0" w:color="293F5B"/>
            </w:tcBorders>
          </w:tcPr>
          <w:p w14:paraId="5D4CB7CC" w14:textId="77777777" w:rsidR="00BB2CB4" w:rsidRPr="00222C32" w:rsidRDefault="000674DA">
            <w:pPr>
              <w:pStyle w:val="Totaldatarowrightaligned"/>
              <w:keepNext/>
            </w:pPr>
            <w:r w:rsidRPr="00222C32">
              <w:t>188.5</w:t>
            </w:r>
          </w:p>
        </w:tc>
        <w:tc>
          <w:tcPr>
            <w:tcW w:w="1044" w:type="dxa"/>
            <w:tcBorders>
              <w:top w:val="single" w:sz="4" w:space="0" w:color="293F5B"/>
              <w:bottom w:val="single" w:sz="4" w:space="0" w:color="293F5B"/>
            </w:tcBorders>
          </w:tcPr>
          <w:p w14:paraId="6333F662" w14:textId="77777777" w:rsidR="00BB2CB4" w:rsidRPr="00222C32" w:rsidRDefault="000674DA">
            <w:pPr>
              <w:pStyle w:val="Totaldatarowrightaligned"/>
              <w:keepNext/>
            </w:pPr>
            <w:r w:rsidRPr="00222C32">
              <w:t>191.3</w:t>
            </w:r>
          </w:p>
        </w:tc>
      </w:tr>
    </w:tbl>
    <w:p w14:paraId="6CEA899B" w14:textId="77777777" w:rsidR="001F40D7" w:rsidRDefault="001F40D7" w:rsidP="001F40D7">
      <w:pPr>
        <w:pStyle w:val="SingleParagraph"/>
      </w:pPr>
    </w:p>
    <w:p w14:paraId="3850201E" w14:textId="77777777" w:rsidR="00BB2CB4" w:rsidRDefault="000674DA">
      <w:pPr>
        <w:pStyle w:val="Normal2"/>
      </w:pPr>
      <w:r w:rsidRPr="69C11E82">
        <w:rPr>
          <w:lang w:val="en-US"/>
        </w:rPr>
        <w:t>The Government will provide additional support to enable first home buyers to get into housing sooner, including:</w:t>
      </w:r>
    </w:p>
    <w:p w14:paraId="74ECEE18" w14:textId="275C6A37" w:rsidR="00BB2CB4" w:rsidRDefault="000674DA">
      <w:pPr>
        <w:pStyle w:val="Bullet"/>
      </w:pPr>
      <w:r>
        <w:t xml:space="preserve">$10.0 billion over eight years from 2026–‍27 ($2.0 billion in grants and $8.0 billion in concessional loans) to support states, territories and industry to </w:t>
      </w:r>
      <w:r w:rsidR="00DB30AC">
        <w:t>deliver</w:t>
      </w:r>
      <w:r>
        <w:t xml:space="preserve"> up to 100,000 new, well‑located dwellings for sale to first home buyers</w:t>
      </w:r>
    </w:p>
    <w:p w14:paraId="40770EB2" w14:textId="77777777" w:rsidR="00BB2CB4" w:rsidRDefault="000674DA">
      <w:pPr>
        <w:pStyle w:val="Bullet"/>
      </w:pPr>
      <w:r>
        <w:t>expanding the Australian Government 5% Deposit Scheme (formerly the Home Guarantee Scheme) by removing caps on places and income, increasing property price caps, and bringing forward the start date to 1 October 2025, with the expanded program estimated to cost $5.4 million over four years from 2025–‍26</w:t>
      </w:r>
    </w:p>
    <w:p w14:paraId="327BA5CC" w14:textId="77777777" w:rsidR="00BB2CB4" w:rsidRDefault="000674DA">
      <w:pPr>
        <w:pStyle w:val="Bullet"/>
      </w:pPr>
      <w:r>
        <w:t>$15.0 million in 2025–‍26 to improve awareness and accessibility of information on Australian Government supports for first home buyers.</w:t>
      </w:r>
    </w:p>
    <w:p w14:paraId="4C944280" w14:textId="77777777" w:rsidR="00BB2CB4" w:rsidRDefault="000674DA">
      <w:pPr>
        <w:pStyle w:val="Normal2"/>
      </w:pPr>
      <w:r>
        <w:lastRenderedPageBreak/>
        <w:t>The Treasury will partially meet the cost of this measure from within existing resources.</w:t>
      </w:r>
    </w:p>
    <w:p w14:paraId="6EC7F599" w14:textId="77777777" w:rsidR="00BB2CB4" w:rsidRDefault="000674DA">
      <w:pPr>
        <w:pStyle w:val="Normal2"/>
      </w:pPr>
      <w:r>
        <w:t xml:space="preserve">This measure builds on the 2025–‍26 Budget measure titled </w:t>
      </w:r>
      <w:r w:rsidRPr="000674DA">
        <w:rPr>
          <w:i/>
        </w:rPr>
        <w:t>Housing Support.</w:t>
      </w:r>
    </w:p>
    <w:p w14:paraId="0825EB44" w14:textId="167B14E5" w:rsidR="00BB2CB4" w:rsidRDefault="000674DA">
      <w:pPr>
        <w:pStyle w:val="Normal2"/>
      </w:pPr>
      <w:r>
        <w:t>Parts of this measure deliver on the Government</w:t>
      </w:r>
      <w:r w:rsidR="00222C32">
        <w:t>’</w:t>
      </w:r>
      <w:r>
        <w:t>s election commitment made during the 2025</w:t>
      </w:r>
      <w:r w:rsidR="00C66B6B">
        <w:t> federal</w:t>
      </w:r>
      <w:r>
        <w:t xml:space="preserve"> election.</w:t>
      </w:r>
    </w:p>
    <w:p w14:paraId="31BF4CC5" w14:textId="77777777" w:rsidR="00BB2CB4" w:rsidRDefault="000674DA">
      <w:pPr>
        <w:pStyle w:val="MeasureTitle"/>
      </w:pPr>
      <w:r>
        <w:t>Supporting Consumers</w:t>
      </w:r>
    </w:p>
    <w:p w14:paraId="12F0FCD5"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33769A59" w14:textId="77777777" w:rsidTr="00825163">
        <w:tc>
          <w:tcPr>
            <w:tcW w:w="2501" w:type="dxa"/>
            <w:tcBorders>
              <w:top w:val="single" w:sz="4" w:space="0" w:color="293F5B"/>
              <w:bottom w:val="single" w:sz="4" w:space="0" w:color="293F5B"/>
            </w:tcBorders>
          </w:tcPr>
          <w:p w14:paraId="422033FF"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68779573"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4EAD587C"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6B28629D"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075C0B83"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71325869" w14:textId="77777777" w:rsidR="00BB2CB4" w:rsidRPr="00222C32" w:rsidRDefault="000674DA">
            <w:pPr>
              <w:pStyle w:val="MeasureTableYearHeadings"/>
              <w:keepNext/>
            </w:pPr>
            <w:r w:rsidRPr="00222C32">
              <w:t>2028-29</w:t>
            </w:r>
          </w:p>
        </w:tc>
      </w:tr>
      <w:tr w:rsidR="00BB2CB4" w:rsidRPr="00222C32" w14:paraId="6397EB42" w14:textId="77777777" w:rsidTr="00825163">
        <w:tc>
          <w:tcPr>
            <w:tcW w:w="2501" w:type="dxa"/>
            <w:tcBorders>
              <w:top w:val="single" w:sz="4" w:space="0" w:color="293F5B"/>
              <w:bottom w:val="single" w:sz="4" w:space="0" w:color="293F5B"/>
            </w:tcBorders>
          </w:tcPr>
          <w:p w14:paraId="680C18E1" w14:textId="77777777" w:rsidR="00BB2CB4" w:rsidRPr="00222C32" w:rsidRDefault="000674DA">
            <w:pPr>
              <w:pStyle w:val="MeasureTableHeadingleftalignedwith2ptsspacing"/>
              <w:keepNext/>
            </w:pPr>
            <w:r w:rsidRPr="00222C32">
              <w:t>Australian Competition and Consumer Commission</w:t>
            </w:r>
          </w:p>
        </w:tc>
        <w:tc>
          <w:tcPr>
            <w:tcW w:w="1044" w:type="dxa"/>
            <w:tcBorders>
              <w:top w:val="single" w:sz="4" w:space="0" w:color="293F5B"/>
              <w:bottom w:val="single" w:sz="4" w:space="0" w:color="293F5B"/>
            </w:tcBorders>
          </w:tcPr>
          <w:p w14:paraId="332353B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D4E92FA" w14:textId="77777777" w:rsidR="00BB2CB4" w:rsidRPr="00222C32" w:rsidRDefault="000674DA">
            <w:pPr>
              <w:pStyle w:val="MeasureTableDataRightAlignedwith2ptsspacing"/>
              <w:keepNext/>
            </w:pPr>
            <w:r w:rsidRPr="00222C32">
              <w:t>37.3</w:t>
            </w:r>
          </w:p>
        </w:tc>
        <w:tc>
          <w:tcPr>
            <w:tcW w:w="1044" w:type="dxa"/>
            <w:tcBorders>
              <w:top w:val="single" w:sz="4" w:space="0" w:color="293F5B"/>
              <w:bottom w:val="single" w:sz="4" w:space="0" w:color="293F5B"/>
            </w:tcBorders>
          </w:tcPr>
          <w:p w14:paraId="7A696D50" w14:textId="77777777" w:rsidR="00BB2CB4" w:rsidRPr="00222C32" w:rsidRDefault="000674DA">
            <w:pPr>
              <w:pStyle w:val="MeasureTableDataRightAlignedwith2ptsspacing"/>
              <w:keepNext/>
            </w:pPr>
            <w:r w:rsidRPr="00222C32">
              <w:t>14.6</w:t>
            </w:r>
          </w:p>
        </w:tc>
        <w:tc>
          <w:tcPr>
            <w:tcW w:w="1044" w:type="dxa"/>
            <w:tcBorders>
              <w:top w:val="single" w:sz="4" w:space="0" w:color="293F5B"/>
              <w:bottom w:val="single" w:sz="4" w:space="0" w:color="293F5B"/>
            </w:tcBorders>
          </w:tcPr>
          <w:p w14:paraId="399396DD" w14:textId="77777777" w:rsidR="00BB2CB4" w:rsidRPr="00222C32" w:rsidRDefault="000674DA">
            <w:pPr>
              <w:pStyle w:val="MeasureTableDataRightAlignedwith2ptsspacing"/>
              <w:keepNext/>
            </w:pPr>
            <w:r w:rsidRPr="00222C32">
              <w:t>16.3</w:t>
            </w:r>
          </w:p>
        </w:tc>
        <w:tc>
          <w:tcPr>
            <w:tcW w:w="1044" w:type="dxa"/>
            <w:tcBorders>
              <w:top w:val="single" w:sz="4" w:space="0" w:color="293F5B"/>
              <w:bottom w:val="single" w:sz="4" w:space="0" w:color="293F5B"/>
            </w:tcBorders>
          </w:tcPr>
          <w:p w14:paraId="6E0F7F6A" w14:textId="77777777" w:rsidR="00BB2CB4" w:rsidRPr="00222C32" w:rsidRDefault="000674DA">
            <w:pPr>
              <w:pStyle w:val="MeasureTableDataRightAlignedwith2ptsspacing"/>
              <w:keepNext/>
            </w:pPr>
            <w:r w:rsidRPr="00222C32">
              <w:t>17.2</w:t>
            </w:r>
          </w:p>
        </w:tc>
      </w:tr>
      <w:tr w:rsidR="00BB2CB4" w:rsidRPr="00222C32" w14:paraId="65B7DDC9" w14:textId="77777777" w:rsidTr="00825163">
        <w:tc>
          <w:tcPr>
            <w:tcW w:w="2501" w:type="dxa"/>
            <w:tcBorders>
              <w:top w:val="single" w:sz="4" w:space="0" w:color="293F5B"/>
              <w:bottom w:val="single" w:sz="4" w:space="0" w:color="293F5B"/>
            </w:tcBorders>
          </w:tcPr>
          <w:p w14:paraId="56293697"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0620231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19EFC45D" w14:textId="77777777" w:rsidR="00BB2CB4" w:rsidRPr="00222C32" w:rsidRDefault="000674DA">
            <w:pPr>
              <w:pStyle w:val="MeasureTableDataRightAlignedwith2ptsspacing"/>
              <w:keepNext/>
            </w:pPr>
            <w:r w:rsidRPr="00222C32">
              <w:t>6.4</w:t>
            </w:r>
          </w:p>
        </w:tc>
        <w:tc>
          <w:tcPr>
            <w:tcW w:w="1044" w:type="dxa"/>
            <w:tcBorders>
              <w:top w:val="single" w:sz="4" w:space="0" w:color="293F5B"/>
              <w:bottom w:val="single" w:sz="4" w:space="0" w:color="293F5B"/>
            </w:tcBorders>
          </w:tcPr>
          <w:p w14:paraId="1E4CD970" w14:textId="77777777" w:rsidR="00BB2CB4" w:rsidRPr="00222C32" w:rsidRDefault="000674DA">
            <w:pPr>
              <w:pStyle w:val="MeasureTableDataRightAlignedwith2ptsspacing"/>
              <w:keepNext/>
            </w:pPr>
            <w:r w:rsidRPr="00222C32">
              <w:t>0.1</w:t>
            </w:r>
          </w:p>
        </w:tc>
        <w:tc>
          <w:tcPr>
            <w:tcW w:w="1044" w:type="dxa"/>
            <w:tcBorders>
              <w:top w:val="single" w:sz="4" w:space="0" w:color="293F5B"/>
              <w:bottom w:val="single" w:sz="4" w:space="0" w:color="293F5B"/>
            </w:tcBorders>
          </w:tcPr>
          <w:p w14:paraId="053E534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430D064F" w14:textId="77777777" w:rsidR="00BB2CB4" w:rsidRPr="00222C32" w:rsidRDefault="000674DA">
            <w:pPr>
              <w:pStyle w:val="MeasureTableDataRightAlignedwith2ptsspacing"/>
              <w:keepNext/>
            </w:pPr>
            <w:r w:rsidRPr="00222C32">
              <w:t>-</w:t>
            </w:r>
          </w:p>
        </w:tc>
      </w:tr>
      <w:tr w:rsidR="00BB2CB4" w:rsidRPr="00222C32" w14:paraId="6015437E" w14:textId="77777777" w:rsidTr="00825163">
        <w:tc>
          <w:tcPr>
            <w:tcW w:w="2501" w:type="dxa"/>
            <w:tcBorders>
              <w:top w:val="single" w:sz="4" w:space="0" w:color="293F5B"/>
              <w:bottom w:val="single" w:sz="4" w:space="0" w:color="293F5B"/>
            </w:tcBorders>
          </w:tcPr>
          <w:p w14:paraId="59C46719"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5EB40651"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B634245" w14:textId="77777777" w:rsidR="00BB2CB4" w:rsidRPr="00222C32" w:rsidRDefault="000674DA">
            <w:pPr>
              <w:pStyle w:val="Totaldatarowrightaligned"/>
              <w:keepNext/>
            </w:pPr>
            <w:r w:rsidRPr="00222C32">
              <w:t>43.7</w:t>
            </w:r>
          </w:p>
        </w:tc>
        <w:tc>
          <w:tcPr>
            <w:tcW w:w="1044" w:type="dxa"/>
            <w:tcBorders>
              <w:top w:val="single" w:sz="4" w:space="0" w:color="293F5B"/>
              <w:bottom w:val="single" w:sz="4" w:space="0" w:color="293F5B"/>
            </w:tcBorders>
          </w:tcPr>
          <w:p w14:paraId="69F219AB" w14:textId="77777777" w:rsidR="00BB2CB4" w:rsidRPr="00222C32" w:rsidRDefault="000674DA">
            <w:pPr>
              <w:pStyle w:val="Totaldatarowrightaligned"/>
              <w:keepNext/>
            </w:pPr>
            <w:r w:rsidRPr="00222C32">
              <w:t>14.7</w:t>
            </w:r>
          </w:p>
        </w:tc>
        <w:tc>
          <w:tcPr>
            <w:tcW w:w="1044" w:type="dxa"/>
            <w:tcBorders>
              <w:top w:val="single" w:sz="4" w:space="0" w:color="293F5B"/>
              <w:bottom w:val="single" w:sz="4" w:space="0" w:color="293F5B"/>
            </w:tcBorders>
          </w:tcPr>
          <w:p w14:paraId="07CFB5B4" w14:textId="77777777" w:rsidR="00BB2CB4" w:rsidRPr="00222C32" w:rsidRDefault="000674DA">
            <w:pPr>
              <w:pStyle w:val="Totaldatarowrightaligned"/>
              <w:keepNext/>
            </w:pPr>
            <w:r w:rsidRPr="00222C32">
              <w:t>16.3</w:t>
            </w:r>
          </w:p>
        </w:tc>
        <w:tc>
          <w:tcPr>
            <w:tcW w:w="1044" w:type="dxa"/>
            <w:tcBorders>
              <w:top w:val="single" w:sz="4" w:space="0" w:color="293F5B"/>
              <w:bottom w:val="single" w:sz="4" w:space="0" w:color="293F5B"/>
            </w:tcBorders>
          </w:tcPr>
          <w:p w14:paraId="467A622D" w14:textId="77777777" w:rsidR="00BB2CB4" w:rsidRPr="00222C32" w:rsidRDefault="000674DA">
            <w:pPr>
              <w:pStyle w:val="Totaldatarowrightaligned"/>
              <w:keepNext/>
            </w:pPr>
            <w:r w:rsidRPr="00222C32">
              <w:t>17.2</w:t>
            </w:r>
          </w:p>
        </w:tc>
      </w:tr>
      <w:tr w:rsidR="00BB2CB4" w:rsidRPr="00222C32" w14:paraId="49520474" w14:textId="77777777" w:rsidTr="00825163">
        <w:tc>
          <w:tcPr>
            <w:tcW w:w="2501" w:type="dxa"/>
            <w:tcBorders>
              <w:top w:val="single" w:sz="4" w:space="0" w:color="293F5B"/>
              <w:bottom w:val="nil"/>
            </w:tcBorders>
          </w:tcPr>
          <w:p w14:paraId="2ACB2F3D"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4FDFF14E" w14:textId="77777777" w:rsidR="00BB2CB4" w:rsidRPr="00222C32" w:rsidRDefault="00BB2CB4">
            <w:pPr>
              <w:pStyle w:val="AgencyName"/>
              <w:keepNext/>
            </w:pPr>
          </w:p>
        </w:tc>
        <w:tc>
          <w:tcPr>
            <w:tcW w:w="1044" w:type="dxa"/>
            <w:tcBorders>
              <w:top w:val="single" w:sz="4" w:space="0" w:color="293F5B"/>
              <w:bottom w:val="nil"/>
            </w:tcBorders>
          </w:tcPr>
          <w:p w14:paraId="5D391560" w14:textId="77777777" w:rsidR="00BB2CB4" w:rsidRPr="00222C32" w:rsidRDefault="00BB2CB4">
            <w:pPr>
              <w:pStyle w:val="AgencyName"/>
              <w:keepNext/>
            </w:pPr>
          </w:p>
        </w:tc>
        <w:tc>
          <w:tcPr>
            <w:tcW w:w="1044" w:type="dxa"/>
            <w:tcBorders>
              <w:top w:val="single" w:sz="4" w:space="0" w:color="293F5B"/>
              <w:bottom w:val="nil"/>
            </w:tcBorders>
          </w:tcPr>
          <w:p w14:paraId="71F5EE1F" w14:textId="77777777" w:rsidR="00BB2CB4" w:rsidRPr="00222C32" w:rsidRDefault="00BB2CB4">
            <w:pPr>
              <w:pStyle w:val="AgencyName"/>
              <w:keepNext/>
            </w:pPr>
          </w:p>
        </w:tc>
        <w:tc>
          <w:tcPr>
            <w:tcW w:w="1044" w:type="dxa"/>
            <w:tcBorders>
              <w:top w:val="single" w:sz="4" w:space="0" w:color="293F5B"/>
              <w:bottom w:val="nil"/>
            </w:tcBorders>
          </w:tcPr>
          <w:p w14:paraId="02BD0AD6" w14:textId="77777777" w:rsidR="00BB2CB4" w:rsidRPr="00222C32" w:rsidRDefault="00BB2CB4">
            <w:pPr>
              <w:pStyle w:val="AgencyName"/>
              <w:keepNext/>
            </w:pPr>
          </w:p>
        </w:tc>
        <w:tc>
          <w:tcPr>
            <w:tcW w:w="1044" w:type="dxa"/>
            <w:tcBorders>
              <w:top w:val="single" w:sz="4" w:space="0" w:color="293F5B"/>
              <w:bottom w:val="nil"/>
            </w:tcBorders>
          </w:tcPr>
          <w:p w14:paraId="295552B0" w14:textId="77777777" w:rsidR="00BB2CB4" w:rsidRPr="00222C32" w:rsidRDefault="00BB2CB4">
            <w:pPr>
              <w:pStyle w:val="AgencyName"/>
              <w:keepNext/>
            </w:pPr>
          </w:p>
        </w:tc>
      </w:tr>
      <w:tr w:rsidR="00BB2CB4" w:rsidRPr="00222C32" w14:paraId="2CC46975" w14:textId="77777777" w:rsidTr="00825163">
        <w:tc>
          <w:tcPr>
            <w:tcW w:w="2501" w:type="dxa"/>
            <w:tcBorders>
              <w:top w:val="nil"/>
              <w:bottom w:val="single" w:sz="4" w:space="0" w:color="293F5B"/>
            </w:tcBorders>
          </w:tcPr>
          <w:p w14:paraId="6A81B0CD" w14:textId="77777777" w:rsidR="00BB2CB4" w:rsidRPr="00222C32" w:rsidRDefault="000674DA">
            <w:pPr>
              <w:pStyle w:val="AgencyNamewith2ptsspacing"/>
              <w:keepNext/>
            </w:pPr>
            <w:r w:rsidRPr="00222C32">
              <w:t>Australian Competition and Consumer Commission</w:t>
            </w:r>
          </w:p>
        </w:tc>
        <w:tc>
          <w:tcPr>
            <w:tcW w:w="1044" w:type="dxa"/>
            <w:tcBorders>
              <w:top w:val="nil"/>
              <w:bottom w:val="single" w:sz="4" w:space="0" w:color="293F5B"/>
            </w:tcBorders>
          </w:tcPr>
          <w:p w14:paraId="0C68A070"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24DF94BF" w14:textId="77777777" w:rsidR="00BB2CB4" w:rsidRPr="00222C32" w:rsidRDefault="000674DA">
            <w:pPr>
              <w:pStyle w:val="Measuretabledatarightaligneditalics"/>
              <w:keepNext/>
            </w:pPr>
            <w:r w:rsidRPr="00222C32">
              <w:t>4.0</w:t>
            </w:r>
          </w:p>
        </w:tc>
        <w:tc>
          <w:tcPr>
            <w:tcW w:w="1044" w:type="dxa"/>
            <w:tcBorders>
              <w:top w:val="nil"/>
              <w:bottom w:val="single" w:sz="4" w:space="0" w:color="293F5B"/>
            </w:tcBorders>
          </w:tcPr>
          <w:p w14:paraId="305A35BC" w14:textId="77777777" w:rsidR="00BB2CB4" w:rsidRPr="00222C32" w:rsidRDefault="000674DA">
            <w:pPr>
              <w:pStyle w:val="Measuretabledatarightaligneditalics"/>
              <w:keepNext/>
            </w:pPr>
            <w:r w:rsidRPr="00222C32">
              <w:t>9.5</w:t>
            </w:r>
          </w:p>
        </w:tc>
        <w:tc>
          <w:tcPr>
            <w:tcW w:w="1044" w:type="dxa"/>
            <w:tcBorders>
              <w:top w:val="nil"/>
              <w:bottom w:val="single" w:sz="4" w:space="0" w:color="293F5B"/>
            </w:tcBorders>
          </w:tcPr>
          <w:p w14:paraId="0FCC38AE" w14:textId="77777777" w:rsidR="00BB2CB4" w:rsidRPr="00222C32" w:rsidRDefault="000674DA">
            <w:pPr>
              <w:pStyle w:val="Measuretabledatarightaligneditalics"/>
              <w:keepNext/>
            </w:pPr>
            <w:r w:rsidRPr="00222C32">
              <w:t>10.4</w:t>
            </w:r>
          </w:p>
        </w:tc>
        <w:tc>
          <w:tcPr>
            <w:tcW w:w="1044" w:type="dxa"/>
            <w:tcBorders>
              <w:top w:val="nil"/>
              <w:bottom w:val="single" w:sz="4" w:space="0" w:color="293F5B"/>
            </w:tcBorders>
          </w:tcPr>
          <w:p w14:paraId="28A71459" w14:textId="77777777" w:rsidR="00BB2CB4" w:rsidRPr="00222C32" w:rsidRDefault="000674DA">
            <w:pPr>
              <w:pStyle w:val="Measuretabledatarightaligneditalics"/>
              <w:keepNext/>
            </w:pPr>
            <w:r w:rsidRPr="00222C32">
              <w:t>11.1</w:t>
            </w:r>
          </w:p>
        </w:tc>
      </w:tr>
    </w:tbl>
    <w:p w14:paraId="1551A465" w14:textId="77777777" w:rsidR="00D37A4A" w:rsidRDefault="00D37A4A" w:rsidP="00D37A4A">
      <w:pPr>
        <w:pStyle w:val="SingleParagraph"/>
      </w:pPr>
    </w:p>
    <w:p w14:paraId="7557190E" w14:textId="77777777" w:rsidR="00BB2CB4" w:rsidRDefault="000674DA">
      <w:pPr>
        <w:pStyle w:val="Normal2"/>
      </w:pPr>
      <w:r>
        <w:t>The Government will provide $91.8 million over four years from 2025–‍26 (and $16.2 million per year ongoing) to support consumers including through the strengthening of protections and enforcement activities. Funding includes:</w:t>
      </w:r>
    </w:p>
    <w:p w14:paraId="29691377" w14:textId="77777777" w:rsidR="00BB2CB4" w:rsidRDefault="000674DA">
      <w:pPr>
        <w:pStyle w:val="Bullet"/>
      </w:pPr>
      <w:r>
        <w:t>continuing the Consumer Data Right, including exploring options to adjust policy settings to drive consumer adoption and lower costs for participating sectors</w:t>
      </w:r>
    </w:p>
    <w:p w14:paraId="3F1C8CEE" w14:textId="77777777" w:rsidR="00BB2CB4" w:rsidRDefault="000674DA">
      <w:pPr>
        <w:pStyle w:val="Bullet"/>
      </w:pPr>
      <w:r>
        <w:t>mandating cash acceptance for transactions of $500 or less at fuel and grocery retailers between 7am and 9pm, with an exemption for most small businesses</w:t>
      </w:r>
    </w:p>
    <w:p w14:paraId="455751FD" w14:textId="01C2CDBE" w:rsidR="00BB2CB4" w:rsidRDefault="000674DA">
      <w:pPr>
        <w:pStyle w:val="Bullet"/>
      </w:pPr>
      <w:r>
        <w:t>enforcing the Government</w:t>
      </w:r>
      <w:r w:rsidR="00222C32">
        <w:t>’</w:t>
      </w:r>
      <w:r>
        <w:t>s ban on excessive pricing by very large supermarkets</w:t>
      </w:r>
    </w:p>
    <w:p w14:paraId="41F13459" w14:textId="07671E27" w:rsidR="00BB2CB4" w:rsidRDefault="000674DA">
      <w:pPr>
        <w:pStyle w:val="Bullet"/>
      </w:pPr>
      <w:r>
        <w:t xml:space="preserve">strengthening and clarifying consumer guarantee and supplier indemnification provisions in Australian Consumer Law and introducing civil penalties and enforcement powers for </w:t>
      </w:r>
      <w:r w:rsidR="008650FA">
        <w:t xml:space="preserve">the </w:t>
      </w:r>
      <w:r>
        <w:t>Australian Competition and Consumer Commission (ACCC)</w:t>
      </w:r>
    </w:p>
    <w:p w14:paraId="5D720136" w14:textId="38C9D521" w:rsidR="00BB2CB4" w:rsidRDefault="000674DA">
      <w:pPr>
        <w:pStyle w:val="Bullet"/>
      </w:pPr>
      <w:r>
        <w:t>continued support for the ACCC</w:t>
      </w:r>
      <w:r w:rsidR="00222C32">
        <w:t>’</w:t>
      </w:r>
      <w:r>
        <w:t>s work on competition and consumer issues that relate to digital markets.</w:t>
      </w:r>
    </w:p>
    <w:p w14:paraId="79A56E5F" w14:textId="77777777" w:rsidR="00BB2CB4" w:rsidRDefault="000674DA">
      <w:pPr>
        <w:pStyle w:val="Normal2"/>
      </w:pPr>
      <w:r>
        <w:t>The Treasury and the ACCC will partially meet the cost of this measure from within existing resources and through cost recovery by the ACCC.</w:t>
      </w:r>
    </w:p>
    <w:p w14:paraId="5A883915" w14:textId="77777777" w:rsidR="00BB2CB4" w:rsidRDefault="000674DA">
      <w:pPr>
        <w:pStyle w:val="Normal2"/>
      </w:pPr>
      <w:r>
        <w:t xml:space="preserve">This measure builds on the 2024–‍25 MYEFO measure titled </w:t>
      </w:r>
      <w:r w:rsidRPr="000674DA">
        <w:rPr>
          <w:i/>
        </w:rPr>
        <w:t>Ensuring a Better Deal for Consumers.</w:t>
      </w:r>
    </w:p>
    <w:p w14:paraId="3702BD29" w14:textId="0ADD46A6" w:rsidR="00BB2CB4" w:rsidRDefault="000674DA">
      <w:pPr>
        <w:pStyle w:val="Normal2"/>
      </w:pPr>
      <w:r>
        <w:t>Parts of this measure deliver on the Government</w:t>
      </w:r>
      <w:r w:rsidR="00222C32">
        <w:t>’</w:t>
      </w:r>
      <w:r>
        <w:t>s election commitment made during the 2025 federal election.</w:t>
      </w:r>
    </w:p>
    <w:p w14:paraId="7F1FA243" w14:textId="77777777" w:rsidR="00BB2CB4" w:rsidRDefault="000674DA">
      <w:pPr>
        <w:pStyle w:val="MeasureTitle"/>
      </w:pPr>
      <w:r w:rsidRPr="69C11E82">
        <w:rPr>
          <w:lang w:val="en-US"/>
        </w:rPr>
        <w:lastRenderedPageBreak/>
        <w:t>Treasury Portfolio – additional resourcing</w:t>
      </w:r>
    </w:p>
    <w:p w14:paraId="7BA0D268" w14:textId="77777777" w:rsidR="00BB2CB4" w:rsidRDefault="000674DA">
      <w:pPr>
        <w:pStyle w:val="MeasureTableHeading"/>
      </w:pPr>
      <w:r>
        <w:t>Payments ($m)</w:t>
      </w:r>
    </w:p>
    <w:tbl>
      <w:tblPr>
        <w:tblOverlap w:val="never"/>
        <w:tblW w:w="5000" w:type="pct"/>
        <w:tblBorders>
          <w:top w:val="single" w:sz="4" w:space="0" w:color="000000"/>
          <w:bottom w:val="single" w:sz="4" w:space="0" w:color="000000"/>
        </w:tblBorders>
        <w:tblLayout w:type="fixed"/>
        <w:tblLook w:val="04A0" w:firstRow="1" w:lastRow="0" w:firstColumn="1" w:lastColumn="0" w:noHBand="0" w:noVBand="1"/>
      </w:tblPr>
      <w:tblGrid>
        <w:gridCol w:w="2496"/>
        <w:gridCol w:w="1042"/>
        <w:gridCol w:w="1043"/>
        <w:gridCol w:w="1043"/>
        <w:gridCol w:w="1043"/>
        <w:gridCol w:w="1043"/>
      </w:tblGrid>
      <w:tr w:rsidR="00BB2CB4" w:rsidRPr="00222C32" w14:paraId="7BD35D7A" w14:textId="77777777" w:rsidTr="00825163">
        <w:tc>
          <w:tcPr>
            <w:tcW w:w="2501" w:type="dxa"/>
            <w:tcBorders>
              <w:top w:val="single" w:sz="4" w:space="0" w:color="293F5B"/>
              <w:bottom w:val="single" w:sz="4" w:space="0" w:color="293F5B"/>
            </w:tcBorders>
          </w:tcPr>
          <w:p w14:paraId="63B4D98A" w14:textId="77777777" w:rsidR="00BB2CB4" w:rsidRPr="00222C32" w:rsidRDefault="00BB2CB4">
            <w:pPr>
              <w:pStyle w:val="MeasureTableYearHeadings"/>
              <w:keepNext/>
            </w:pPr>
          </w:p>
        </w:tc>
        <w:tc>
          <w:tcPr>
            <w:tcW w:w="1044" w:type="dxa"/>
            <w:tcBorders>
              <w:top w:val="single" w:sz="4" w:space="0" w:color="293F5B"/>
              <w:bottom w:val="single" w:sz="4" w:space="0" w:color="293F5B"/>
            </w:tcBorders>
          </w:tcPr>
          <w:p w14:paraId="2C0A636B" w14:textId="77777777" w:rsidR="00BB2CB4" w:rsidRPr="00222C32" w:rsidRDefault="000674DA">
            <w:pPr>
              <w:pStyle w:val="MeasureTableYearHeadings"/>
              <w:keepNext/>
            </w:pPr>
            <w:r w:rsidRPr="00222C32">
              <w:t>2024-25</w:t>
            </w:r>
          </w:p>
        </w:tc>
        <w:tc>
          <w:tcPr>
            <w:tcW w:w="1044" w:type="dxa"/>
            <w:tcBorders>
              <w:top w:val="single" w:sz="4" w:space="0" w:color="293F5B"/>
              <w:bottom w:val="single" w:sz="4" w:space="0" w:color="293F5B"/>
            </w:tcBorders>
          </w:tcPr>
          <w:p w14:paraId="2594C302" w14:textId="77777777" w:rsidR="00BB2CB4" w:rsidRPr="00222C32" w:rsidRDefault="000674DA">
            <w:pPr>
              <w:pStyle w:val="MeasureTableYearHeadings"/>
              <w:keepNext/>
            </w:pPr>
            <w:r w:rsidRPr="00222C32">
              <w:t>2025-26</w:t>
            </w:r>
          </w:p>
        </w:tc>
        <w:tc>
          <w:tcPr>
            <w:tcW w:w="1044" w:type="dxa"/>
            <w:tcBorders>
              <w:top w:val="single" w:sz="4" w:space="0" w:color="293F5B"/>
              <w:bottom w:val="single" w:sz="4" w:space="0" w:color="293F5B"/>
            </w:tcBorders>
          </w:tcPr>
          <w:p w14:paraId="5709F3F9" w14:textId="77777777" w:rsidR="00BB2CB4" w:rsidRPr="00222C32" w:rsidRDefault="000674DA">
            <w:pPr>
              <w:pStyle w:val="MeasureTableYearHeadings"/>
              <w:keepNext/>
            </w:pPr>
            <w:r w:rsidRPr="00222C32">
              <w:t>2026-27</w:t>
            </w:r>
          </w:p>
        </w:tc>
        <w:tc>
          <w:tcPr>
            <w:tcW w:w="1044" w:type="dxa"/>
            <w:tcBorders>
              <w:top w:val="single" w:sz="4" w:space="0" w:color="293F5B"/>
              <w:bottom w:val="single" w:sz="4" w:space="0" w:color="293F5B"/>
            </w:tcBorders>
          </w:tcPr>
          <w:p w14:paraId="33E185E7" w14:textId="77777777" w:rsidR="00BB2CB4" w:rsidRPr="00222C32" w:rsidRDefault="000674DA">
            <w:pPr>
              <w:pStyle w:val="MeasureTableYearHeadings"/>
              <w:keepNext/>
            </w:pPr>
            <w:r w:rsidRPr="00222C32">
              <w:t>2027-28</w:t>
            </w:r>
          </w:p>
        </w:tc>
        <w:tc>
          <w:tcPr>
            <w:tcW w:w="1044" w:type="dxa"/>
            <w:tcBorders>
              <w:top w:val="single" w:sz="4" w:space="0" w:color="293F5B"/>
              <w:bottom w:val="single" w:sz="4" w:space="0" w:color="293F5B"/>
            </w:tcBorders>
          </w:tcPr>
          <w:p w14:paraId="6DDABEB7" w14:textId="77777777" w:rsidR="00BB2CB4" w:rsidRPr="00222C32" w:rsidRDefault="000674DA">
            <w:pPr>
              <w:pStyle w:val="MeasureTableYearHeadings"/>
              <w:keepNext/>
            </w:pPr>
            <w:r w:rsidRPr="00222C32">
              <w:t>2028-29</w:t>
            </w:r>
          </w:p>
        </w:tc>
      </w:tr>
      <w:tr w:rsidR="00BB2CB4" w:rsidRPr="00222C32" w14:paraId="75E267AB" w14:textId="77777777" w:rsidTr="00825163">
        <w:tc>
          <w:tcPr>
            <w:tcW w:w="2501" w:type="dxa"/>
            <w:tcBorders>
              <w:top w:val="single" w:sz="4" w:space="0" w:color="293F5B"/>
              <w:bottom w:val="single" w:sz="4" w:space="0" w:color="293F5B"/>
            </w:tcBorders>
          </w:tcPr>
          <w:p w14:paraId="76B5F9D8" w14:textId="77777777" w:rsidR="00BB2CB4" w:rsidRPr="00222C32" w:rsidRDefault="000674DA">
            <w:pPr>
              <w:pStyle w:val="MeasureTableHeadingleftalignedwith2ptsspacing"/>
              <w:keepNext/>
            </w:pPr>
            <w:r w:rsidRPr="00222C32">
              <w:t>Services Australia</w:t>
            </w:r>
          </w:p>
        </w:tc>
        <w:tc>
          <w:tcPr>
            <w:tcW w:w="1044" w:type="dxa"/>
            <w:tcBorders>
              <w:top w:val="single" w:sz="4" w:space="0" w:color="293F5B"/>
              <w:bottom w:val="single" w:sz="4" w:space="0" w:color="293F5B"/>
            </w:tcBorders>
          </w:tcPr>
          <w:p w14:paraId="3E3EBC4B"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7CA6796" w14:textId="77777777" w:rsidR="00BB2CB4" w:rsidRPr="00222C32" w:rsidRDefault="000674DA">
            <w:pPr>
              <w:pStyle w:val="MeasureTableDataRightAlignedwith2ptsspacing"/>
              <w:keepNext/>
            </w:pPr>
            <w:r w:rsidRPr="00222C32">
              <w:t>4.6</w:t>
            </w:r>
          </w:p>
        </w:tc>
        <w:tc>
          <w:tcPr>
            <w:tcW w:w="1044" w:type="dxa"/>
            <w:tcBorders>
              <w:top w:val="single" w:sz="4" w:space="0" w:color="293F5B"/>
              <w:bottom w:val="single" w:sz="4" w:space="0" w:color="293F5B"/>
            </w:tcBorders>
          </w:tcPr>
          <w:p w14:paraId="7AF48CE7" w14:textId="77777777" w:rsidR="00BB2CB4" w:rsidRPr="00222C32" w:rsidRDefault="000674DA">
            <w:pPr>
              <w:pStyle w:val="MeasureTableDataRightAlignedwith2ptsspacing"/>
              <w:keepNext/>
            </w:pPr>
            <w:r w:rsidRPr="00222C32">
              <w:t>12.3</w:t>
            </w:r>
          </w:p>
        </w:tc>
        <w:tc>
          <w:tcPr>
            <w:tcW w:w="1044" w:type="dxa"/>
            <w:tcBorders>
              <w:top w:val="single" w:sz="4" w:space="0" w:color="293F5B"/>
              <w:bottom w:val="single" w:sz="4" w:space="0" w:color="293F5B"/>
            </w:tcBorders>
          </w:tcPr>
          <w:p w14:paraId="12CE6897" w14:textId="77777777" w:rsidR="00BB2CB4" w:rsidRPr="00222C32" w:rsidRDefault="000674DA">
            <w:pPr>
              <w:pStyle w:val="MeasureTableDataRightAlignedwith2ptsspacing"/>
              <w:keepNext/>
            </w:pPr>
            <w:r w:rsidRPr="00222C32">
              <w:t>24.6</w:t>
            </w:r>
          </w:p>
        </w:tc>
        <w:tc>
          <w:tcPr>
            <w:tcW w:w="1044" w:type="dxa"/>
            <w:tcBorders>
              <w:top w:val="single" w:sz="4" w:space="0" w:color="293F5B"/>
              <w:bottom w:val="single" w:sz="4" w:space="0" w:color="293F5B"/>
            </w:tcBorders>
          </w:tcPr>
          <w:p w14:paraId="138F2746" w14:textId="77777777" w:rsidR="00BB2CB4" w:rsidRPr="00222C32" w:rsidRDefault="000674DA">
            <w:pPr>
              <w:pStyle w:val="MeasureTableDataRightAlignedwith2ptsspacing"/>
              <w:keepNext/>
            </w:pPr>
            <w:r w:rsidRPr="00222C32">
              <w:t>7.4</w:t>
            </w:r>
          </w:p>
        </w:tc>
      </w:tr>
      <w:tr w:rsidR="00BB2CB4" w:rsidRPr="00222C32" w14:paraId="4CE19F45" w14:textId="77777777" w:rsidTr="00825163">
        <w:tc>
          <w:tcPr>
            <w:tcW w:w="2501" w:type="dxa"/>
            <w:tcBorders>
              <w:top w:val="single" w:sz="4" w:space="0" w:color="293F5B"/>
              <w:bottom w:val="single" w:sz="4" w:space="0" w:color="293F5B"/>
            </w:tcBorders>
          </w:tcPr>
          <w:p w14:paraId="09AFF0A7" w14:textId="77777777" w:rsidR="00BB2CB4" w:rsidRPr="00222C32" w:rsidRDefault="000674DA">
            <w:pPr>
              <w:pStyle w:val="MeasureTableHeadingleftalignedwith2ptsspacing"/>
              <w:keepNext/>
            </w:pPr>
            <w:r w:rsidRPr="00222C32">
              <w:t>Australian Taxation Office</w:t>
            </w:r>
          </w:p>
        </w:tc>
        <w:tc>
          <w:tcPr>
            <w:tcW w:w="1044" w:type="dxa"/>
            <w:tcBorders>
              <w:top w:val="single" w:sz="4" w:space="0" w:color="293F5B"/>
              <w:bottom w:val="single" w:sz="4" w:space="0" w:color="293F5B"/>
            </w:tcBorders>
          </w:tcPr>
          <w:p w14:paraId="3DAFEEF1"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16E56D7" w14:textId="77777777" w:rsidR="00BB2CB4" w:rsidRPr="00222C32" w:rsidRDefault="000674DA">
            <w:pPr>
              <w:pStyle w:val="MeasureTableDataRightAlignedwith2ptsspacing"/>
              <w:keepNext/>
            </w:pPr>
            <w:r w:rsidRPr="00222C32">
              <w:t>2.4</w:t>
            </w:r>
          </w:p>
        </w:tc>
        <w:tc>
          <w:tcPr>
            <w:tcW w:w="1044" w:type="dxa"/>
            <w:tcBorders>
              <w:top w:val="single" w:sz="4" w:space="0" w:color="293F5B"/>
              <w:bottom w:val="single" w:sz="4" w:space="0" w:color="293F5B"/>
            </w:tcBorders>
          </w:tcPr>
          <w:p w14:paraId="21062DEE" w14:textId="77777777" w:rsidR="00BB2CB4" w:rsidRPr="00222C32" w:rsidRDefault="000674DA">
            <w:pPr>
              <w:pStyle w:val="MeasureTableDataRightAlignedwith2ptsspacing"/>
              <w:keepNext/>
            </w:pPr>
            <w:r w:rsidRPr="00222C32">
              <w:t>10.5</w:t>
            </w:r>
          </w:p>
        </w:tc>
        <w:tc>
          <w:tcPr>
            <w:tcW w:w="1044" w:type="dxa"/>
            <w:tcBorders>
              <w:top w:val="single" w:sz="4" w:space="0" w:color="293F5B"/>
              <w:bottom w:val="single" w:sz="4" w:space="0" w:color="293F5B"/>
            </w:tcBorders>
          </w:tcPr>
          <w:p w14:paraId="051CC34E" w14:textId="77777777" w:rsidR="00BB2CB4" w:rsidRPr="00222C32" w:rsidRDefault="000674DA">
            <w:pPr>
              <w:pStyle w:val="MeasureTableDataRightAlignedwith2ptsspacing"/>
              <w:keepNext/>
            </w:pPr>
            <w:r w:rsidRPr="00222C32">
              <w:t>5.9</w:t>
            </w:r>
          </w:p>
        </w:tc>
        <w:tc>
          <w:tcPr>
            <w:tcW w:w="1044" w:type="dxa"/>
            <w:tcBorders>
              <w:top w:val="single" w:sz="4" w:space="0" w:color="293F5B"/>
              <w:bottom w:val="single" w:sz="4" w:space="0" w:color="293F5B"/>
            </w:tcBorders>
          </w:tcPr>
          <w:p w14:paraId="3B7D3185" w14:textId="77777777" w:rsidR="00BB2CB4" w:rsidRPr="00222C32" w:rsidRDefault="000674DA">
            <w:pPr>
              <w:pStyle w:val="MeasureTableDataRightAlignedwith2ptsspacing"/>
              <w:keepNext/>
            </w:pPr>
            <w:r w:rsidRPr="00222C32">
              <w:t>0.3</w:t>
            </w:r>
          </w:p>
        </w:tc>
      </w:tr>
      <w:tr w:rsidR="00BB2CB4" w:rsidRPr="00222C32" w14:paraId="5A094295" w14:textId="77777777" w:rsidTr="00825163">
        <w:tc>
          <w:tcPr>
            <w:tcW w:w="2501" w:type="dxa"/>
            <w:tcBorders>
              <w:top w:val="single" w:sz="4" w:space="0" w:color="293F5B"/>
              <w:bottom w:val="single" w:sz="4" w:space="0" w:color="293F5B"/>
            </w:tcBorders>
          </w:tcPr>
          <w:p w14:paraId="06A7FFBF" w14:textId="77777777" w:rsidR="00BB2CB4" w:rsidRPr="00222C32" w:rsidRDefault="000674DA">
            <w:pPr>
              <w:pStyle w:val="MeasureTableHeadingleftalignedwith2ptsspacing"/>
              <w:keepNext/>
            </w:pPr>
            <w:r w:rsidRPr="00222C32">
              <w:t>Inspector‑General of Taxation</w:t>
            </w:r>
          </w:p>
        </w:tc>
        <w:tc>
          <w:tcPr>
            <w:tcW w:w="1044" w:type="dxa"/>
            <w:tcBorders>
              <w:top w:val="single" w:sz="4" w:space="0" w:color="293F5B"/>
              <w:bottom w:val="single" w:sz="4" w:space="0" w:color="293F5B"/>
            </w:tcBorders>
          </w:tcPr>
          <w:p w14:paraId="760B088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052B0C2" w14:textId="77777777" w:rsidR="00BB2CB4" w:rsidRPr="00222C32" w:rsidRDefault="000674DA">
            <w:pPr>
              <w:pStyle w:val="MeasureTableDataRightAlignedwith2ptsspacing"/>
              <w:keepNext/>
            </w:pPr>
            <w:r w:rsidRPr="00222C32">
              <w:t>2.3</w:t>
            </w:r>
          </w:p>
        </w:tc>
        <w:tc>
          <w:tcPr>
            <w:tcW w:w="1044" w:type="dxa"/>
            <w:tcBorders>
              <w:top w:val="single" w:sz="4" w:space="0" w:color="293F5B"/>
              <w:bottom w:val="single" w:sz="4" w:space="0" w:color="293F5B"/>
            </w:tcBorders>
          </w:tcPr>
          <w:p w14:paraId="1F53BF3F" w14:textId="77777777" w:rsidR="00BB2CB4" w:rsidRPr="00222C32" w:rsidRDefault="000674DA">
            <w:pPr>
              <w:pStyle w:val="MeasureTableDataRightAlignedwith2ptsspacing"/>
              <w:keepNext/>
            </w:pPr>
            <w:r w:rsidRPr="00222C32">
              <w:t>2.3</w:t>
            </w:r>
          </w:p>
        </w:tc>
        <w:tc>
          <w:tcPr>
            <w:tcW w:w="1044" w:type="dxa"/>
            <w:tcBorders>
              <w:top w:val="single" w:sz="4" w:space="0" w:color="293F5B"/>
              <w:bottom w:val="single" w:sz="4" w:space="0" w:color="293F5B"/>
            </w:tcBorders>
          </w:tcPr>
          <w:p w14:paraId="6ADC9346" w14:textId="77777777" w:rsidR="00BB2CB4" w:rsidRPr="00222C32" w:rsidRDefault="000674DA">
            <w:pPr>
              <w:pStyle w:val="MeasureTableDataRightAlignedwith2ptsspacing"/>
              <w:keepNext/>
            </w:pPr>
            <w:r w:rsidRPr="00222C32">
              <w:t>2.3</w:t>
            </w:r>
          </w:p>
        </w:tc>
        <w:tc>
          <w:tcPr>
            <w:tcW w:w="1044" w:type="dxa"/>
            <w:tcBorders>
              <w:top w:val="single" w:sz="4" w:space="0" w:color="293F5B"/>
              <w:bottom w:val="single" w:sz="4" w:space="0" w:color="293F5B"/>
            </w:tcBorders>
          </w:tcPr>
          <w:p w14:paraId="2B0AD7E5" w14:textId="77777777" w:rsidR="00BB2CB4" w:rsidRPr="00222C32" w:rsidRDefault="000674DA">
            <w:pPr>
              <w:pStyle w:val="MeasureTableDataRightAlignedwith2ptsspacing"/>
              <w:keepNext/>
            </w:pPr>
            <w:r w:rsidRPr="00222C32">
              <w:t>2.3</w:t>
            </w:r>
          </w:p>
        </w:tc>
      </w:tr>
      <w:tr w:rsidR="00BB2CB4" w:rsidRPr="00222C32" w14:paraId="6F16F201" w14:textId="77777777" w:rsidTr="00825163">
        <w:tc>
          <w:tcPr>
            <w:tcW w:w="2501" w:type="dxa"/>
            <w:tcBorders>
              <w:top w:val="single" w:sz="4" w:space="0" w:color="293F5B"/>
              <w:bottom w:val="single" w:sz="4" w:space="0" w:color="293F5B"/>
            </w:tcBorders>
          </w:tcPr>
          <w:p w14:paraId="304C3887" w14:textId="77777777" w:rsidR="00BB2CB4" w:rsidRPr="00222C32" w:rsidRDefault="000674DA">
            <w:pPr>
              <w:pStyle w:val="MeasureTableHeadingleftalignedwith2ptsspacing"/>
              <w:keepNext/>
            </w:pPr>
            <w:r w:rsidRPr="00222C32">
              <w:t>Digital Transformation Agency</w:t>
            </w:r>
          </w:p>
        </w:tc>
        <w:tc>
          <w:tcPr>
            <w:tcW w:w="1044" w:type="dxa"/>
            <w:tcBorders>
              <w:top w:val="single" w:sz="4" w:space="0" w:color="293F5B"/>
              <w:bottom w:val="single" w:sz="4" w:space="0" w:color="293F5B"/>
            </w:tcBorders>
          </w:tcPr>
          <w:p w14:paraId="77216A2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7F3706E"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312D0068"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675647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09BABB5" w14:textId="77777777" w:rsidR="00BB2CB4" w:rsidRPr="00222C32" w:rsidRDefault="000674DA">
            <w:pPr>
              <w:pStyle w:val="MeasureTableDataRightAlignedwith2ptsspacing"/>
              <w:keepNext/>
            </w:pPr>
            <w:r w:rsidRPr="00222C32">
              <w:t>-</w:t>
            </w:r>
          </w:p>
        </w:tc>
      </w:tr>
      <w:tr w:rsidR="00BB2CB4" w:rsidRPr="00222C32" w14:paraId="10CDBCFA" w14:textId="77777777" w:rsidTr="00825163">
        <w:tc>
          <w:tcPr>
            <w:tcW w:w="2501" w:type="dxa"/>
            <w:tcBorders>
              <w:top w:val="single" w:sz="4" w:space="0" w:color="293F5B"/>
              <w:bottom w:val="single" w:sz="4" w:space="0" w:color="293F5B"/>
            </w:tcBorders>
          </w:tcPr>
          <w:p w14:paraId="5E4EF37E" w14:textId="77777777" w:rsidR="00BB2CB4" w:rsidRPr="00222C32" w:rsidRDefault="000674DA">
            <w:pPr>
              <w:pStyle w:val="MeasureTableHeadingleftalignedwith2ptsspacing"/>
              <w:keepNext/>
            </w:pPr>
            <w:r w:rsidRPr="00222C32">
              <w:t>Australian Securities and Investments Commission</w:t>
            </w:r>
          </w:p>
        </w:tc>
        <w:tc>
          <w:tcPr>
            <w:tcW w:w="1044" w:type="dxa"/>
            <w:tcBorders>
              <w:top w:val="single" w:sz="4" w:space="0" w:color="293F5B"/>
              <w:bottom w:val="single" w:sz="4" w:space="0" w:color="293F5B"/>
            </w:tcBorders>
          </w:tcPr>
          <w:p w14:paraId="15E01A25"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5157AA1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2B2564D0" w14:textId="77777777" w:rsidR="00BB2CB4" w:rsidRPr="00222C32" w:rsidRDefault="000674DA">
            <w:pPr>
              <w:pStyle w:val="MeasureTableDataRightAlignedwith2ptsspacing"/>
              <w:keepNext/>
            </w:pPr>
            <w:r w:rsidRPr="00222C32">
              <w:t>10.7</w:t>
            </w:r>
          </w:p>
        </w:tc>
        <w:tc>
          <w:tcPr>
            <w:tcW w:w="1044" w:type="dxa"/>
            <w:tcBorders>
              <w:top w:val="single" w:sz="4" w:space="0" w:color="293F5B"/>
              <w:bottom w:val="single" w:sz="4" w:space="0" w:color="293F5B"/>
            </w:tcBorders>
          </w:tcPr>
          <w:p w14:paraId="54995056" w14:textId="77777777" w:rsidR="00BB2CB4" w:rsidRPr="00222C32" w:rsidRDefault="000674DA">
            <w:pPr>
              <w:pStyle w:val="MeasureTableDataRightAlignedwith2ptsspacing"/>
              <w:keepNext/>
            </w:pPr>
            <w:r w:rsidRPr="00222C32">
              <w:t>6.0</w:t>
            </w:r>
          </w:p>
        </w:tc>
        <w:tc>
          <w:tcPr>
            <w:tcW w:w="1044" w:type="dxa"/>
            <w:tcBorders>
              <w:top w:val="single" w:sz="4" w:space="0" w:color="293F5B"/>
              <w:bottom w:val="single" w:sz="4" w:space="0" w:color="293F5B"/>
            </w:tcBorders>
          </w:tcPr>
          <w:p w14:paraId="18ABC5BE" w14:textId="77777777" w:rsidR="00BB2CB4" w:rsidRPr="00222C32" w:rsidRDefault="000674DA">
            <w:pPr>
              <w:pStyle w:val="MeasureTableDataRightAlignedwith2ptsspacing"/>
              <w:keepNext/>
            </w:pPr>
            <w:r w:rsidRPr="00222C32">
              <w:t>-</w:t>
            </w:r>
          </w:p>
        </w:tc>
      </w:tr>
      <w:tr w:rsidR="00BB2CB4" w:rsidRPr="00222C32" w14:paraId="6ADD7E71" w14:textId="77777777" w:rsidTr="00825163">
        <w:tc>
          <w:tcPr>
            <w:tcW w:w="2501" w:type="dxa"/>
            <w:tcBorders>
              <w:top w:val="single" w:sz="4" w:space="0" w:color="293F5B"/>
              <w:bottom w:val="single" w:sz="4" w:space="0" w:color="293F5B"/>
            </w:tcBorders>
          </w:tcPr>
          <w:p w14:paraId="3FD78A14" w14:textId="77777777" w:rsidR="00BB2CB4" w:rsidRPr="00222C32" w:rsidRDefault="000674DA">
            <w:pPr>
              <w:pStyle w:val="MeasureTableHeadingleftalignedwith2ptsspacing"/>
              <w:keepNext/>
            </w:pPr>
            <w:r w:rsidRPr="00222C32">
              <w:t>Department of the Treasury</w:t>
            </w:r>
          </w:p>
        </w:tc>
        <w:tc>
          <w:tcPr>
            <w:tcW w:w="1044" w:type="dxa"/>
            <w:tcBorders>
              <w:top w:val="single" w:sz="4" w:space="0" w:color="293F5B"/>
              <w:bottom w:val="single" w:sz="4" w:space="0" w:color="293F5B"/>
            </w:tcBorders>
          </w:tcPr>
          <w:p w14:paraId="4AD8F124"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FA7BDAD"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6124A09D" w14:textId="77777777" w:rsidR="00BB2CB4" w:rsidRPr="00222C32" w:rsidRDefault="000674DA">
            <w:pPr>
              <w:pStyle w:val="MeasureTableDataRightAlignedwith2ptsspacing"/>
              <w:keepNext/>
            </w:pPr>
            <w:r w:rsidRPr="00222C32">
              <w:t>1.0</w:t>
            </w:r>
          </w:p>
        </w:tc>
        <w:tc>
          <w:tcPr>
            <w:tcW w:w="1044" w:type="dxa"/>
            <w:tcBorders>
              <w:top w:val="single" w:sz="4" w:space="0" w:color="293F5B"/>
              <w:bottom w:val="single" w:sz="4" w:space="0" w:color="293F5B"/>
            </w:tcBorders>
          </w:tcPr>
          <w:p w14:paraId="5532902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FD148AB" w14:textId="77777777" w:rsidR="00BB2CB4" w:rsidRPr="00222C32" w:rsidRDefault="000674DA">
            <w:pPr>
              <w:pStyle w:val="MeasureTableDataRightAlignedwith2ptsspacing"/>
              <w:keepNext/>
            </w:pPr>
            <w:r w:rsidRPr="00222C32">
              <w:t>-</w:t>
            </w:r>
          </w:p>
        </w:tc>
      </w:tr>
      <w:tr w:rsidR="00BB2CB4" w:rsidRPr="00222C32" w14:paraId="57599CED" w14:textId="77777777" w:rsidTr="00825163">
        <w:tc>
          <w:tcPr>
            <w:tcW w:w="2501" w:type="dxa"/>
            <w:tcBorders>
              <w:top w:val="single" w:sz="4" w:space="0" w:color="293F5B"/>
              <w:bottom w:val="single" w:sz="4" w:space="0" w:color="293F5B"/>
            </w:tcBorders>
          </w:tcPr>
          <w:p w14:paraId="4E48A957" w14:textId="77777777" w:rsidR="00BB2CB4" w:rsidRPr="00222C32" w:rsidRDefault="000674DA">
            <w:pPr>
              <w:pStyle w:val="MeasureTableHeadingleftalignedwith2ptsspacing"/>
              <w:keepNext/>
            </w:pPr>
            <w:r w:rsidRPr="00222C32">
              <w:t>Department of Health, Disability and Ageing</w:t>
            </w:r>
          </w:p>
        </w:tc>
        <w:tc>
          <w:tcPr>
            <w:tcW w:w="1044" w:type="dxa"/>
            <w:tcBorders>
              <w:top w:val="single" w:sz="4" w:space="0" w:color="293F5B"/>
              <w:bottom w:val="single" w:sz="4" w:space="0" w:color="293F5B"/>
            </w:tcBorders>
          </w:tcPr>
          <w:p w14:paraId="549544D9"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D7F154A"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F60BDA2"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0D57AC2C" w14:textId="77777777" w:rsidR="00BB2CB4" w:rsidRPr="00222C32" w:rsidRDefault="000674DA">
            <w:pPr>
              <w:pStyle w:val="MeasureTableDataRightAlignedwith2ptsspacing"/>
              <w:keepNext/>
            </w:pPr>
            <w:r w:rsidRPr="00222C32">
              <w:t>-</w:t>
            </w:r>
          </w:p>
        </w:tc>
        <w:tc>
          <w:tcPr>
            <w:tcW w:w="1044" w:type="dxa"/>
            <w:tcBorders>
              <w:top w:val="single" w:sz="4" w:space="0" w:color="293F5B"/>
              <w:bottom w:val="single" w:sz="4" w:space="0" w:color="293F5B"/>
            </w:tcBorders>
          </w:tcPr>
          <w:p w14:paraId="7774CFED" w14:textId="77777777" w:rsidR="00BB2CB4" w:rsidRPr="00222C32" w:rsidRDefault="000674DA">
            <w:pPr>
              <w:pStyle w:val="MeasureTableDataRightAlignedwith2ptsspacing"/>
              <w:keepNext/>
            </w:pPr>
            <w:r w:rsidRPr="00222C32">
              <w:t>-1.9</w:t>
            </w:r>
          </w:p>
        </w:tc>
      </w:tr>
      <w:tr w:rsidR="00BB2CB4" w:rsidRPr="00222C32" w14:paraId="74E3F4F1" w14:textId="77777777" w:rsidTr="00825163">
        <w:tc>
          <w:tcPr>
            <w:tcW w:w="2501" w:type="dxa"/>
            <w:tcBorders>
              <w:top w:val="single" w:sz="4" w:space="0" w:color="293F5B"/>
              <w:bottom w:val="single" w:sz="4" w:space="0" w:color="293F5B"/>
            </w:tcBorders>
          </w:tcPr>
          <w:p w14:paraId="23E6043F" w14:textId="77777777" w:rsidR="00BB2CB4" w:rsidRPr="00222C32" w:rsidRDefault="000674DA">
            <w:pPr>
              <w:pStyle w:val="Totalrowleftaligned"/>
              <w:keepNext/>
            </w:pPr>
            <w:r w:rsidRPr="00222C32">
              <w:t>Total – Payments</w:t>
            </w:r>
          </w:p>
        </w:tc>
        <w:tc>
          <w:tcPr>
            <w:tcW w:w="1044" w:type="dxa"/>
            <w:tcBorders>
              <w:top w:val="single" w:sz="4" w:space="0" w:color="293F5B"/>
              <w:bottom w:val="single" w:sz="4" w:space="0" w:color="293F5B"/>
            </w:tcBorders>
          </w:tcPr>
          <w:p w14:paraId="4A3D97B0" w14:textId="77777777" w:rsidR="00BB2CB4" w:rsidRPr="00222C32" w:rsidRDefault="000674DA">
            <w:pPr>
              <w:pStyle w:val="Totaldatarowrightaligned"/>
              <w:keepNext/>
            </w:pPr>
            <w:r w:rsidRPr="00222C32">
              <w:t>-</w:t>
            </w:r>
          </w:p>
        </w:tc>
        <w:tc>
          <w:tcPr>
            <w:tcW w:w="1044" w:type="dxa"/>
            <w:tcBorders>
              <w:top w:val="single" w:sz="4" w:space="0" w:color="293F5B"/>
              <w:bottom w:val="single" w:sz="4" w:space="0" w:color="293F5B"/>
            </w:tcBorders>
          </w:tcPr>
          <w:p w14:paraId="37F11A9F" w14:textId="77777777" w:rsidR="00BB2CB4" w:rsidRPr="00222C32" w:rsidRDefault="000674DA">
            <w:pPr>
              <w:pStyle w:val="Totaldatarowrightaligned"/>
              <w:keepNext/>
            </w:pPr>
            <w:r w:rsidRPr="00222C32">
              <w:t>9.3</w:t>
            </w:r>
          </w:p>
        </w:tc>
        <w:tc>
          <w:tcPr>
            <w:tcW w:w="1044" w:type="dxa"/>
            <w:tcBorders>
              <w:top w:val="single" w:sz="4" w:space="0" w:color="293F5B"/>
              <w:bottom w:val="single" w:sz="4" w:space="0" w:color="293F5B"/>
            </w:tcBorders>
          </w:tcPr>
          <w:p w14:paraId="37971DE1" w14:textId="77777777" w:rsidR="00BB2CB4" w:rsidRPr="00222C32" w:rsidRDefault="000674DA">
            <w:pPr>
              <w:pStyle w:val="Totaldatarowrightaligned"/>
              <w:keepNext/>
            </w:pPr>
            <w:r w:rsidRPr="00222C32">
              <w:t>36.8</w:t>
            </w:r>
          </w:p>
        </w:tc>
        <w:tc>
          <w:tcPr>
            <w:tcW w:w="1044" w:type="dxa"/>
            <w:tcBorders>
              <w:top w:val="single" w:sz="4" w:space="0" w:color="293F5B"/>
              <w:bottom w:val="single" w:sz="4" w:space="0" w:color="293F5B"/>
            </w:tcBorders>
          </w:tcPr>
          <w:p w14:paraId="3B620B98" w14:textId="77777777" w:rsidR="00BB2CB4" w:rsidRPr="00222C32" w:rsidRDefault="000674DA">
            <w:pPr>
              <w:pStyle w:val="Totaldatarowrightaligned"/>
              <w:keepNext/>
            </w:pPr>
            <w:r w:rsidRPr="00222C32">
              <w:t>38.7</w:t>
            </w:r>
          </w:p>
        </w:tc>
        <w:tc>
          <w:tcPr>
            <w:tcW w:w="1044" w:type="dxa"/>
            <w:tcBorders>
              <w:top w:val="single" w:sz="4" w:space="0" w:color="293F5B"/>
              <w:bottom w:val="single" w:sz="4" w:space="0" w:color="293F5B"/>
            </w:tcBorders>
          </w:tcPr>
          <w:p w14:paraId="3B638B4E" w14:textId="77777777" w:rsidR="00BB2CB4" w:rsidRPr="00222C32" w:rsidRDefault="000674DA">
            <w:pPr>
              <w:pStyle w:val="Totaldatarowrightaligned"/>
              <w:keepNext/>
            </w:pPr>
            <w:r w:rsidRPr="00222C32">
              <w:t>8.1</w:t>
            </w:r>
          </w:p>
        </w:tc>
      </w:tr>
      <w:tr w:rsidR="00BB2CB4" w:rsidRPr="00222C32" w14:paraId="5EB7D9C0" w14:textId="77777777" w:rsidTr="00825163">
        <w:tc>
          <w:tcPr>
            <w:tcW w:w="2501" w:type="dxa"/>
            <w:tcBorders>
              <w:top w:val="single" w:sz="4" w:space="0" w:color="293F5B"/>
              <w:bottom w:val="nil"/>
            </w:tcBorders>
          </w:tcPr>
          <w:p w14:paraId="6838B7EF" w14:textId="77777777" w:rsidR="00BB2CB4" w:rsidRPr="00222C32" w:rsidRDefault="000674DA">
            <w:pPr>
              <w:pStyle w:val="AgencyName"/>
              <w:keepNext/>
            </w:pPr>
            <w:r w:rsidRPr="00222C32">
              <w:t>Related receipts ($m)</w:t>
            </w:r>
          </w:p>
        </w:tc>
        <w:tc>
          <w:tcPr>
            <w:tcW w:w="1044" w:type="dxa"/>
            <w:tcBorders>
              <w:top w:val="single" w:sz="4" w:space="0" w:color="293F5B"/>
              <w:bottom w:val="nil"/>
            </w:tcBorders>
          </w:tcPr>
          <w:p w14:paraId="62F54BBA" w14:textId="77777777" w:rsidR="00BB2CB4" w:rsidRPr="00222C32" w:rsidRDefault="00BB2CB4">
            <w:pPr>
              <w:pStyle w:val="AgencyName"/>
              <w:keepNext/>
            </w:pPr>
          </w:p>
        </w:tc>
        <w:tc>
          <w:tcPr>
            <w:tcW w:w="1044" w:type="dxa"/>
            <w:tcBorders>
              <w:top w:val="single" w:sz="4" w:space="0" w:color="293F5B"/>
              <w:bottom w:val="nil"/>
            </w:tcBorders>
          </w:tcPr>
          <w:p w14:paraId="7766FABB" w14:textId="77777777" w:rsidR="00BB2CB4" w:rsidRPr="00222C32" w:rsidRDefault="00BB2CB4">
            <w:pPr>
              <w:pStyle w:val="AgencyName"/>
              <w:keepNext/>
            </w:pPr>
          </w:p>
        </w:tc>
        <w:tc>
          <w:tcPr>
            <w:tcW w:w="1044" w:type="dxa"/>
            <w:tcBorders>
              <w:top w:val="single" w:sz="4" w:space="0" w:color="293F5B"/>
              <w:bottom w:val="nil"/>
            </w:tcBorders>
          </w:tcPr>
          <w:p w14:paraId="44ADC1CF" w14:textId="77777777" w:rsidR="00BB2CB4" w:rsidRPr="00222C32" w:rsidRDefault="00BB2CB4">
            <w:pPr>
              <w:pStyle w:val="AgencyName"/>
              <w:keepNext/>
            </w:pPr>
          </w:p>
        </w:tc>
        <w:tc>
          <w:tcPr>
            <w:tcW w:w="1044" w:type="dxa"/>
            <w:tcBorders>
              <w:top w:val="single" w:sz="4" w:space="0" w:color="293F5B"/>
              <w:bottom w:val="nil"/>
            </w:tcBorders>
          </w:tcPr>
          <w:p w14:paraId="58F0EF00" w14:textId="77777777" w:rsidR="00BB2CB4" w:rsidRPr="00222C32" w:rsidRDefault="00BB2CB4">
            <w:pPr>
              <w:pStyle w:val="AgencyName"/>
              <w:keepNext/>
            </w:pPr>
          </w:p>
        </w:tc>
        <w:tc>
          <w:tcPr>
            <w:tcW w:w="1044" w:type="dxa"/>
            <w:tcBorders>
              <w:top w:val="single" w:sz="4" w:space="0" w:color="293F5B"/>
              <w:bottom w:val="nil"/>
            </w:tcBorders>
          </w:tcPr>
          <w:p w14:paraId="2E0DB3CF" w14:textId="77777777" w:rsidR="00BB2CB4" w:rsidRPr="00222C32" w:rsidRDefault="00BB2CB4">
            <w:pPr>
              <w:pStyle w:val="AgencyName"/>
              <w:keepNext/>
            </w:pPr>
          </w:p>
        </w:tc>
      </w:tr>
      <w:tr w:rsidR="00BB2CB4" w:rsidRPr="00222C32" w14:paraId="67F85AD6" w14:textId="77777777" w:rsidTr="00825163">
        <w:tc>
          <w:tcPr>
            <w:tcW w:w="2501" w:type="dxa"/>
            <w:tcBorders>
              <w:top w:val="nil"/>
              <w:bottom w:val="single" w:sz="4" w:space="0" w:color="293F5B"/>
            </w:tcBorders>
          </w:tcPr>
          <w:p w14:paraId="4E297483" w14:textId="77777777" w:rsidR="00BB2CB4" w:rsidRPr="00222C32" w:rsidRDefault="000674DA">
            <w:pPr>
              <w:pStyle w:val="AgencyNamewith2ptsspacing"/>
              <w:keepNext/>
            </w:pPr>
            <w:r w:rsidRPr="00222C32">
              <w:t>Australian Securities and Investments Commission</w:t>
            </w:r>
          </w:p>
        </w:tc>
        <w:tc>
          <w:tcPr>
            <w:tcW w:w="1044" w:type="dxa"/>
            <w:tcBorders>
              <w:top w:val="nil"/>
              <w:bottom w:val="single" w:sz="4" w:space="0" w:color="293F5B"/>
            </w:tcBorders>
          </w:tcPr>
          <w:p w14:paraId="2767B6A9"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50D7288B"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693B2A58" w14:textId="77777777" w:rsidR="00BB2CB4" w:rsidRPr="00222C32" w:rsidRDefault="000674DA">
            <w:pPr>
              <w:pStyle w:val="Measuretabledatarightaligneditalics"/>
              <w:keepNext/>
            </w:pPr>
            <w:r w:rsidRPr="00222C32">
              <w:t>-</w:t>
            </w:r>
          </w:p>
        </w:tc>
        <w:tc>
          <w:tcPr>
            <w:tcW w:w="1044" w:type="dxa"/>
            <w:tcBorders>
              <w:top w:val="nil"/>
              <w:bottom w:val="single" w:sz="4" w:space="0" w:color="293F5B"/>
            </w:tcBorders>
          </w:tcPr>
          <w:p w14:paraId="1DD4679C" w14:textId="77777777" w:rsidR="00BB2CB4" w:rsidRPr="00222C32" w:rsidRDefault="000674DA">
            <w:pPr>
              <w:pStyle w:val="Measuretabledatarightaligneditalics"/>
              <w:keepNext/>
            </w:pPr>
            <w:r w:rsidRPr="00222C32">
              <w:t>6.4</w:t>
            </w:r>
          </w:p>
        </w:tc>
        <w:tc>
          <w:tcPr>
            <w:tcW w:w="1044" w:type="dxa"/>
            <w:tcBorders>
              <w:top w:val="nil"/>
              <w:bottom w:val="single" w:sz="4" w:space="0" w:color="293F5B"/>
            </w:tcBorders>
          </w:tcPr>
          <w:p w14:paraId="789785E3" w14:textId="77777777" w:rsidR="00BB2CB4" w:rsidRPr="00222C32" w:rsidRDefault="000674DA">
            <w:pPr>
              <w:pStyle w:val="Measuretabledatarightaligneditalics"/>
              <w:keepNext/>
            </w:pPr>
            <w:r w:rsidRPr="00222C32">
              <w:t>3.6</w:t>
            </w:r>
          </w:p>
        </w:tc>
      </w:tr>
    </w:tbl>
    <w:p w14:paraId="6B0839FB" w14:textId="77777777" w:rsidR="00D37A4A" w:rsidRDefault="00D37A4A" w:rsidP="00D37A4A">
      <w:pPr>
        <w:pStyle w:val="SingleParagraph"/>
      </w:pPr>
    </w:p>
    <w:p w14:paraId="499E9997" w14:textId="77777777" w:rsidR="00BB2CB4" w:rsidRDefault="000674DA">
      <w:pPr>
        <w:pStyle w:val="Normal2"/>
      </w:pPr>
      <w:r>
        <w:t>The Government will provide $168.6 million over five years from 2025–‍26 to support the delivery of Government priorities in the Treasury portfolio. Funding includes:</w:t>
      </w:r>
    </w:p>
    <w:p w14:paraId="64771DEE" w14:textId="37F459C9" w:rsidR="00BB2CB4" w:rsidRDefault="000674DA">
      <w:pPr>
        <w:pStyle w:val="Bullet"/>
      </w:pPr>
      <w:r>
        <w:t>$88.9 million over five years from 2025–‍26 for the Australian Securities and Investments Commission (ASIC), the Australian Taxation Office (ATO)</w:t>
      </w:r>
      <w:r w:rsidR="007974EF">
        <w:t>,</w:t>
      </w:r>
      <w:r>
        <w:t xml:space="preserve"> the Department of Health, Disability and Ageing and Services Australia to enable an orderly transition from the use of cheques across the Australian Government as part of the Government</w:t>
      </w:r>
      <w:r w:rsidR="00222C32">
        <w:t>’</w:t>
      </w:r>
      <w:r>
        <w:t>s Cheques Transition Plan, including to establish a new Medicare electronic gap‑only billing system to replace current Pay Doctor via Claimant arrangements</w:t>
      </w:r>
    </w:p>
    <w:p w14:paraId="48C418C4" w14:textId="77777777" w:rsidR="00BB2CB4" w:rsidRDefault="000674DA">
      <w:pPr>
        <w:pStyle w:val="Bullet"/>
      </w:pPr>
      <w:r>
        <w:t>$60.9 million over two years from 2025–‍26 for the ATO to develop a second pass business case for its Enterprise Resource Planning modernisation</w:t>
      </w:r>
    </w:p>
    <w:p w14:paraId="25F6E0DC" w14:textId="1623B490" w:rsidR="00BB2CB4" w:rsidRDefault="000674DA">
      <w:pPr>
        <w:pStyle w:val="Bullet"/>
      </w:pPr>
      <w:r>
        <w:t>$9.0 million over four years from 2025–‍26 to support the Inspector‑General of Taxation and Taxation Ombudsman</w:t>
      </w:r>
      <w:r w:rsidR="00222C32">
        <w:t>’</w:t>
      </w:r>
      <w:r>
        <w:t>s operations</w:t>
      </w:r>
    </w:p>
    <w:p w14:paraId="0B1D209B" w14:textId="19C15747" w:rsidR="00BB2CB4" w:rsidRDefault="000674DA">
      <w:pPr>
        <w:pStyle w:val="Bullet"/>
      </w:pPr>
      <w:r>
        <w:t>$8.8 million over four years from 2025–‍26 for the ATO to deliver key elements critical to the delivery of improvements to ASIC</w:t>
      </w:r>
      <w:r w:rsidR="00222C32">
        <w:t>’</w:t>
      </w:r>
      <w:r>
        <w:t>s business registers</w:t>
      </w:r>
    </w:p>
    <w:p w14:paraId="77789520" w14:textId="2146EFA1" w:rsidR="00BB2CB4" w:rsidRDefault="000674DA">
      <w:pPr>
        <w:pStyle w:val="Bullet"/>
      </w:pPr>
      <w:r>
        <w:t>$1.0 million in 2026–‍27 to Treasury to provide continued technical support to Papua</w:t>
      </w:r>
      <w:r w:rsidR="003A7150">
        <w:t> </w:t>
      </w:r>
      <w:r>
        <w:t>New Guinea.</w:t>
      </w:r>
    </w:p>
    <w:p w14:paraId="67FDDD04" w14:textId="77777777" w:rsidR="00BB2CB4" w:rsidRDefault="000674DA">
      <w:pPr>
        <w:pStyle w:val="Normal2"/>
      </w:pPr>
      <w:r w:rsidRPr="69C11E82">
        <w:rPr>
          <w:lang w:val="en-US"/>
        </w:rPr>
        <w:t>ASIC will also develop a technology roadmap to incorporate beneficial ownership information into the companies register.</w:t>
      </w:r>
    </w:p>
    <w:p w14:paraId="1114CDFA" w14:textId="77777777" w:rsidR="00BB2CB4" w:rsidRDefault="000674DA">
      <w:pPr>
        <w:pStyle w:val="Normal2"/>
      </w:pPr>
      <w:r>
        <w:t>The Department of Industry, Science and Resources will cease the Business Registration Service in 2027–‍28, with services to be incorporated into a new online company registration service to be delivered by ASIC and the ATO Australian Business Register, which already offers Australian Business Number registration services.</w:t>
      </w:r>
    </w:p>
    <w:p w14:paraId="662EBC65" w14:textId="77777777" w:rsidR="00BB2CB4" w:rsidRDefault="000674DA">
      <w:pPr>
        <w:pStyle w:val="Normal2"/>
      </w:pPr>
      <w:r w:rsidRPr="69C11E82">
        <w:rPr>
          <w:lang w:val="en-US"/>
        </w:rPr>
        <w:t>The ATO and ASIC will partially meet the cost of this measure from within existing resources and through cost recovery. The cost of this measure will also be partially met from savings identified in the Health, Disability and Ageing portfolio.</w:t>
      </w:r>
    </w:p>
    <w:sectPr w:rsidR="00BB2CB4" w:rsidSect="00A3139E">
      <w:headerReference w:type="even" r:id="rId145"/>
      <w:headerReference w:type="default" r:id="rId146"/>
      <w:footerReference w:type="even" r:id="rId147"/>
      <w:footerReference w:type="default" r:id="rId148"/>
      <w:headerReference w:type="first" r:id="rId149"/>
      <w:footerReference w:type="first" r:id="rId150"/>
      <w:endnotePr>
        <w:numFmt w:val="lowerLetter"/>
        <w:numRestart w:val="eachSect"/>
      </w:endnotePr>
      <w:pgSz w:w="11906" w:h="16838" w:code="9"/>
      <w:pgMar w:top="2835" w:right="2098" w:bottom="2466" w:left="2098" w:header="1814" w:footer="181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2B7E" w14:textId="77777777" w:rsidR="00AE0E87" w:rsidRPr="00493083" w:rsidRDefault="00AE0E87" w:rsidP="00493083">
      <w:pPr>
        <w:pStyle w:val="SummaryTableEndnoteSeparator"/>
      </w:pPr>
    </w:p>
  </w:endnote>
  <w:endnote w:type="continuationSeparator" w:id="0">
    <w:p w14:paraId="78D0AB5A" w14:textId="77777777" w:rsidR="00AE0E87" w:rsidRDefault="00AE0E87">
      <w:r>
        <w:continuationSeparator/>
      </w:r>
    </w:p>
  </w:endnote>
  <w:endnote w:type="continuationNotice" w:id="1">
    <w:p w14:paraId="5E9117A7" w14:textId="77777777" w:rsidR="00AE0E87" w:rsidRDefault="00AE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7D38" w14:textId="7F6EA6D6"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4</w:t>
    </w:r>
    <w:r w:rsidRPr="000D63FB">
      <w:rPr>
        <w:b/>
      </w:rPr>
      <w:fldChar w:fldCharType="end"/>
    </w:r>
    <w:r>
      <w:t> | Appendix A: Policy decisions taken since the</w:t>
    </w:r>
    <w:r w:rsidR="005F4A87">
      <w:t xml:space="preserve"> 2025 PEFO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9CCB" w14:textId="32638017"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8</w:t>
    </w:r>
    <w:r w:rsidRPr="000D63FB">
      <w:rPr>
        <w:b/>
      </w:rPr>
      <w:fldChar w:fldCharType="end"/>
    </w:r>
    <w:r>
      <w:t> | Appendix A: Policy decisions taken since the</w:t>
    </w:r>
    <w:r w:rsidR="005F4A87">
      <w:t xml:space="preserve"> 2025 PEFO</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59AF" w14:textId="4E92BBF8"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7</w:t>
    </w:r>
    <w:r w:rsidRPr="000D63FB">
      <w:rP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B952" w14:textId="01113B5E"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B0A6" w14:textId="0F1BD09D"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1</w:t>
    </w:r>
    <w:r w:rsidRPr="000D63FB">
      <w:rPr>
        <w:b/>
      </w:rPr>
      <w:fldChar w:fldCharType="end"/>
    </w:r>
    <w:r>
      <w:t> | Appendix A: Policy decisions taken since the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E839" w14:textId="53011FB1"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9</w:t>
    </w:r>
    <w:r w:rsidRPr="000D63FB">
      <w:rPr>
        <w: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E7B3" w14:textId="0BC91711"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B849" w14:textId="32F5A8C5"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12</w:t>
    </w:r>
    <w:r w:rsidRPr="000D63FB">
      <w:rPr>
        <w:b/>
      </w:rPr>
      <w:fldChar w:fldCharType="end"/>
    </w:r>
    <w:r>
      <w:t> | Appendix A: Policy decisions taken since the</w:t>
    </w:r>
    <w:r w:rsidR="005F4A87">
      <w:t xml:space="preserve"> 2025 PEFO</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0A40" w14:textId="078FBE47"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11</w:t>
    </w:r>
    <w:r w:rsidRPr="000D63FB">
      <w:rPr>
        <w: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69A1" w14:textId="70863A0F"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6D38" w14:textId="265DA103"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24</w:t>
    </w:r>
    <w:r w:rsidRPr="000D63FB">
      <w:rPr>
        <w:b/>
      </w:rPr>
      <w:fldChar w:fldCharType="end"/>
    </w:r>
    <w:r>
      <w:t> | Appendix A: Policy decisions taken since the</w:t>
    </w:r>
    <w:r w:rsidR="005F4A87">
      <w:t xml:space="preserve"> 2025 PEFO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F8F4" w14:textId="6D540313" w:rsidR="00294042"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3</w:t>
    </w:r>
    <w:r w:rsidRPr="000D63FB">
      <w:rPr>
        <w: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6588" w14:textId="54E565A6"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25</w:t>
    </w:r>
    <w:r w:rsidRPr="000D63FB">
      <w:rPr>
        <w: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AA3" w14:textId="3C00B9EE"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07CA" w14:textId="33559F2C"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079E" w14:textId="6189F3EC"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674E" w14:textId="36DBCADD"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68AE" w14:textId="2D904E4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C06D" w14:textId="6518523A"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7E98" w14:textId="575EAB5F"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830C" w14:textId="58C03E3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9C49" w14:textId="3BB5FE5E"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D3D" w14:textId="375757EB"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9A53" w14:textId="1FBB7701"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0FF5" w14:textId="487391C2"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4332" w14:textId="726FDD71"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7422" w14:textId="5E86C6BF"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888" w14:textId="6DEC54F1"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1DF9" w14:textId="384B798C"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3194" w14:textId="0CE0CB79"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12D1" w14:textId="7D4C517F"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789A" w14:textId="00513B7A"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452" w14:textId="19DB0522"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518C" w14:textId="3C51866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4</w:t>
    </w:r>
    <w:r w:rsidRPr="000D63FB">
      <w:rPr>
        <w:b/>
      </w:rPr>
      <w:fldChar w:fldCharType="end"/>
    </w:r>
    <w:r>
      <w:t> | Appendix A: Policy decisions taken since the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526A" w14:textId="476D1267"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536A" w14:textId="4E406049"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EB87" w14:textId="731B18D4"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02E6" w14:textId="53187743"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9C66" w14:textId="0D526A68"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C0BF" w14:textId="1851892A"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9E8E" w14:textId="2FC6F5F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FA5" w14:textId="1282B899"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7F63" w14:textId="35CF8CF2"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764" w14:textId="1F8C88D9"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6A29" w14:textId="1774EB61"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5</w:t>
    </w:r>
    <w:r w:rsidRPr="000D63FB">
      <w:rPr>
        <w:b/>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D3E5" w14:textId="5E8BC2F2"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7626" w14:textId="70A77342"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0A4D" w14:textId="45D6F15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CE1E" w14:textId="50868842"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64AC" w14:textId="77BA34D9"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EA83" w14:textId="28ED7976"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8B20" w14:textId="59EFFD5B"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9CBB" w14:textId="20003D75"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1335" w14:textId="780D36A4"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6A52" w14:textId="138F067A"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3695" w14:textId="0EAD22F1"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7964" w14:textId="1E89B5B4"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B181" w14:textId="62395DB5"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C9F3" w14:textId="71141854"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4DBC" w14:textId="7E76DF95"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197" w14:textId="230418EA"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4F81" w14:textId="259FB428"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1A17" w14:textId="6ABB4EAB"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ACBA" w14:textId="6DE6F637"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A35C" w14:textId="4436FC4E"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BDAA" w14:textId="5B0BBE0C"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7901" w14:textId="3DD8E7EE"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6</w:t>
    </w:r>
    <w:r w:rsidRPr="000D63FB">
      <w:rPr>
        <w:b/>
      </w:rPr>
      <w:fldChar w:fldCharType="end"/>
    </w:r>
    <w:r>
      <w:t> | Appendix A: Policy decisions taken since the</w:t>
    </w:r>
    <w:r w:rsidR="005F4A87">
      <w:t xml:space="preserve"> 2025 PEFO</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B956" w14:textId="792193A1" w:rsidR="000D63FB" w:rsidRPr="000D63FB" w:rsidRDefault="000D63FB" w:rsidP="000D63FB">
    <w:pPr>
      <w:pStyle w:val="FooterEven"/>
    </w:pP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r>
      <w:t> | Appendix A: Policy decisions taken since the</w:t>
    </w:r>
    <w:r w:rsidR="005F4A87">
      <w:t xml:space="preserve"> 2025 PEFO</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64DE" w14:textId="61352257" w:rsidR="000D63FB" w:rsidRPr="000D63FB" w:rsidRDefault="000D63FB" w:rsidP="000D63FB">
    <w:pPr>
      <w:pStyle w:val="FooterOdd"/>
    </w:pPr>
    <w:r>
      <w:t>Appendix A: Policy decisions taken since the</w:t>
    </w:r>
    <w:r w:rsidR="005F4A87">
      <w:t xml:space="preserve"> 2025 PEFO</w:t>
    </w:r>
    <w:r>
      <w:t>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24</w:t>
    </w:r>
    <w:r w:rsidRPr="000D63FB">
      <w:rPr>
        <w:b/>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9F2D" w14:textId="3DBBADC3"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13</w:t>
    </w:r>
    <w:r w:rsidRPr="000D63FB">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9A75" w14:textId="24EB3858"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sidRPr="000D63FB">
      <w:rPr>
        <w:b/>
        <w:noProof/>
      </w:rPr>
      <w:t>4</w:t>
    </w:r>
    <w:r w:rsidRPr="000D63FB">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6BE6" w14:textId="1434FD6F" w:rsidR="000D63FB" w:rsidRPr="000D63FB" w:rsidRDefault="000D63FB" w:rsidP="000D63FB">
    <w:pPr>
      <w:pStyle w:val="FooterOdd"/>
    </w:pPr>
    <w:r>
      <w:t>Appendix A: Policy decisions taken since the | </w:t>
    </w:r>
    <w:r w:rsidRPr="000D63FB">
      <w:rPr>
        <w:b/>
      </w:rPr>
      <w:t xml:space="preserve">Page </w:t>
    </w:r>
    <w:r w:rsidRPr="000D63FB">
      <w:rPr>
        <w:b/>
      </w:rPr>
      <w:fldChar w:fldCharType="begin"/>
    </w:r>
    <w:r w:rsidRPr="000D63FB">
      <w:rPr>
        <w:b/>
      </w:rPr>
      <w:instrText xml:space="preserve"> PAGE  \* MERGEFORMAT </w:instrText>
    </w:r>
    <w:r w:rsidRPr="000D63FB">
      <w:rPr>
        <w:b/>
      </w:rPr>
      <w:fldChar w:fldCharType="separate"/>
    </w:r>
    <w:r>
      <w:rPr>
        <w:b/>
        <w:noProof/>
      </w:rPr>
      <w:t>1</w:t>
    </w:r>
    <w:r w:rsidRPr="000D63F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0F27" w14:textId="77777777" w:rsidR="00AE0E87" w:rsidRDefault="00AE0E87">
      <w:r>
        <w:separator/>
      </w:r>
    </w:p>
  </w:footnote>
  <w:footnote w:type="continuationSeparator" w:id="0">
    <w:p w14:paraId="17B6A867" w14:textId="77777777" w:rsidR="00AE0E87" w:rsidRDefault="00AE0E87">
      <w:r>
        <w:continuationSeparator/>
      </w:r>
    </w:p>
  </w:footnote>
  <w:footnote w:type="continuationNotice" w:id="1">
    <w:p w14:paraId="71F983F5" w14:textId="77777777" w:rsidR="00AE0E87" w:rsidRDefault="00AE0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2C" w:rsidRPr="00094AFD" w14:paraId="10275944" w14:textId="77777777" w:rsidTr="00955DC3">
      <w:trPr>
        <w:trHeight w:hRule="exact" w:val="340"/>
      </w:trPr>
      <w:tc>
        <w:tcPr>
          <w:tcW w:w="7797" w:type="dxa"/>
        </w:tcPr>
        <w:p w14:paraId="44BC8AD8" w14:textId="1C6C5DD4" w:rsidR="0097462C" w:rsidRPr="00094AFD" w:rsidRDefault="0097462C" w:rsidP="0097462C">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79F075BA" wp14:editId="125C62D2">
                <wp:extent cx="864091" cy="198000"/>
                <wp:effectExtent l="0" t="0" r="0" b="0"/>
                <wp:docPr id="102182942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29424"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15022AF" w14:textId="77777777" w:rsidR="000D63FB" w:rsidRDefault="000D63FB" w:rsidP="009746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2C" w:rsidRPr="00094AFD" w14:paraId="0F19F210" w14:textId="77777777" w:rsidTr="00955DC3">
      <w:trPr>
        <w:trHeight w:hRule="exact" w:val="340"/>
      </w:trPr>
      <w:tc>
        <w:tcPr>
          <w:tcW w:w="7797" w:type="dxa"/>
        </w:tcPr>
        <w:p w14:paraId="4D389787" w14:textId="6C4BA5A3" w:rsidR="0097462C" w:rsidRPr="00094AFD" w:rsidRDefault="0097462C" w:rsidP="0097462C">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3C563672" wp14:editId="4AC40803">
                <wp:extent cx="864091" cy="198000"/>
                <wp:effectExtent l="0" t="0" r="0" b="0"/>
                <wp:docPr id="3073686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866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745B845D" w14:textId="77777777" w:rsidR="000D63FB" w:rsidRDefault="000D63FB" w:rsidP="009746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D7" w14:paraId="7B818BEA" w14:textId="77777777">
      <w:trPr>
        <w:trHeight w:hRule="exact" w:val="340"/>
      </w:trPr>
      <w:tc>
        <w:tcPr>
          <w:tcW w:w="7797" w:type="dxa"/>
          <w:tcMar>
            <w:left w:w="108" w:type="dxa"/>
            <w:right w:w="108" w:type="dxa"/>
          </w:tcMar>
        </w:tcPr>
        <w:p w14:paraId="5368EE0F" w14:textId="0DD4EC7C" w:rsidR="009746D7" w:rsidRPr="00D13BF9" w:rsidRDefault="0034382C" w:rsidP="009746D7">
          <w:pPr>
            <w:pStyle w:val="HeaderOdd"/>
          </w:pPr>
          <w:fldSimple w:instr=" STYLEREF  PortfolioName  \* MERGEFORMAT ">
            <w:r w:rsidR="001A6D18">
              <w:rPr>
                <w:noProof/>
              </w:rPr>
              <w:t>Home Affairs</w:t>
            </w:r>
          </w:fldSimple>
          <w:r w:rsidR="009746D7" w:rsidRPr="00081542">
            <w:t> | </w:t>
          </w:r>
          <w:r w:rsidR="009746D7" w:rsidRPr="002709D2">
            <w:rPr>
              <w:noProof/>
              <w:position w:val="-8"/>
              <w:vertAlign w:val="subscript"/>
            </w:rPr>
            <w:drawing>
              <wp:inline distT="0" distB="0" distL="0" distR="0" wp14:anchorId="6D2D12F8" wp14:editId="5E23DAD7">
                <wp:extent cx="864091" cy="198000"/>
                <wp:effectExtent l="0" t="0" r="0" b="0"/>
                <wp:docPr id="940198448" name="Picture 940198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84A9AD0" w14:textId="77777777" w:rsidR="009746D7" w:rsidRDefault="009746D7" w:rsidP="000D63FB">
    <w:pPr>
      <w:pStyle w:val="HeaderOd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2B7" w14:textId="7C507DC1" w:rsidR="000D63FB" w:rsidRDefault="000D63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6" w:type="dxa"/>
      <w:tblCellMar>
        <w:left w:w="0" w:type="dxa"/>
        <w:right w:w="0" w:type="dxa"/>
      </w:tblCellMar>
      <w:tblLook w:val="0000" w:firstRow="0" w:lastRow="0" w:firstColumn="0" w:lastColumn="0" w:noHBand="0" w:noVBand="0"/>
    </w:tblPr>
    <w:tblGrid>
      <w:gridCol w:w="7796"/>
    </w:tblGrid>
    <w:tr w:rsidR="000D63FB" w:rsidRPr="00222C32" w14:paraId="3966FCC6" w14:textId="77777777" w:rsidTr="000D63FB">
      <w:trPr>
        <w:trHeight w:hRule="exact" w:val="340"/>
      </w:trPr>
      <w:tc>
        <w:tcPr>
          <w:tcW w:w="7796" w:type="dxa"/>
        </w:tcPr>
        <w:p w14:paraId="2853FEE9" w14:textId="6B0001D3" w:rsidR="000D63FB" w:rsidRPr="00222C32" w:rsidRDefault="000D63FB" w:rsidP="000D63FB">
          <w:pPr>
            <w:pStyle w:val="HeaderEven"/>
          </w:pPr>
          <w:r w:rsidRPr="00222C32">
            <w:rPr>
              <w:noProof/>
              <w:position w:val="-8"/>
            </w:rPr>
            <w:drawing>
              <wp:inline distT="0" distB="0" distL="0" distR="0" wp14:anchorId="76DA87DF" wp14:editId="52DA4529">
                <wp:extent cx="863348" cy="197358"/>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48" cy="197358"/>
                        </a:xfrm>
                        <a:prstGeom prst="rect">
                          <a:avLst/>
                        </a:prstGeom>
                      </pic:spPr>
                    </pic:pic>
                  </a:graphicData>
                </a:graphic>
              </wp:inline>
            </w:drawing>
          </w:r>
          <w:r w:rsidRPr="00222C32">
            <w:t xml:space="preserve"> | Mid-Year Economic and Fiscal Outlook </w:t>
          </w:r>
        </w:p>
      </w:tc>
    </w:tr>
  </w:tbl>
  <w:p w14:paraId="3EFC0063" w14:textId="77777777" w:rsidR="000D63FB" w:rsidRDefault="000D63FB" w:rsidP="000D63FB">
    <w:pPr>
      <w:pStyle w:val="HeaderEven"/>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A575B" w:rsidRPr="005A575B" w14:paraId="3A217C1B" w14:textId="77777777" w:rsidTr="005A575B">
      <w:trPr>
        <w:trHeight w:hRule="exact" w:val="340"/>
      </w:trPr>
      <w:tc>
        <w:tcPr>
          <w:tcW w:w="7797" w:type="dxa"/>
          <w:tcMar>
            <w:left w:w="0" w:type="dxa"/>
            <w:right w:w="108" w:type="dxa"/>
          </w:tcMar>
        </w:tcPr>
        <w:p w14:paraId="24B4760C" w14:textId="3CCB1806" w:rsidR="005A575B" w:rsidRPr="005A575B" w:rsidRDefault="005A575B" w:rsidP="005A575B">
          <w:pPr>
            <w:pStyle w:val="HeaderOdd"/>
          </w:pPr>
          <w:r w:rsidRPr="00AD75F9">
            <w:rPr>
              <w:spacing w:val="-5"/>
              <w:sz w:val="17"/>
              <w:szCs w:val="17"/>
            </w:rPr>
            <w:fldChar w:fldCharType="begin"/>
          </w:r>
          <w:r w:rsidRPr="00AD75F9">
            <w:rPr>
              <w:spacing w:val="-5"/>
              <w:sz w:val="17"/>
              <w:szCs w:val="17"/>
            </w:rPr>
            <w:instrText xml:space="preserve"> STYLEREF  PortfolioName  \* MERGEFORMAT </w:instrText>
          </w:r>
          <w:r w:rsidRPr="00AD75F9">
            <w:rPr>
              <w:spacing w:val="-5"/>
              <w:sz w:val="17"/>
              <w:szCs w:val="17"/>
            </w:rPr>
            <w:fldChar w:fldCharType="separate"/>
          </w:r>
          <w:r w:rsidR="001A6D18">
            <w:rPr>
              <w:noProof/>
              <w:spacing w:val="-5"/>
              <w:sz w:val="17"/>
              <w:szCs w:val="17"/>
            </w:rPr>
            <w:t>Infrastructure, Transport, Regional Development, Communications, Sport and the Arts</w:t>
          </w:r>
          <w:r w:rsidRPr="00AD75F9">
            <w:rPr>
              <w:noProof/>
              <w:spacing w:val="-5"/>
              <w:sz w:val="17"/>
              <w:szCs w:val="17"/>
            </w:rPr>
            <w:fldChar w:fldCharType="end"/>
          </w:r>
          <w:r w:rsidRPr="005A575B">
            <w:t> | </w:t>
          </w:r>
          <w:r w:rsidRPr="005A575B">
            <w:rPr>
              <w:noProof/>
              <w:position w:val="-8"/>
              <w:vertAlign w:val="subscript"/>
            </w:rPr>
            <w:drawing>
              <wp:inline distT="0" distB="0" distL="0" distR="0" wp14:anchorId="541753B9" wp14:editId="1DF3D2B3">
                <wp:extent cx="864091" cy="198000"/>
                <wp:effectExtent l="0" t="0" r="0" b="0"/>
                <wp:docPr id="1952665803" name="Picture 1952665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51341" name="Picture 17930513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1A85D62" w14:textId="77777777" w:rsidR="005A575B" w:rsidRPr="005A575B" w:rsidRDefault="005A575B" w:rsidP="005A575B">
    <w:pPr>
      <w:pStyle w:val="HeaderOd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EA36" w14:textId="5CF9F3C6" w:rsidR="000D63FB" w:rsidRDefault="000D63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2C" w:rsidRPr="00094AFD" w14:paraId="00BB3D12" w14:textId="77777777" w:rsidTr="00955DC3">
      <w:trPr>
        <w:trHeight w:hRule="exact" w:val="340"/>
      </w:trPr>
      <w:tc>
        <w:tcPr>
          <w:tcW w:w="7797" w:type="dxa"/>
        </w:tcPr>
        <w:p w14:paraId="7FB5E911" w14:textId="2C881E44" w:rsidR="0097462C" w:rsidRPr="00094AFD" w:rsidRDefault="0097462C" w:rsidP="0097462C">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0B8D55DA" wp14:editId="43C07782">
                <wp:extent cx="864091" cy="198000"/>
                <wp:effectExtent l="0" t="0" r="0" b="0"/>
                <wp:docPr id="6892815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8158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729AC0E3" w14:textId="77777777" w:rsidR="000D63FB" w:rsidRDefault="000D63FB" w:rsidP="0097462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E7C74" w14:paraId="20DE91CC" w14:textId="77777777">
      <w:trPr>
        <w:trHeight w:hRule="exact" w:val="340"/>
      </w:trPr>
      <w:tc>
        <w:tcPr>
          <w:tcW w:w="7797" w:type="dxa"/>
          <w:tcMar>
            <w:left w:w="108" w:type="dxa"/>
            <w:right w:w="108" w:type="dxa"/>
          </w:tcMar>
        </w:tcPr>
        <w:p w14:paraId="58506FD1" w14:textId="0E0AA5DF" w:rsidR="009E7C74" w:rsidRPr="00D13BF9" w:rsidRDefault="0034382C" w:rsidP="009E7C74">
          <w:pPr>
            <w:pStyle w:val="HeaderOdd"/>
          </w:pPr>
          <w:fldSimple w:instr=" STYLEREF  PortfolioName  \* MERGEFORMAT ">
            <w:r w:rsidR="001A6D18">
              <w:rPr>
                <w:noProof/>
              </w:rPr>
              <w:t>Treasury</w:t>
            </w:r>
          </w:fldSimple>
          <w:r w:rsidR="009E7C74" w:rsidRPr="00081542">
            <w:t> | </w:t>
          </w:r>
          <w:r w:rsidR="009E7C74" w:rsidRPr="002709D2">
            <w:rPr>
              <w:noProof/>
              <w:position w:val="-8"/>
              <w:vertAlign w:val="subscript"/>
            </w:rPr>
            <w:drawing>
              <wp:inline distT="0" distB="0" distL="0" distR="0" wp14:anchorId="158C1607" wp14:editId="3A35D8FE">
                <wp:extent cx="864091" cy="198000"/>
                <wp:effectExtent l="0" t="0" r="0" b="0"/>
                <wp:docPr id="1259183130" name="Picture 1259183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9B6DA64" w14:textId="77777777" w:rsidR="000D63FB" w:rsidRPr="009E7C74" w:rsidRDefault="000D63FB" w:rsidP="009E7C74">
    <w:pPr>
      <w:pStyle w:val="HeaderOd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8410" w14:textId="24CC7F7C" w:rsidR="000D63FB" w:rsidRDefault="000D63F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2C" w:rsidRPr="00094AFD" w14:paraId="21B0BF9F" w14:textId="77777777" w:rsidTr="00955DC3">
      <w:trPr>
        <w:trHeight w:hRule="exact" w:val="340"/>
      </w:trPr>
      <w:tc>
        <w:tcPr>
          <w:tcW w:w="7797" w:type="dxa"/>
        </w:tcPr>
        <w:p w14:paraId="69F972A9" w14:textId="09AD60F9" w:rsidR="0097462C" w:rsidRPr="00094AFD" w:rsidRDefault="0097462C" w:rsidP="0097462C">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59278A0D" wp14:editId="26308266">
                <wp:extent cx="864091" cy="198000"/>
                <wp:effectExtent l="0" t="0" r="0" b="0"/>
                <wp:docPr id="553301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019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41A4468" w14:textId="77777777" w:rsidR="000D63FB" w:rsidRDefault="000D63FB" w:rsidP="00974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BC20EE" w14:paraId="3A504080" w14:textId="77777777">
      <w:trPr>
        <w:trHeight w:hRule="exact" w:val="340"/>
      </w:trPr>
      <w:tc>
        <w:tcPr>
          <w:tcW w:w="7797" w:type="dxa"/>
          <w:tcMar>
            <w:left w:w="108" w:type="dxa"/>
            <w:right w:w="108" w:type="dxa"/>
          </w:tcMar>
        </w:tcPr>
        <w:p w14:paraId="1B3E264E" w14:textId="745B95F6" w:rsidR="00BC20EE" w:rsidRPr="00D13BF9" w:rsidRDefault="0034382C" w:rsidP="00BC20EE">
          <w:pPr>
            <w:pStyle w:val="HeaderOdd"/>
          </w:pPr>
          <w:fldSimple w:instr=" STYLEREF  &quot;Heading 2&quot;  \* MERGEFORMAT ">
            <w:r w:rsidR="001A6D18">
              <w:rPr>
                <w:noProof/>
              </w:rPr>
              <w:t>Receipt Measures</w:t>
            </w:r>
          </w:fldSimple>
          <w:r w:rsidR="00BC20EE" w:rsidRPr="00081542">
            <w:t> | </w:t>
          </w:r>
          <w:r w:rsidR="00BC20EE" w:rsidRPr="002709D2">
            <w:rPr>
              <w:noProof/>
              <w:position w:val="-8"/>
              <w:vertAlign w:val="subscript"/>
            </w:rPr>
            <w:drawing>
              <wp:inline distT="0" distB="0" distL="0" distR="0" wp14:anchorId="33C730E3" wp14:editId="4E54DDA7">
                <wp:extent cx="864091" cy="198000"/>
                <wp:effectExtent l="0" t="0" r="0" b="0"/>
                <wp:docPr id="1527494589" name="Picture 1527494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94589" name="Picture 15274945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12ED007" w14:textId="77777777" w:rsidR="00BC20EE" w:rsidRPr="00F6650C" w:rsidRDefault="00BC20EE" w:rsidP="00F6650C">
    <w:pPr>
      <w:pStyle w:val="HeaderOd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A283B" w14:paraId="6FAA8277" w14:textId="77777777">
      <w:trPr>
        <w:trHeight w:hRule="exact" w:val="340"/>
      </w:trPr>
      <w:tc>
        <w:tcPr>
          <w:tcW w:w="7797" w:type="dxa"/>
          <w:tcMar>
            <w:left w:w="108" w:type="dxa"/>
            <w:right w:w="108" w:type="dxa"/>
          </w:tcMar>
        </w:tcPr>
        <w:p w14:paraId="14BE9D70" w14:textId="749A000B" w:rsidR="007A283B" w:rsidRPr="00D13BF9" w:rsidRDefault="0034382C" w:rsidP="007A283B">
          <w:pPr>
            <w:pStyle w:val="HeaderOdd"/>
          </w:pPr>
          <w:fldSimple w:instr=" STYLEREF  &quot;Heading 2&quot;  \* MERGEFORMAT ">
            <w:r w:rsidR="001A6D18">
              <w:rPr>
                <w:noProof/>
              </w:rPr>
              <w:t>Payment Measures</w:t>
            </w:r>
          </w:fldSimple>
          <w:r w:rsidR="007A283B" w:rsidRPr="00081542">
            <w:t> | </w:t>
          </w:r>
          <w:r w:rsidR="007A283B" w:rsidRPr="002709D2">
            <w:rPr>
              <w:noProof/>
              <w:position w:val="-8"/>
              <w:vertAlign w:val="subscript"/>
            </w:rPr>
            <w:drawing>
              <wp:inline distT="0" distB="0" distL="0" distR="0" wp14:anchorId="117638F1" wp14:editId="7F731DEF">
                <wp:extent cx="864091" cy="198000"/>
                <wp:effectExtent l="0" t="0" r="0" b="0"/>
                <wp:docPr id="1989913177" name="Picture 1989913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75600EB" w14:textId="77777777" w:rsidR="009E7C74" w:rsidRPr="007A283B" w:rsidRDefault="009E7C74" w:rsidP="007A283B">
    <w:pPr>
      <w:pStyle w:val="HeaderOd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E7C74" w14:paraId="1E84DE33" w14:textId="77777777">
      <w:trPr>
        <w:trHeight w:hRule="exact" w:val="340"/>
      </w:trPr>
      <w:tc>
        <w:tcPr>
          <w:tcW w:w="7797" w:type="dxa"/>
          <w:tcMar>
            <w:left w:w="108" w:type="dxa"/>
            <w:right w:w="108" w:type="dxa"/>
          </w:tcMar>
        </w:tcPr>
        <w:p w14:paraId="2E877AF5" w14:textId="50644160" w:rsidR="009E7C74" w:rsidRPr="00D13BF9" w:rsidRDefault="0034382C" w:rsidP="009E7C74">
          <w:pPr>
            <w:pStyle w:val="HeaderOdd"/>
          </w:pPr>
          <w:fldSimple w:instr=" STYLEREF  &quot;Heading 2&quot;  \* MERGEFORMAT ">
            <w:r w:rsidR="001A6D18">
              <w:rPr>
                <w:noProof/>
              </w:rPr>
              <w:t>Payment Measures</w:t>
            </w:r>
          </w:fldSimple>
          <w:r w:rsidR="009E7C74" w:rsidRPr="00081542">
            <w:t> | </w:t>
          </w:r>
          <w:r w:rsidR="009E7C74" w:rsidRPr="002709D2">
            <w:rPr>
              <w:noProof/>
              <w:position w:val="-8"/>
              <w:vertAlign w:val="subscript"/>
            </w:rPr>
            <w:drawing>
              <wp:inline distT="0" distB="0" distL="0" distR="0" wp14:anchorId="6A4D1228" wp14:editId="29BE7B40">
                <wp:extent cx="864091" cy="198000"/>
                <wp:effectExtent l="0" t="0" r="0" b="0"/>
                <wp:docPr id="820794912" name="Picture 820794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FA78C70" w14:textId="77777777" w:rsidR="009E7C74" w:rsidRDefault="009E7C74" w:rsidP="00407361">
    <w:pPr>
      <w:pStyle w:val="HeaderOd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1456E" w:rsidRPr="00094AFD" w14:paraId="4552A736" w14:textId="77777777" w:rsidTr="00955DC3">
      <w:trPr>
        <w:trHeight w:hRule="exact" w:val="340"/>
      </w:trPr>
      <w:tc>
        <w:tcPr>
          <w:tcW w:w="7797" w:type="dxa"/>
        </w:tcPr>
        <w:p w14:paraId="5FCC8D39" w14:textId="35EC54FD" w:rsidR="0051456E" w:rsidRPr="00094AFD" w:rsidRDefault="0051456E" w:rsidP="0051456E">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1AF1F7B2" wp14:editId="6ADE2CF5">
                <wp:extent cx="864091" cy="198000"/>
                <wp:effectExtent l="0" t="0" r="0" b="0"/>
                <wp:docPr id="2484284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2843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09748E55" w14:textId="77777777" w:rsidR="000D63FB" w:rsidRDefault="000D63FB" w:rsidP="0051456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A283B" w14:paraId="66B63D40" w14:textId="77777777">
      <w:trPr>
        <w:trHeight w:hRule="exact" w:val="340"/>
      </w:trPr>
      <w:tc>
        <w:tcPr>
          <w:tcW w:w="7797" w:type="dxa"/>
          <w:tcMar>
            <w:left w:w="108" w:type="dxa"/>
            <w:right w:w="108" w:type="dxa"/>
          </w:tcMar>
        </w:tcPr>
        <w:p w14:paraId="44CF7B33" w14:textId="19C3F47A" w:rsidR="007A283B" w:rsidRPr="00D13BF9" w:rsidRDefault="0034382C" w:rsidP="007A283B">
          <w:pPr>
            <w:pStyle w:val="HeaderOdd"/>
          </w:pPr>
          <w:fldSimple w:instr=" STYLEREF  PortfolioName  \* MERGEFORMAT ">
            <w:r w:rsidR="001A6D18">
              <w:rPr>
                <w:noProof/>
              </w:rPr>
              <w:t>Agriculture, Fisheries and Forestry</w:t>
            </w:r>
          </w:fldSimple>
          <w:r w:rsidR="007A283B" w:rsidRPr="00081542">
            <w:t> | </w:t>
          </w:r>
          <w:r w:rsidR="007A283B" w:rsidRPr="002709D2">
            <w:rPr>
              <w:noProof/>
              <w:position w:val="-8"/>
              <w:vertAlign w:val="subscript"/>
            </w:rPr>
            <w:drawing>
              <wp:inline distT="0" distB="0" distL="0" distR="0" wp14:anchorId="7BCE427F" wp14:editId="32D9F980">
                <wp:extent cx="864091" cy="198000"/>
                <wp:effectExtent l="0" t="0" r="0" b="0"/>
                <wp:docPr id="236142376" name="Picture 236142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48F43CE" w14:textId="77777777" w:rsidR="007A283B" w:rsidRDefault="007A283B" w:rsidP="000D63FB">
    <w:pPr>
      <w:pStyle w:val="HeaderOd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3A66" w14:textId="4EA11D29" w:rsidR="000D63FB" w:rsidRDefault="000D63FB" w:rsidP="000D63F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1456E" w:rsidRPr="00094AFD" w14:paraId="38C95EE1" w14:textId="77777777" w:rsidTr="00955DC3">
      <w:trPr>
        <w:trHeight w:hRule="exact" w:val="340"/>
      </w:trPr>
      <w:tc>
        <w:tcPr>
          <w:tcW w:w="7797" w:type="dxa"/>
        </w:tcPr>
        <w:p w14:paraId="2BCED4E0" w14:textId="1F288528" w:rsidR="0051456E" w:rsidRPr="00094AFD" w:rsidRDefault="0051456E" w:rsidP="0051456E">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482B4DE5" wp14:editId="2488F040">
                <wp:extent cx="864091" cy="198000"/>
                <wp:effectExtent l="0" t="0" r="0" b="0"/>
                <wp:docPr id="10112611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6111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4FFBDE2E" w14:textId="77777777" w:rsidR="000D63FB" w:rsidRDefault="000D63FB" w:rsidP="0051456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A283B" w14:paraId="72B5F13D" w14:textId="77777777">
      <w:trPr>
        <w:trHeight w:hRule="exact" w:val="340"/>
      </w:trPr>
      <w:tc>
        <w:tcPr>
          <w:tcW w:w="7797" w:type="dxa"/>
          <w:tcMar>
            <w:left w:w="108" w:type="dxa"/>
            <w:right w:w="108" w:type="dxa"/>
          </w:tcMar>
        </w:tcPr>
        <w:p w14:paraId="6E23E931" w14:textId="02B56F61" w:rsidR="007A283B" w:rsidRPr="00D13BF9" w:rsidRDefault="0034382C" w:rsidP="007A283B">
          <w:pPr>
            <w:pStyle w:val="HeaderOdd"/>
          </w:pPr>
          <w:fldSimple w:instr=" STYLEREF  PortfolioName  \* MERGEFORMAT ">
            <w:r w:rsidR="001A6D18">
              <w:rPr>
                <w:noProof/>
              </w:rPr>
              <w:t>Attorney</w:t>
            </w:r>
            <w:r w:rsidR="001A6D18" w:rsidRPr="001A6D18">
              <w:rPr>
                <w:rFonts w:ascii="Cambria Math" w:hAnsi="Cambria Math" w:cs="Cambria Math"/>
                <w:noProof/>
              </w:rPr>
              <w:t>‑</w:t>
            </w:r>
            <w:r w:rsidR="001A6D18">
              <w:rPr>
                <w:noProof/>
              </w:rPr>
              <w:t>General’s</w:t>
            </w:r>
          </w:fldSimple>
          <w:r w:rsidR="007A283B" w:rsidRPr="00081542">
            <w:t> | </w:t>
          </w:r>
          <w:r w:rsidR="007A283B" w:rsidRPr="002709D2">
            <w:rPr>
              <w:noProof/>
              <w:position w:val="-8"/>
              <w:vertAlign w:val="subscript"/>
            </w:rPr>
            <w:drawing>
              <wp:inline distT="0" distB="0" distL="0" distR="0" wp14:anchorId="6A17BEA4" wp14:editId="2BF97870">
                <wp:extent cx="864091" cy="198000"/>
                <wp:effectExtent l="0" t="0" r="0" b="0"/>
                <wp:docPr id="156232801" name="Picture 156232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C7F047D" w14:textId="77777777" w:rsidR="000D63FB" w:rsidRPr="007A283B" w:rsidRDefault="000D63FB" w:rsidP="00D32E5A">
    <w:pPr>
      <w:pStyle w:val="HeaderOd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7279" w14:textId="61DD19FA" w:rsidR="000D63FB" w:rsidRDefault="000D63FB" w:rsidP="000D63F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1456E" w:rsidRPr="00094AFD" w14:paraId="3D105E24" w14:textId="77777777" w:rsidTr="00955DC3">
      <w:trPr>
        <w:trHeight w:hRule="exact" w:val="340"/>
      </w:trPr>
      <w:tc>
        <w:tcPr>
          <w:tcW w:w="7797" w:type="dxa"/>
        </w:tcPr>
        <w:p w14:paraId="6D06E872" w14:textId="23D0DA20" w:rsidR="0051456E" w:rsidRPr="00094AFD" w:rsidRDefault="0051456E" w:rsidP="0051456E">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4FA058E7" wp14:editId="37D24085">
                <wp:extent cx="864091" cy="198000"/>
                <wp:effectExtent l="0" t="0" r="0" b="0"/>
                <wp:docPr id="14526125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1257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0402649D" w14:textId="77777777" w:rsidR="000D63FB" w:rsidRDefault="000D63FB" w:rsidP="0051456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6101FC5F" w14:textId="77777777">
      <w:trPr>
        <w:trHeight w:hRule="exact" w:val="340"/>
      </w:trPr>
      <w:tc>
        <w:tcPr>
          <w:tcW w:w="7797" w:type="dxa"/>
          <w:tcMar>
            <w:left w:w="108" w:type="dxa"/>
            <w:right w:w="108" w:type="dxa"/>
          </w:tcMar>
        </w:tcPr>
        <w:p w14:paraId="0AB87234" w14:textId="60BE6F49" w:rsidR="00D32E5A" w:rsidRPr="00D13BF9" w:rsidRDefault="0034382C" w:rsidP="00D32E5A">
          <w:pPr>
            <w:pStyle w:val="HeaderOdd"/>
          </w:pPr>
          <w:fldSimple w:instr=" STYLEREF  PortfolioName  \* MERGEFORMAT ">
            <w:r w:rsidR="001A6D18">
              <w:rPr>
                <w:noProof/>
              </w:rPr>
              <w:t>Climate</w:t>
            </w:r>
            <w:r w:rsidR="001A6D18" w:rsidRPr="001A6D18">
              <w:rPr>
                <w:rFonts w:ascii="Cambria Math" w:hAnsi="Cambria Math" w:cs="Cambria Math"/>
                <w:noProof/>
              </w:rPr>
              <w:t xml:space="preserve"> </w:t>
            </w:r>
            <w:r w:rsidR="001A6D18">
              <w:rPr>
                <w:noProof/>
              </w:rPr>
              <w:t>Change, Energy, the Environment and Water</w:t>
            </w:r>
          </w:fldSimple>
          <w:r w:rsidR="00D32E5A" w:rsidRPr="00081542">
            <w:t> | </w:t>
          </w:r>
          <w:r w:rsidR="00D32E5A" w:rsidRPr="002709D2">
            <w:rPr>
              <w:noProof/>
              <w:position w:val="-8"/>
              <w:vertAlign w:val="subscript"/>
            </w:rPr>
            <w:drawing>
              <wp:inline distT="0" distB="0" distL="0" distR="0" wp14:anchorId="2073D57D" wp14:editId="16D1DB94">
                <wp:extent cx="864091" cy="198000"/>
                <wp:effectExtent l="0" t="0" r="0" b="0"/>
                <wp:docPr id="1544281156" name="Picture 1544281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78ACEA0" w14:textId="58235EB7" w:rsidR="000D63FB" w:rsidRPr="00D32E5A" w:rsidRDefault="000D63FB" w:rsidP="00D32E5A">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2585D" w14:paraId="30B4B131" w14:textId="77777777" w:rsidTr="00955DC3">
      <w:trPr>
        <w:trHeight w:hRule="exact" w:val="340"/>
      </w:trPr>
      <w:tc>
        <w:tcPr>
          <w:tcW w:w="7797" w:type="dxa"/>
          <w:tcMar>
            <w:left w:w="108" w:type="dxa"/>
            <w:right w:w="108" w:type="dxa"/>
          </w:tcMar>
        </w:tcPr>
        <w:p w14:paraId="04CFBDE5" w14:textId="06B7BBA3" w:rsidR="0032585D" w:rsidRPr="00D13BF9" w:rsidRDefault="0034382C" w:rsidP="0032585D">
          <w:pPr>
            <w:pStyle w:val="HeaderOdd"/>
          </w:pPr>
          <w:fldSimple w:instr=" STYLEREF  &quot;Heading 2&quot;  \* MERGEFORMAT ">
            <w:r w:rsidR="001A6D18">
              <w:rPr>
                <w:noProof/>
              </w:rPr>
              <w:t>Receipt Measures</w:t>
            </w:r>
          </w:fldSimple>
          <w:r w:rsidR="0032585D" w:rsidRPr="00081542">
            <w:t> | </w:t>
          </w:r>
          <w:r w:rsidR="0032585D" w:rsidRPr="002709D2">
            <w:rPr>
              <w:noProof/>
              <w:position w:val="-8"/>
              <w:vertAlign w:val="subscript"/>
            </w:rPr>
            <w:drawing>
              <wp:inline distT="0" distB="0" distL="0" distR="0" wp14:anchorId="206A9800" wp14:editId="3455F179">
                <wp:extent cx="864091" cy="198000"/>
                <wp:effectExtent l="0" t="0" r="0" b="0"/>
                <wp:docPr id="1525124407" name="Picture 1525124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94589" name="Picture 15274945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940C400" w14:textId="3564CDF4" w:rsidR="009E22CC" w:rsidRDefault="009E22C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D864" w14:textId="104787D4" w:rsidR="000D63FB" w:rsidRDefault="000D63FB" w:rsidP="000D63F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A059B" w:rsidRPr="00094AFD" w14:paraId="75F0FF0C" w14:textId="77777777" w:rsidTr="00955DC3">
      <w:trPr>
        <w:trHeight w:hRule="exact" w:val="340"/>
      </w:trPr>
      <w:tc>
        <w:tcPr>
          <w:tcW w:w="7797" w:type="dxa"/>
        </w:tcPr>
        <w:p w14:paraId="1FC8D06F" w14:textId="0C385090" w:rsidR="00EA059B" w:rsidRPr="00094AFD" w:rsidRDefault="00EA059B" w:rsidP="00EA059B">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6945B90F" wp14:editId="7AB3CA3A">
                <wp:extent cx="864091" cy="198000"/>
                <wp:effectExtent l="0" t="0" r="0" b="0"/>
                <wp:docPr id="13861317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3172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3283CF90" w14:textId="77777777" w:rsidR="000D63FB" w:rsidRDefault="000D63FB" w:rsidP="00EA059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04EEFBDC" w14:textId="77777777">
      <w:trPr>
        <w:trHeight w:hRule="exact" w:val="340"/>
      </w:trPr>
      <w:tc>
        <w:tcPr>
          <w:tcW w:w="7797" w:type="dxa"/>
          <w:tcMar>
            <w:left w:w="108" w:type="dxa"/>
            <w:right w:w="108" w:type="dxa"/>
          </w:tcMar>
        </w:tcPr>
        <w:p w14:paraId="2D7BE438" w14:textId="5CBF1F37" w:rsidR="00D32E5A" w:rsidRPr="00D13BF9" w:rsidRDefault="0034382C" w:rsidP="00D32E5A">
          <w:pPr>
            <w:pStyle w:val="HeaderOdd"/>
          </w:pPr>
          <w:fldSimple w:instr=" STYLEREF  PortfolioName  \* MERGEFORMAT ">
            <w:r w:rsidR="001A6D18">
              <w:rPr>
                <w:noProof/>
              </w:rPr>
              <w:t>Cross Portfolio</w:t>
            </w:r>
          </w:fldSimple>
          <w:r w:rsidR="00D32E5A" w:rsidRPr="00081542">
            <w:t> | </w:t>
          </w:r>
          <w:r w:rsidR="00D32E5A" w:rsidRPr="002709D2">
            <w:rPr>
              <w:noProof/>
              <w:position w:val="-8"/>
              <w:vertAlign w:val="subscript"/>
            </w:rPr>
            <w:drawing>
              <wp:inline distT="0" distB="0" distL="0" distR="0" wp14:anchorId="5410435C" wp14:editId="0EF4F219">
                <wp:extent cx="864091" cy="198000"/>
                <wp:effectExtent l="0" t="0" r="0" b="0"/>
                <wp:docPr id="195093980" name="Picture 195093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8C9A073" w14:textId="77777777" w:rsidR="000D63FB" w:rsidRPr="00D32E5A" w:rsidRDefault="000D63FB" w:rsidP="00D32E5A">
    <w:pPr>
      <w:pStyle w:val="HeaderOdd"/>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435E" w14:textId="3462FD71" w:rsidR="000D63FB" w:rsidRDefault="000D63FB" w:rsidP="000D63F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A059B" w:rsidRPr="00094AFD" w14:paraId="3CF7FA1C" w14:textId="77777777" w:rsidTr="00955DC3">
      <w:trPr>
        <w:trHeight w:hRule="exact" w:val="340"/>
      </w:trPr>
      <w:tc>
        <w:tcPr>
          <w:tcW w:w="7797" w:type="dxa"/>
        </w:tcPr>
        <w:p w14:paraId="2CB52923" w14:textId="48B9F8CB" w:rsidR="00EA059B" w:rsidRPr="00094AFD" w:rsidRDefault="00EA059B" w:rsidP="00EA059B">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6D077065" wp14:editId="0EED1675">
                <wp:extent cx="864091" cy="198000"/>
                <wp:effectExtent l="0" t="0" r="0" b="0"/>
                <wp:docPr id="19717645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6459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3875CE1" w14:textId="77777777" w:rsidR="000D63FB" w:rsidRDefault="000D63FB" w:rsidP="00EA059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31CD1848" w14:textId="77777777">
      <w:trPr>
        <w:trHeight w:hRule="exact" w:val="340"/>
      </w:trPr>
      <w:tc>
        <w:tcPr>
          <w:tcW w:w="7797" w:type="dxa"/>
          <w:tcMar>
            <w:left w:w="108" w:type="dxa"/>
            <w:right w:w="108" w:type="dxa"/>
          </w:tcMar>
        </w:tcPr>
        <w:p w14:paraId="5F649C4D" w14:textId="2020BCBD" w:rsidR="00D32E5A" w:rsidRPr="00D13BF9" w:rsidRDefault="0034382C" w:rsidP="00D32E5A">
          <w:pPr>
            <w:pStyle w:val="HeaderOdd"/>
          </w:pPr>
          <w:fldSimple w:instr=" STYLEREF  PortfolioName  \* MERGEFORMAT ">
            <w:r w:rsidR="001A6D18">
              <w:rPr>
                <w:noProof/>
              </w:rPr>
              <w:t>Defence</w:t>
            </w:r>
          </w:fldSimple>
          <w:r w:rsidR="00D32E5A" w:rsidRPr="00081542">
            <w:t> | </w:t>
          </w:r>
          <w:r w:rsidR="00D32E5A" w:rsidRPr="002709D2">
            <w:rPr>
              <w:noProof/>
              <w:position w:val="-8"/>
              <w:vertAlign w:val="subscript"/>
            </w:rPr>
            <w:drawing>
              <wp:inline distT="0" distB="0" distL="0" distR="0" wp14:anchorId="5DC744D4" wp14:editId="40A87193">
                <wp:extent cx="864091" cy="198000"/>
                <wp:effectExtent l="0" t="0" r="0" b="0"/>
                <wp:docPr id="763867800" name="Picture 7638678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81DB0B4" w14:textId="77777777" w:rsidR="000D63FB" w:rsidRPr="00D32E5A" w:rsidRDefault="000D63FB" w:rsidP="00D32E5A">
    <w:pPr>
      <w:pStyle w:val="HeaderOdd"/>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A850" w14:textId="562EE49B" w:rsidR="000D63FB" w:rsidRDefault="000D63FB" w:rsidP="000D63F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1436" w:rsidRPr="00094AFD" w14:paraId="6D7E1A94" w14:textId="77777777" w:rsidTr="00955DC3">
      <w:trPr>
        <w:trHeight w:hRule="exact" w:val="340"/>
      </w:trPr>
      <w:tc>
        <w:tcPr>
          <w:tcW w:w="7797" w:type="dxa"/>
        </w:tcPr>
        <w:p w14:paraId="45C33968" w14:textId="30573DF2" w:rsidR="00F41436" w:rsidRPr="00094AFD" w:rsidRDefault="00F41436" w:rsidP="00F41436">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23AE435E" wp14:editId="1CBFADA9">
                <wp:extent cx="864091" cy="198000"/>
                <wp:effectExtent l="0" t="0" r="0" b="0"/>
                <wp:docPr id="12488646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6464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08100EF7" w14:textId="77777777" w:rsidR="000D63FB" w:rsidRDefault="000D63FB" w:rsidP="00F4143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75CFD9C7" w14:textId="77777777">
      <w:trPr>
        <w:trHeight w:hRule="exact" w:val="340"/>
      </w:trPr>
      <w:tc>
        <w:tcPr>
          <w:tcW w:w="7797" w:type="dxa"/>
          <w:tcMar>
            <w:left w:w="108" w:type="dxa"/>
            <w:right w:w="108" w:type="dxa"/>
          </w:tcMar>
        </w:tcPr>
        <w:p w14:paraId="08EFE278" w14:textId="3C00307C" w:rsidR="00D32E5A" w:rsidRPr="00D13BF9" w:rsidRDefault="0034382C" w:rsidP="00D32E5A">
          <w:pPr>
            <w:pStyle w:val="HeaderOdd"/>
          </w:pPr>
          <w:fldSimple w:instr=" STYLEREF  PortfolioName  \* MERGEFORMAT ">
            <w:r w:rsidR="001A6D18">
              <w:rPr>
                <w:noProof/>
              </w:rPr>
              <w:t>Education</w:t>
            </w:r>
          </w:fldSimple>
          <w:r w:rsidR="00D32E5A" w:rsidRPr="00081542">
            <w:t> | </w:t>
          </w:r>
          <w:r w:rsidR="00D32E5A" w:rsidRPr="002709D2">
            <w:rPr>
              <w:noProof/>
              <w:position w:val="-8"/>
              <w:vertAlign w:val="subscript"/>
            </w:rPr>
            <w:drawing>
              <wp:inline distT="0" distB="0" distL="0" distR="0" wp14:anchorId="2B2FF3B3" wp14:editId="69A4F609">
                <wp:extent cx="864091" cy="198000"/>
                <wp:effectExtent l="0" t="0" r="0" b="0"/>
                <wp:docPr id="822281069" name="Picture 822281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D81F626" w14:textId="77777777" w:rsidR="000D63FB" w:rsidRPr="00D32E5A" w:rsidRDefault="000D63FB" w:rsidP="00D32E5A">
    <w:pPr>
      <w:pStyle w:val="HeaderOdd"/>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9DE3" w14:textId="17DD4DAE" w:rsidR="000D63FB" w:rsidRDefault="000D63FB" w:rsidP="000D63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6" w:type="dxa"/>
      <w:tblCellMar>
        <w:left w:w="0" w:type="dxa"/>
        <w:right w:w="0" w:type="dxa"/>
      </w:tblCellMar>
      <w:tblLook w:val="0000" w:firstRow="0" w:lastRow="0" w:firstColumn="0" w:lastColumn="0" w:noHBand="0" w:noVBand="0"/>
    </w:tblPr>
    <w:tblGrid>
      <w:gridCol w:w="7796"/>
    </w:tblGrid>
    <w:tr w:rsidR="000D63FB" w:rsidRPr="00222C32" w14:paraId="69E754E7" w14:textId="77777777" w:rsidTr="000D63FB">
      <w:trPr>
        <w:trHeight w:hRule="exact" w:val="340"/>
      </w:trPr>
      <w:tc>
        <w:tcPr>
          <w:tcW w:w="7796" w:type="dxa"/>
        </w:tcPr>
        <w:p w14:paraId="570EB29F" w14:textId="3A1A4B33" w:rsidR="000D63FB" w:rsidRPr="00222C32" w:rsidRDefault="000D63FB" w:rsidP="000D63FB">
          <w:pPr>
            <w:pStyle w:val="HeaderEven"/>
          </w:pPr>
          <w:r w:rsidRPr="00222C32">
            <w:rPr>
              <w:noProof/>
              <w:position w:val="-8"/>
            </w:rPr>
            <w:drawing>
              <wp:inline distT="0" distB="0" distL="0" distR="0" wp14:anchorId="12E958E8" wp14:editId="453F74C9">
                <wp:extent cx="863348" cy="197358"/>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48" cy="197358"/>
                        </a:xfrm>
                        <a:prstGeom prst="rect">
                          <a:avLst/>
                        </a:prstGeom>
                      </pic:spPr>
                    </pic:pic>
                  </a:graphicData>
                </a:graphic>
              </wp:inline>
            </w:drawing>
          </w:r>
          <w:r w:rsidRPr="00222C32">
            <w:t xml:space="preserve"> | Mid-Year Economic and Fiscal Outlook </w:t>
          </w:r>
        </w:p>
      </w:tc>
    </w:tr>
  </w:tbl>
  <w:p w14:paraId="6AB10545" w14:textId="77777777" w:rsidR="000D63FB" w:rsidRDefault="000D63FB" w:rsidP="000D63FB">
    <w:pPr>
      <w:pStyle w:val="HeaderEven"/>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1436" w:rsidRPr="00094AFD" w14:paraId="196AD3E9" w14:textId="77777777" w:rsidTr="00955DC3">
      <w:trPr>
        <w:trHeight w:hRule="exact" w:val="340"/>
      </w:trPr>
      <w:tc>
        <w:tcPr>
          <w:tcW w:w="7797" w:type="dxa"/>
        </w:tcPr>
        <w:p w14:paraId="6C371D45" w14:textId="195A772E" w:rsidR="00F41436" w:rsidRPr="00094AFD" w:rsidRDefault="00F41436" w:rsidP="00F41436">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4B7013D5" wp14:editId="04E4648D">
                <wp:extent cx="864091" cy="198000"/>
                <wp:effectExtent l="0" t="0" r="0" b="0"/>
                <wp:docPr id="10344470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4702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7C64ECA7" w14:textId="77777777" w:rsidR="000D63FB" w:rsidRDefault="000D63FB" w:rsidP="00F4143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1776C701" w14:textId="77777777">
      <w:trPr>
        <w:trHeight w:hRule="exact" w:val="340"/>
      </w:trPr>
      <w:tc>
        <w:tcPr>
          <w:tcW w:w="7797" w:type="dxa"/>
          <w:tcMar>
            <w:left w:w="108" w:type="dxa"/>
            <w:right w:w="108" w:type="dxa"/>
          </w:tcMar>
        </w:tcPr>
        <w:p w14:paraId="4F980EA6" w14:textId="3091AFFB" w:rsidR="00D32E5A" w:rsidRPr="00D13BF9" w:rsidRDefault="0034382C" w:rsidP="00D32E5A">
          <w:pPr>
            <w:pStyle w:val="HeaderOdd"/>
          </w:pPr>
          <w:fldSimple w:instr=" STYLEREF  PortfolioName  \* MERGEFORMAT ">
            <w:r w:rsidR="001A6D18">
              <w:rPr>
                <w:noProof/>
              </w:rPr>
              <w:t>Employment and Workplace Relations</w:t>
            </w:r>
          </w:fldSimple>
          <w:r w:rsidR="00D32E5A" w:rsidRPr="00081542">
            <w:t> | </w:t>
          </w:r>
          <w:r w:rsidR="00D32E5A" w:rsidRPr="002709D2">
            <w:rPr>
              <w:noProof/>
              <w:position w:val="-8"/>
              <w:vertAlign w:val="subscript"/>
            </w:rPr>
            <w:drawing>
              <wp:inline distT="0" distB="0" distL="0" distR="0" wp14:anchorId="70D5D443" wp14:editId="563CFB96">
                <wp:extent cx="864091" cy="198000"/>
                <wp:effectExtent l="0" t="0" r="0" b="0"/>
                <wp:docPr id="1098550747" name="Picture 1098550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6942F22" w14:textId="77777777" w:rsidR="000D63FB" w:rsidRPr="00D32E5A" w:rsidRDefault="000D63FB" w:rsidP="00D32E5A">
    <w:pPr>
      <w:pStyle w:val="HeaderOdd"/>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A765" w14:textId="25A9714B" w:rsidR="000D63FB" w:rsidRDefault="000D63FB" w:rsidP="000D63F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6" w:type="dxa"/>
      <w:tblCellMar>
        <w:left w:w="0" w:type="dxa"/>
        <w:right w:w="0" w:type="dxa"/>
      </w:tblCellMar>
      <w:tblLook w:val="0000" w:firstRow="0" w:lastRow="0" w:firstColumn="0" w:lastColumn="0" w:noHBand="0" w:noVBand="0"/>
    </w:tblPr>
    <w:tblGrid>
      <w:gridCol w:w="7796"/>
    </w:tblGrid>
    <w:tr w:rsidR="000D63FB" w:rsidRPr="00222C32" w14:paraId="42494E5B" w14:textId="77777777" w:rsidTr="000D63FB">
      <w:trPr>
        <w:trHeight w:hRule="exact" w:val="340"/>
      </w:trPr>
      <w:tc>
        <w:tcPr>
          <w:tcW w:w="7796" w:type="dxa"/>
        </w:tcPr>
        <w:p w14:paraId="1D362C2C" w14:textId="0B588A37" w:rsidR="000D63FB" w:rsidRPr="00222C32" w:rsidRDefault="000D63FB" w:rsidP="000D63FB">
          <w:pPr>
            <w:pStyle w:val="HeaderEven"/>
          </w:pPr>
          <w:r w:rsidRPr="00222C32">
            <w:rPr>
              <w:noProof/>
              <w:position w:val="-8"/>
            </w:rPr>
            <w:drawing>
              <wp:inline distT="0" distB="0" distL="0" distR="0" wp14:anchorId="0F007455" wp14:editId="389F0B2A">
                <wp:extent cx="863348" cy="197358"/>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48" cy="197358"/>
                        </a:xfrm>
                        <a:prstGeom prst="rect">
                          <a:avLst/>
                        </a:prstGeom>
                      </pic:spPr>
                    </pic:pic>
                  </a:graphicData>
                </a:graphic>
              </wp:inline>
            </w:drawing>
          </w:r>
          <w:r w:rsidRPr="00222C32">
            <w:t xml:space="preserve"> | Mid-Year Economic and Fiscal Outlook </w:t>
          </w:r>
        </w:p>
      </w:tc>
    </w:tr>
  </w:tbl>
  <w:p w14:paraId="114FBFA5" w14:textId="77777777" w:rsidR="000D63FB" w:rsidRDefault="000D63FB" w:rsidP="000D63FB">
    <w:pPr>
      <w:pStyle w:val="HeaderEven"/>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13FCDFA5" w14:textId="77777777">
      <w:trPr>
        <w:trHeight w:hRule="exact" w:val="340"/>
      </w:trPr>
      <w:tc>
        <w:tcPr>
          <w:tcW w:w="7797" w:type="dxa"/>
          <w:tcMar>
            <w:left w:w="108" w:type="dxa"/>
            <w:right w:w="108" w:type="dxa"/>
          </w:tcMar>
        </w:tcPr>
        <w:p w14:paraId="63B43908" w14:textId="3B016118" w:rsidR="00D32E5A" w:rsidRPr="00D13BF9" w:rsidRDefault="0034382C" w:rsidP="00D32E5A">
          <w:pPr>
            <w:pStyle w:val="HeaderOdd"/>
          </w:pPr>
          <w:fldSimple w:instr=" STYLEREF  PortfolioName  \* MERGEFORMAT ">
            <w:r w:rsidR="001A6D18">
              <w:rPr>
                <w:noProof/>
              </w:rPr>
              <w:t>Finance</w:t>
            </w:r>
          </w:fldSimple>
          <w:r w:rsidR="00D32E5A" w:rsidRPr="00081542">
            <w:t> | </w:t>
          </w:r>
          <w:r w:rsidR="00D32E5A" w:rsidRPr="002709D2">
            <w:rPr>
              <w:noProof/>
              <w:position w:val="-8"/>
              <w:vertAlign w:val="subscript"/>
            </w:rPr>
            <w:drawing>
              <wp:inline distT="0" distB="0" distL="0" distR="0" wp14:anchorId="4A92B937" wp14:editId="79D83D3B">
                <wp:extent cx="864091" cy="198000"/>
                <wp:effectExtent l="0" t="0" r="0" b="0"/>
                <wp:docPr id="1315866954" name="Picture 1315866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8A1D0B8" w14:textId="77777777" w:rsidR="000D63FB" w:rsidRPr="00D32E5A" w:rsidRDefault="000D63FB" w:rsidP="00D32E5A">
    <w:pPr>
      <w:pStyle w:val="HeaderOdd"/>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82BF" w14:textId="0D8402AB" w:rsidR="000D63FB" w:rsidRDefault="000D63FB" w:rsidP="000D63F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1436" w:rsidRPr="00094AFD" w14:paraId="584607FE" w14:textId="77777777" w:rsidTr="00955DC3">
      <w:trPr>
        <w:trHeight w:hRule="exact" w:val="340"/>
      </w:trPr>
      <w:tc>
        <w:tcPr>
          <w:tcW w:w="7797" w:type="dxa"/>
        </w:tcPr>
        <w:p w14:paraId="57F11F2E" w14:textId="3C648FA3" w:rsidR="00F41436" w:rsidRPr="00094AFD" w:rsidRDefault="00F41436" w:rsidP="00F41436">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48CB702D" wp14:editId="4E63A74A">
                <wp:extent cx="864091" cy="198000"/>
                <wp:effectExtent l="0" t="0" r="0" b="0"/>
                <wp:docPr id="1622536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364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00532E9" w14:textId="77777777" w:rsidR="000D63FB" w:rsidRDefault="000D63FB" w:rsidP="00F4143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45D77D20" w14:textId="77777777">
      <w:trPr>
        <w:trHeight w:hRule="exact" w:val="340"/>
      </w:trPr>
      <w:tc>
        <w:tcPr>
          <w:tcW w:w="7797" w:type="dxa"/>
          <w:tcMar>
            <w:left w:w="108" w:type="dxa"/>
            <w:right w:w="108" w:type="dxa"/>
          </w:tcMar>
        </w:tcPr>
        <w:p w14:paraId="74F06820" w14:textId="18BF925D" w:rsidR="00D32E5A" w:rsidRPr="00D13BF9" w:rsidRDefault="0034382C" w:rsidP="00D32E5A">
          <w:pPr>
            <w:pStyle w:val="HeaderOdd"/>
          </w:pPr>
          <w:fldSimple w:instr=" STYLEREF  PortfolioName  \* MERGEFORMAT ">
            <w:r w:rsidR="001A6D18">
              <w:rPr>
                <w:noProof/>
              </w:rPr>
              <w:t>Foreign Affairs and Trade</w:t>
            </w:r>
          </w:fldSimple>
          <w:r w:rsidR="00D32E5A" w:rsidRPr="00081542">
            <w:t> | </w:t>
          </w:r>
          <w:r w:rsidR="00D32E5A" w:rsidRPr="002709D2">
            <w:rPr>
              <w:noProof/>
              <w:position w:val="-8"/>
              <w:vertAlign w:val="subscript"/>
            </w:rPr>
            <w:drawing>
              <wp:inline distT="0" distB="0" distL="0" distR="0" wp14:anchorId="3E0FCD75" wp14:editId="7F49D173">
                <wp:extent cx="864091" cy="198000"/>
                <wp:effectExtent l="0" t="0" r="0" b="0"/>
                <wp:docPr id="204045292" name="Picture 204045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DEB06E1" w14:textId="3F00D1F9" w:rsidR="000D63FB" w:rsidRPr="00D32E5A" w:rsidRDefault="000D63FB" w:rsidP="00D32E5A">
    <w:pPr>
      <w:pStyle w:val="HeaderOdd"/>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241" w14:textId="5E1A4085" w:rsidR="000D63FB" w:rsidRDefault="000D63FB" w:rsidP="000D63F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071F077D" w14:textId="77777777" w:rsidTr="00955DC3">
      <w:trPr>
        <w:trHeight w:hRule="exact" w:val="340"/>
      </w:trPr>
      <w:tc>
        <w:tcPr>
          <w:tcW w:w="7797" w:type="dxa"/>
        </w:tcPr>
        <w:p w14:paraId="671E0E7F" w14:textId="07F3A91F"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5AAE7187" wp14:editId="45FA549B">
                <wp:extent cx="864091" cy="198000"/>
                <wp:effectExtent l="0" t="0" r="0" b="0"/>
                <wp:docPr id="179790375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0375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74D9AD5D" w14:textId="484F3DEF" w:rsidR="000D63FB" w:rsidRDefault="000D63FB" w:rsidP="006F11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D2CA0" w14:paraId="6D762EC2" w14:textId="77777777">
      <w:trPr>
        <w:trHeight w:hRule="exact" w:val="340"/>
      </w:trPr>
      <w:tc>
        <w:tcPr>
          <w:tcW w:w="7797" w:type="dxa"/>
          <w:tcMar>
            <w:left w:w="108" w:type="dxa"/>
            <w:right w:w="108" w:type="dxa"/>
          </w:tcMar>
        </w:tcPr>
        <w:p w14:paraId="3ADDE3BA" w14:textId="65F11FB3" w:rsidR="007D2CA0" w:rsidRPr="00D13BF9" w:rsidRDefault="0034382C" w:rsidP="007D2CA0">
          <w:pPr>
            <w:pStyle w:val="HeaderOdd"/>
          </w:pPr>
          <w:fldSimple w:instr=" STYLEREF  PortfolioName  \* MERGEFORMAT ">
            <w:r w:rsidR="001A6D18">
              <w:rPr>
                <w:noProof/>
              </w:rPr>
              <w:t>Agriculture, Fisheries and Forestry</w:t>
            </w:r>
          </w:fldSimple>
          <w:r w:rsidR="007D2CA0" w:rsidRPr="00081542">
            <w:t> | </w:t>
          </w:r>
          <w:r w:rsidR="007D2CA0" w:rsidRPr="002709D2">
            <w:rPr>
              <w:noProof/>
              <w:position w:val="-8"/>
              <w:vertAlign w:val="subscript"/>
            </w:rPr>
            <w:drawing>
              <wp:inline distT="0" distB="0" distL="0" distR="0" wp14:anchorId="3AA7FAB9" wp14:editId="59940ACB">
                <wp:extent cx="864091" cy="198000"/>
                <wp:effectExtent l="0" t="0" r="0" b="0"/>
                <wp:docPr id="1793051341" name="Picture 1793051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51341" name="Picture 17930513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327BDF1" w14:textId="3CFF4373" w:rsidR="007D2CA0" w:rsidRPr="007D2CA0" w:rsidRDefault="007D2CA0" w:rsidP="007D2CA0">
    <w:pPr>
      <w:pStyle w:val="HeaderOdd"/>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5416C0A2" w14:textId="77777777">
      <w:trPr>
        <w:trHeight w:hRule="exact" w:val="340"/>
      </w:trPr>
      <w:tc>
        <w:tcPr>
          <w:tcW w:w="7797" w:type="dxa"/>
          <w:tcMar>
            <w:left w:w="108" w:type="dxa"/>
            <w:right w:w="108" w:type="dxa"/>
          </w:tcMar>
        </w:tcPr>
        <w:p w14:paraId="52BA6738" w14:textId="379C01CD" w:rsidR="00D32E5A" w:rsidRPr="00D13BF9" w:rsidRDefault="0034382C" w:rsidP="00D32E5A">
          <w:pPr>
            <w:pStyle w:val="HeaderOdd"/>
          </w:pPr>
          <w:fldSimple w:instr=" STYLEREF  PortfolioName  \* MERGEFORMAT ">
            <w:r w:rsidR="001A6D18">
              <w:rPr>
                <w:noProof/>
              </w:rPr>
              <w:t>Health, Disability and Ageing</w:t>
            </w:r>
          </w:fldSimple>
          <w:r w:rsidR="00D32E5A" w:rsidRPr="00081542">
            <w:t> | </w:t>
          </w:r>
          <w:r w:rsidR="00D32E5A" w:rsidRPr="002709D2">
            <w:rPr>
              <w:noProof/>
              <w:position w:val="-8"/>
              <w:vertAlign w:val="subscript"/>
            </w:rPr>
            <w:drawing>
              <wp:inline distT="0" distB="0" distL="0" distR="0" wp14:anchorId="0FAF8D8F" wp14:editId="5CD650FC">
                <wp:extent cx="864091" cy="198000"/>
                <wp:effectExtent l="0" t="0" r="0" b="0"/>
                <wp:docPr id="1796110036" name="Picture 1796110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56903B2" w14:textId="77777777" w:rsidR="000D63FB" w:rsidRPr="00D32E5A" w:rsidRDefault="000D63FB" w:rsidP="00D32E5A">
    <w:pPr>
      <w:pStyle w:val="HeaderOdd"/>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F889" w14:textId="375418AF" w:rsidR="000D63FB" w:rsidRDefault="000D63FB" w:rsidP="000D63F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597C2639" w14:textId="77777777" w:rsidTr="00955DC3">
      <w:trPr>
        <w:trHeight w:hRule="exact" w:val="340"/>
      </w:trPr>
      <w:tc>
        <w:tcPr>
          <w:tcW w:w="7797" w:type="dxa"/>
        </w:tcPr>
        <w:p w14:paraId="15CFA1BA" w14:textId="2E993236"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667471EE" wp14:editId="6B083C7A">
                <wp:extent cx="864091" cy="198000"/>
                <wp:effectExtent l="0" t="0" r="0" b="0"/>
                <wp:docPr id="11364702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7028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363DDCFC" w14:textId="77777777" w:rsidR="000D63FB" w:rsidRDefault="000D63FB" w:rsidP="006F11B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069E007C" w14:textId="77777777">
      <w:trPr>
        <w:trHeight w:hRule="exact" w:val="340"/>
      </w:trPr>
      <w:tc>
        <w:tcPr>
          <w:tcW w:w="7797" w:type="dxa"/>
          <w:tcMar>
            <w:left w:w="108" w:type="dxa"/>
            <w:right w:w="108" w:type="dxa"/>
          </w:tcMar>
        </w:tcPr>
        <w:p w14:paraId="2FB324F8" w14:textId="03A80635" w:rsidR="00D32E5A" w:rsidRPr="00D13BF9" w:rsidRDefault="0034382C" w:rsidP="00D32E5A">
          <w:pPr>
            <w:pStyle w:val="HeaderOdd"/>
          </w:pPr>
          <w:fldSimple w:instr=" STYLEREF  PortfolioName  \* MERGEFORMAT ">
            <w:r w:rsidR="001A6D18">
              <w:rPr>
                <w:noProof/>
              </w:rPr>
              <w:t>Home Affairs</w:t>
            </w:r>
          </w:fldSimple>
          <w:r w:rsidR="00D32E5A" w:rsidRPr="00081542">
            <w:t> | </w:t>
          </w:r>
          <w:r w:rsidR="00D32E5A" w:rsidRPr="002709D2">
            <w:rPr>
              <w:noProof/>
              <w:position w:val="-8"/>
              <w:vertAlign w:val="subscript"/>
            </w:rPr>
            <w:drawing>
              <wp:inline distT="0" distB="0" distL="0" distR="0" wp14:anchorId="71DA52BF" wp14:editId="5FA55BCD">
                <wp:extent cx="864091" cy="198000"/>
                <wp:effectExtent l="0" t="0" r="0" b="0"/>
                <wp:docPr id="1668918002" name="Picture 16689180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19070F2" w14:textId="77777777" w:rsidR="000D63FB" w:rsidRPr="00D32E5A" w:rsidRDefault="000D63FB" w:rsidP="00D32E5A">
    <w:pPr>
      <w:pStyle w:val="HeaderOdd"/>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1493" w14:textId="58ABB739" w:rsidR="000D63FB" w:rsidRDefault="000D63FB" w:rsidP="000D63F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1EEBFB6A" w14:textId="77777777" w:rsidTr="00955DC3">
      <w:trPr>
        <w:trHeight w:hRule="exact" w:val="340"/>
      </w:trPr>
      <w:tc>
        <w:tcPr>
          <w:tcW w:w="7797" w:type="dxa"/>
        </w:tcPr>
        <w:p w14:paraId="58C52A13" w14:textId="1C3DCD38"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7704CC52" wp14:editId="25C75316">
                <wp:extent cx="864091" cy="198000"/>
                <wp:effectExtent l="0" t="0" r="0" b="0"/>
                <wp:docPr id="9115154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1544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2390D8B1" w14:textId="77777777" w:rsidR="000D63FB" w:rsidRDefault="000D63FB" w:rsidP="006F11B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0E62F2A9" w14:textId="77777777">
      <w:trPr>
        <w:trHeight w:hRule="exact" w:val="340"/>
      </w:trPr>
      <w:tc>
        <w:tcPr>
          <w:tcW w:w="7797" w:type="dxa"/>
          <w:tcMar>
            <w:left w:w="108" w:type="dxa"/>
            <w:right w:w="108" w:type="dxa"/>
          </w:tcMar>
        </w:tcPr>
        <w:p w14:paraId="30A3939E" w14:textId="68F90EFB" w:rsidR="00D32E5A" w:rsidRPr="00D13BF9" w:rsidRDefault="0034382C" w:rsidP="00D32E5A">
          <w:pPr>
            <w:pStyle w:val="HeaderOdd"/>
          </w:pPr>
          <w:fldSimple w:instr=" STYLEREF  PortfolioName  \* MERGEFORMAT ">
            <w:r w:rsidR="001A6D18">
              <w:rPr>
                <w:noProof/>
              </w:rPr>
              <w:t>Industry, Science and Resources</w:t>
            </w:r>
          </w:fldSimple>
          <w:r w:rsidR="00D32E5A" w:rsidRPr="00081542">
            <w:t> | </w:t>
          </w:r>
          <w:r w:rsidR="00D32E5A" w:rsidRPr="002709D2">
            <w:rPr>
              <w:noProof/>
              <w:position w:val="-8"/>
              <w:vertAlign w:val="subscript"/>
            </w:rPr>
            <w:drawing>
              <wp:inline distT="0" distB="0" distL="0" distR="0" wp14:anchorId="06220B52" wp14:editId="631906C1">
                <wp:extent cx="864091" cy="198000"/>
                <wp:effectExtent l="0" t="0" r="0" b="0"/>
                <wp:docPr id="1762322238" name="Picture 1762322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AC65ABD" w14:textId="4385745F" w:rsidR="000D63FB" w:rsidRPr="00D32E5A" w:rsidRDefault="000D63FB" w:rsidP="00D32E5A">
    <w:pPr>
      <w:pStyle w:val="HeaderOdd"/>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8C4C" w14:textId="4EBB6178" w:rsidR="000D63FB" w:rsidRDefault="000D63FB" w:rsidP="000D63F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23AFAA61" w14:textId="77777777" w:rsidTr="00955DC3">
      <w:trPr>
        <w:trHeight w:hRule="exact" w:val="340"/>
      </w:trPr>
      <w:tc>
        <w:tcPr>
          <w:tcW w:w="7797" w:type="dxa"/>
        </w:tcPr>
        <w:p w14:paraId="3A7E8B38" w14:textId="61F96F26"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0B82F739" wp14:editId="3A6CFC8F">
                <wp:extent cx="864091" cy="198000"/>
                <wp:effectExtent l="0" t="0" r="0" b="0"/>
                <wp:docPr id="21362882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827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2D85982" w14:textId="6C515479" w:rsidR="000D63FB" w:rsidRDefault="000D63FB" w:rsidP="006F11B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32E5A" w14:paraId="5B59EB0F" w14:textId="77777777" w:rsidTr="00D32E5A">
      <w:trPr>
        <w:trHeight w:hRule="exact" w:val="340"/>
      </w:trPr>
      <w:tc>
        <w:tcPr>
          <w:tcW w:w="7797" w:type="dxa"/>
          <w:tcMar>
            <w:left w:w="0" w:type="dxa"/>
            <w:right w:w="108" w:type="dxa"/>
          </w:tcMar>
        </w:tcPr>
        <w:p w14:paraId="3F45299B" w14:textId="39EB8E74" w:rsidR="00D32E5A" w:rsidRPr="00D13BF9" w:rsidRDefault="00D32E5A" w:rsidP="00D32E5A">
          <w:pPr>
            <w:pStyle w:val="HeaderOdd"/>
          </w:pPr>
          <w:r w:rsidRPr="00D32E5A">
            <w:rPr>
              <w:spacing w:val="-5"/>
              <w:sz w:val="17"/>
              <w:szCs w:val="17"/>
            </w:rPr>
            <w:fldChar w:fldCharType="begin"/>
          </w:r>
          <w:r w:rsidRPr="00D32E5A">
            <w:rPr>
              <w:spacing w:val="-5"/>
              <w:sz w:val="17"/>
              <w:szCs w:val="17"/>
            </w:rPr>
            <w:instrText xml:space="preserve"> STYLEREF  PortfolioName  \* MERGEFORMAT </w:instrText>
          </w:r>
          <w:r w:rsidRPr="00D32E5A">
            <w:rPr>
              <w:spacing w:val="-5"/>
              <w:sz w:val="17"/>
              <w:szCs w:val="17"/>
            </w:rPr>
            <w:fldChar w:fldCharType="separate"/>
          </w:r>
          <w:r w:rsidR="001A6D18">
            <w:rPr>
              <w:noProof/>
              <w:spacing w:val="-5"/>
              <w:sz w:val="17"/>
              <w:szCs w:val="17"/>
            </w:rPr>
            <w:t>Infrastructure, Transport, Regional Development, Communications, Sport and the Arts</w:t>
          </w:r>
          <w:r w:rsidRPr="00D32E5A">
            <w:rPr>
              <w:noProof/>
              <w:spacing w:val="-5"/>
              <w:sz w:val="17"/>
              <w:szCs w:val="17"/>
            </w:rPr>
            <w:fldChar w:fldCharType="end"/>
          </w:r>
          <w:r w:rsidRPr="00081542">
            <w:t> | </w:t>
          </w:r>
          <w:r w:rsidRPr="002709D2">
            <w:rPr>
              <w:noProof/>
              <w:position w:val="-8"/>
              <w:vertAlign w:val="subscript"/>
            </w:rPr>
            <w:drawing>
              <wp:inline distT="0" distB="0" distL="0" distR="0" wp14:anchorId="220E7644" wp14:editId="1FDBE339">
                <wp:extent cx="864091" cy="198000"/>
                <wp:effectExtent l="0" t="0" r="0" b="0"/>
                <wp:docPr id="2038306342" name="Picture 2038306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4D7CCBE" w14:textId="355D11E4" w:rsidR="003452B3" w:rsidRPr="00D32E5A" w:rsidRDefault="003452B3" w:rsidP="00D32E5A">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6113" w14:textId="60F501BD" w:rsidR="000D63FB" w:rsidRDefault="000D63F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D183" w14:textId="539F9ABE" w:rsidR="000D63FB" w:rsidRDefault="000D63FB" w:rsidP="000D63F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6" w:type="dxa"/>
      <w:tblCellMar>
        <w:left w:w="0" w:type="dxa"/>
        <w:right w:w="0" w:type="dxa"/>
      </w:tblCellMar>
      <w:tblLook w:val="0000" w:firstRow="0" w:lastRow="0" w:firstColumn="0" w:lastColumn="0" w:noHBand="0" w:noVBand="0"/>
    </w:tblPr>
    <w:tblGrid>
      <w:gridCol w:w="7796"/>
    </w:tblGrid>
    <w:tr w:rsidR="000D63FB" w:rsidRPr="00222C32" w14:paraId="4C9A5FD8" w14:textId="77777777" w:rsidTr="000D63FB">
      <w:trPr>
        <w:trHeight w:hRule="exact" w:val="340"/>
      </w:trPr>
      <w:tc>
        <w:tcPr>
          <w:tcW w:w="7796" w:type="dxa"/>
        </w:tcPr>
        <w:p w14:paraId="2659583A" w14:textId="5F259130" w:rsidR="000D63FB" w:rsidRPr="00222C32" w:rsidRDefault="000D63FB" w:rsidP="000D63FB">
          <w:pPr>
            <w:pStyle w:val="HeaderEven"/>
          </w:pPr>
          <w:r w:rsidRPr="00222C32">
            <w:rPr>
              <w:noProof/>
              <w:position w:val="-8"/>
            </w:rPr>
            <w:drawing>
              <wp:inline distT="0" distB="0" distL="0" distR="0" wp14:anchorId="1B0E4608" wp14:editId="4008CB8E">
                <wp:extent cx="863348" cy="197358"/>
                <wp:effectExtent l="0" t="0" r="0" b="0"/>
                <wp:docPr id="84" name="Picture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48" cy="197358"/>
                        </a:xfrm>
                        <a:prstGeom prst="rect">
                          <a:avLst/>
                        </a:prstGeom>
                      </pic:spPr>
                    </pic:pic>
                  </a:graphicData>
                </a:graphic>
              </wp:inline>
            </w:drawing>
          </w:r>
          <w:r w:rsidRPr="00222C32">
            <w:t xml:space="preserve"> | Mid-Year Economic and Fiscal Outlook </w:t>
          </w:r>
        </w:p>
      </w:tc>
    </w:tr>
  </w:tbl>
  <w:p w14:paraId="595BB2D7" w14:textId="77777777" w:rsidR="000D63FB" w:rsidRDefault="000D63FB" w:rsidP="000D63FB">
    <w:pPr>
      <w:pStyle w:val="HeaderEven"/>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83482" w14:paraId="17A45BF9" w14:textId="77777777">
      <w:trPr>
        <w:trHeight w:hRule="exact" w:val="340"/>
      </w:trPr>
      <w:tc>
        <w:tcPr>
          <w:tcW w:w="7797" w:type="dxa"/>
          <w:tcMar>
            <w:left w:w="108" w:type="dxa"/>
            <w:right w:w="108" w:type="dxa"/>
          </w:tcMar>
        </w:tcPr>
        <w:p w14:paraId="241A1500" w14:textId="425A02A7" w:rsidR="00E83482" w:rsidRPr="00D13BF9" w:rsidRDefault="0034382C" w:rsidP="00E83482">
          <w:pPr>
            <w:pStyle w:val="HeaderOdd"/>
          </w:pPr>
          <w:fldSimple w:instr=" STYLEREF  PortfolioName  \* MERGEFORMAT ">
            <w:r w:rsidR="001A6D18">
              <w:rPr>
                <w:noProof/>
              </w:rPr>
              <w:t>Parliament</w:t>
            </w:r>
          </w:fldSimple>
          <w:r w:rsidR="00E83482" w:rsidRPr="00081542">
            <w:t> | </w:t>
          </w:r>
          <w:r w:rsidR="00E83482" w:rsidRPr="002709D2">
            <w:rPr>
              <w:noProof/>
              <w:position w:val="-8"/>
              <w:vertAlign w:val="subscript"/>
            </w:rPr>
            <w:drawing>
              <wp:inline distT="0" distB="0" distL="0" distR="0" wp14:anchorId="34C04FBB" wp14:editId="50BF8642">
                <wp:extent cx="864091" cy="198000"/>
                <wp:effectExtent l="0" t="0" r="0" b="0"/>
                <wp:docPr id="16006969" name="Picture 16006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8F5F280" w14:textId="77777777" w:rsidR="000D63FB" w:rsidRPr="00E83482" w:rsidRDefault="000D63FB" w:rsidP="00E83482">
    <w:pPr>
      <w:pStyle w:val="HeaderOdd"/>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D19E" w14:textId="1D7B307A" w:rsidR="000D63FB" w:rsidRDefault="000D63FB" w:rsidP="000D63F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2B752281" w14:textId="77777777" w:rsidTr="00955DC3">
      <w:trPr>
        <w:trHeight w:hRule="exact" w:val="340"/>
      </w:trPr>
      <w:tc>
        <w:tcPr>
          <w:tcW w:w="7797" w:type="dxa"/>
        </w:tcPr>
        <w:p w14:paraId="67365C05" w14:textId="50EEA276"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322045B0" wp14:editId="3E62E93E">
                <wp:extent cx="864091" cy="198000"/>
                <wp:effectExtent l="0" t="0" r="0" b="0"/>
                <wp:docPr id="4528181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1810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6A3348C9" w14:textId="77777777" w:rsidR="000D63FB" w:rsidRDefault="000D63FB" w:rsidP="006F11B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83482" w14:paraId="3681BF53" w14:textId="77777777">
      <w:trPr>
        <w:trHeight w:hRule="exact" w:val="340"/>
      </w:trPr>
      <w:tc>
        <w:tcPr>
          <w:tcW w:w="7797" w:type="dxa"/>
          <w:tcMar>
            <w:left w:w="108" w:type="dxa"/>
            <w:right w:w="108" w:type="dxa"/>
          </w:tcMar>
        </w:tcPr>
        <w:p w14:paraId="0A4FE7F1" w14:textId="228470AD" w:rsidR="00E83482" w:rsidRPr="00D13BF9" w:rsidRDefault="0034382C" w:rsidP="00E83482">
          <w:pPr>
            <w:pStyle w:val="HeaderOdd"/>
          </w:pPr>
          <w:fldSimple w:instr=" STYLEREF  PortfolioName  \* MERGEFORMAT ">
            <w:r w:rsidR="001A6D18">
              <w:rPr>
                <w:noProof/>
              </w:rPr>
              <w:t>Prime Minister and Cabinet</w:t>
            </w:r>
          </w:fldSimple>
          <w:r w:rsidR="00E83482" w:rsidRPr="00081542">
            <w:t> | </w:t>
          </w:r>
          <w:r w:rsidR="00E83482" w:rsidRPr="002709D2">
            <w:rPr>
              <w:noProof/>
              <w:position w:val="-8"/>
              <w:vertAlign w:val="subscript"/>
            </w:rPr>
            <w:drawing>
              <wp:inline distT="0" distB="0" distL="0" distR="0" wp14:anchorId="49D58C8F" wp14:editId="207E28A9">
                <wp:extent cx="864091" cy="198000"/>
                <wp:effectExtent l="0" t="0" r="0" b="0"/>
                <wp:docPr id="173137239" name="Picture 173137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469A943" w14:textId="77777777" w:rsidR="000D63FB" w:rsidRPr="00E83482" w:rsidRDefault="000D63FB" w:rsidP="00E83482">
    <w:pPr>
      <w:pStyle w:val="HeaderOdd"/>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13A" w14:textId="60366E7C" w:rsidR="000D63FB" w:rsidRDefault="000D63FB" w:rsidP="000D63F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157B07DE" w14:textId="77777777" w:rsidTr="00955DC3">
      <w:trPr>
        <w:trHeight w:hRule="exact" w:val="340"/>
      </w:trPr>
      <w:tc>
        <w:tcPr>
          <w:tcW w:w="7797" w:type="dxa"/>
        </w:tcPr>
        <w:p w14:paraId="62273722" w14:textId="2A971011"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3AF0366C" wp14:editId="1AAACD68">
                <wp:extent cx="864091" cy="198000"/>
                <wp:effectExtent l="0" t="0" r="0" b="0"/>
                <wp:docPr id="136595606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5606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3053A492" w14:textId="77777777" w:rsidR="000D63FB" w:rsidRDefault="000D63FB" w:rsidP="006F11B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83482" w14:paraId="60F4AE59" w14:textId="77777777">
      <w:trPr>
        <w:trHeight w:hRule="exact" w:val="340"/>
      </w:trPr>
      <w:tc>
        <w:tcPr>
          <w:tcW w:w="7797" w:type="dxa"/>
          <w:tcMar>
            <w:left w:w="108" w:type="dxa"/>
            <w:right w:w="108" w:type="dxa"/>
          </w:tcMar>
        </w:tcPr>
        <w:p w14:paraId="34955BEF" w14:textId="258A4672" w:rsidR="00E83482" w:rsidRPr="00D13BF9" w:rsidRDefault="0034382C" w:rsidP="00E83482">
          <w:pPr>
            <w:pStyle w:val="HeaderOdd"/>
          </w:pPr>
          <w:fldSimple w:instr=" STYLEREF  PortfolioName  \* MERGEFORMAT ">
            <w:r w:rsidR="001A6D18">
              <w:rPr>
                <w:noProof/>
              </w:rPr>
              <w:t>Social Services</w:t>
            </w:r>
          </w:fldSimple>
          <w:r w:rsidR="00E83482" w:rsidRPr="00081542">
            <w:t> | </w:t>
          </w:r>
          <w:r w:rsidR="00E83482" w:rsidRPr="002709D2">
            <w:rPr>
              <w:noProof/>
              <w:position w:val="-8"/>
              <w:vertAlign w:val="subscript"/>
            </w:rPr>
            <w:drawing>
              <wp:inline distT="0" distB="0" distL="0" distR="0" wp14:anchorId="6F5A5FDC" wp14:editId="791C5D4D">
                <wp:extent cx="864091" cy="198000"/>
                <wp:effectExtent l="0" t="0" r="0" b="0"/>
                <wp:docPr id="428757909" name="Picture 42875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7553CE4" w14:textId="6F203DBC" w:rsidR="000D63FB" w:rsidRPr="00E83482" w:rsidRDefault="000D63FB" w:rsidP="00E83482">
    <w:pPr>
      <w:pStyle w:val="HeaderOdd"/>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92DA" w14:textId="213CEDDA" w:rsidR="000D63FB" w:rsidRDefault="000D63FB" w:rsidP="000D63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462C" w:rsidRPr="00094AFD" w14:paraId="0EF3A6E8" w14:textId="77777777" w:rsidTr="00955DC3">
      <w:trPr>
        <w:trHeight w:hRule="exact" w:val="340"/>
      </w:trPr>
      <w:tc>
        <w:tcPr>
          <w:tcW w:w="7797" w:type="dxa"/>
        </w:tcPr>
        <w:p w14:paraId="6B7BFF07" w14:textId="534F3855" w:rsidR="0097462C" w:rsidRPr="00094AFD" w:rsidRDefault="0097462C" w:rsidP="0097462C">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01F89D9D" wp14:editId="4772358C">
                <wp:extent cx="864091" cy="198000"/>
                <wp:effectExtent l="0" t="0" r="0" b="0"/>
                <wp:docPr id="3849818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8186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099ECFC3" w14:textId="77777777" w:rsidR="000D63FB" w:rsidRDefault="000D63FB" w:rsidP="0097462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F11B2" w:rsidRPr="00094AFD" w14:paraId="0A54AC20" w14:textId="77777777" w:rsidTr="00955DC3">
      <w:trPr>
        <w:trHeight w:hRule="exact" w:val="340"/>
      </w:trPr>
      <w:tc>
        <w:tcPr>
          <w:tcW w:w="7797" w:type="dxa"/>
        </w:tcPr>
        <w:p w14:paraId="42DBEE60" w14:textId="4C7301C2" w:rsidR="006F11B2" w:rsidRPr="00094AFD" w:rsidRDefault="006F11B2" w:rsidP="006F11B2">
          <w:pPr>
            <w:autoSpaceDE/>
            <w:autoSpaceDN/>
            <w:adjustRightInd/>
            <w:spacing w:after="0"/>
            <w:rPr>
              <w:rFonts w:cs="Times New Roman"/>
              <w:color w:val="002A54"/>
              <w:sz w:val="18"/>
              <w:lang w:val="en-AU"/>
            </w:rPr>
          </w:pPr>
          <w:r w:rsidRPr="00094AFD">
            <w:rPr>
              <w:rFonts w:cs="Times New Roman"/>
              <w:noProof/>
              <w:color w:val="002A54"/>
              <w:position w:val="-8"/>
              <w:sz w:val="18"/>
              <w:lang w:val="en-AU"/>
            </w:rPr>
            <w:drawing>
              <wp:inline distT="0" distB="0" distL="0" distR="0" wp14:anchorId="7B9A932D" wp14:editId="1BF80A39">
                <wp:extent cx="864091" cy="198000"/>
                <wp:effectExtent l="0" t="0" r="0" b="0"/>
                <wp:docPr id="13276167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16744"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94AFD">
            <w:rPr>
              <w:rFonts w:cs="Times New Roman"/>
              <w:color w:val="002A54"/>
              <w:sz w:val="18"/>
              <w:lang w:val="en-AU"/>
            </w:rPr>
            <w:t> | </w:t>
          </w:r>
          <w:r w:rsidRPr="00094AFD">
            <w:rPr>
              <w:rFonts w:cs="Times New Roman"/>
              <w:color w:val="002A54"/>
              <w:sz w:val="18"/>
              <w:lang w:val="en-AU"/>
            </w:rPr>
            <w:fldChar w:fldCharType="begin"/>
          </w:r>
          <w:r w:rsidRPr="00094AFD">
            <w:rPr>
              <w:rFonts w:cs="Times New Roman"/>
              <w:color w:val="002A54"/>
              <w:sz w:val="18"/>
              <w:lang w:val="en-AU"/>
            </w:rPr>
            <w:instrText xml:space="preserve"> TITLE   \* MERGEFORMAT </w:instrText>
          </w:r>
          <w:r w:rsidRPr="00094AFD">
            <w:rPr>
              <w:rFonts w:cs="Times New Roman"/>
              <w:color w:val="002A54"/>
              <w:sz w:val="18"/>
              <w:lang w:val="en-AU"/>
            </w:rPr>
            <w:fldChar w:fldCharType="separate"/>
          </w:r>
          <w:r w:rsidR="00EF089B">
            <w:rPr>
              <w:rFonts w:cs="Times New Roman"/>
              <w:color w:val="002A54"/>
              <w:sz w:val="18"/>
              <w:lang w:val="en-AU"/>
            </w:rPr>
            <w:t>Mid-Year Economic and Fiscal Outlook 2025–26</w:t>
          </w:r>
          <w:r w:rsidRPr="00094AFD">
            <w:rPr>
              <w:rFonts w:cs="Times New Roman"/>
              <w:color w:val="002A54"/>
              <w:sz w:val="18"/>
              <w:lang w:val="en-AU"/>
            </w:rPr>
            <w:fldChar w:fldCharType="end"/>
          </w:r>
        </w:p>
      </w:tc>
    </w:tr>
  </w:tbl>
  <w:p w14:paraId="5345E0D6" w14:textId="77777777" w:rsidR="000D63FB" w:rsidRDefault="000D63FB" w:rsidP="006F11B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83482" w14:paraId="7031F314" w14:textId="77777777">
      <w:trPr>
        <w:trHeight w:hRule="exact" w:val="340"/>
      </w:trPr>
      <w:tc>
        <w:tcPr>
          <w:tcW w:w="7797" w:type="dxa"/>
          <w:tcMar>
            <w:left w:w="108" w:type="dxa"/>
            <w:right w:w="108" w:type="dxa"/>
          </w:tcMar>
        </w:tcPr>
        <w:p w14:paraId="50DAAD2A" w14:textId="2D033711" w:rsidR="00E83482" w:rsidRPr="00D13BF9" w:rsidRDefault="0034382C" w:rsidP="00E83482">
          <w:pPr>
            <w:pStyle w:val="HeaderOdd"/>
          </w:pPr>
          <w:fldSimple w:instr=" STYLEREF  PortfolioName  \* MERGEFORMAT ">
            <w:r w:rsidR="001A6D18">
              <w:rPr>
                <w:noProof/>
              </w:rPr>
              <w:t>Treasury</w:t>
            </w:r>
          </w:fldSimple>
          <w:r w:rsidR="00E83482" w:rsidRPr="00081542">
            <w:t> | </w:t>
          </w:r>
          <w:r w:rsidR="00E83482" w:rsidRPr="002709D2">
            <w:rPr>
              <w:noProof/>
              <w:position w:val="-8"/>
              <w:vertAlign w:val="subscript"/>
            </w:rPr>
            <w:drawing>
              <wp:inline distT="0" distB="0" distL="0" distR="0" wp14:anchorId="14E5B5A7" wp14:editId="4B768C27">
                <wp:extent cx="864091" cy="198000"/>
                <wp:effectExtent l="0" t="0" r="0" b="0"/>
                <wp:docPr id="456819979" name="Picture 456819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98448" name="Picture 9401984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0F17C5A" w14:textId="653D7E97" w:rsidR="000D63FB" w:rsidRPr="00E83482" w:rsidRDefault="000D63FB" w:rsidP="00E83482">
    <w:pPr>
      <w:pStyle w:val="HeaderOdd"/>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363F" w14:textId="13A9C268" w:rsidR="000D63FB" w:rsidRDefault="000D63FB" w:rsidP="000D63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6" w:type="dxa"/>
      <w:tblCellMar>
        <w:left w:w="0" w:type="dxa"/>
        <w:right w:w="0" w:type="dxa"/>
      </w:tblCellMar>
      <w:tblLook w:val="0000" w:firstRow="0" w:lastRow="0" w:firstColumn="0" w:lastColumn="0" w:noHBand="0" w:noVBand="0"/>
    </w:tblPr>
    <w:tblGrid>
      <w:gridCol w:w="7796"/>
    </w:tblGrid>
    <w:tr w:rsidR="000D63FB" w:rsidRPr="00222C32" w14:paraId="7350A3AF" w14:textId="77777777" w:rsidTr="000D63FB">
      <w:trPr>
        <w:trHeight w:hRule="exact" w:val="340"/>
      </w:trPr>
      <w:tc>
        <w:tcPr>
          <w:tcW w:w="7796" w:type="dxa"/>
        </w:tcPr>
        <w:p w14:paraId="6F2180A1" w14:textId="08211D26" w:rsidR="000D63FB" w:rsidRPr="00222C32" w:rsidRDefault="000D63FB" w:rsidP="000D63FB">
          <w:pPr>
            <w:pStyle w:val="HeaderOdd"/>
            <w:rPr>
              <w:position w:val="-8"/>
            </w:rPr>
          </w:pPr>
          <w:r w:rsidRPr="00222C32">
            <w:t>Climate Change, Energy, the Environment and Water | </w:t>
          </w:r>
          <w:r w:rsidRPr="00222C32">
            <w:rPr>
              <w:noProof/>
              <w:position w:val="-8"/>
            </w:rPr>
            <w:drawing>
              <wp:inline distT="0" distB="0" distL="0" distR="0" wp14:anchorId="3A55F1D9" wp14:editId="2F4D4962">
                <wp:extent cx="863348" cy="197358"/>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48" cy="197358"/>
                        </a:xfrm>
                        <a:prstGeom prst="rect">
                          <a:avLst/>
                        </a:prstGeom>
                      </pic:spPr>
                    </pic:pic>
                  </a:graphicData>
                </a:graphic>
              </wp:inline>
            </w:drawing>
          </w:r>
        </w:p>
      </w:tc>
    </w:tr>
  </w:tbl>
  <w:p w14:paraId="77A472DF" w14:textId="77777777" w:rsidR="000D63FB" w:rsidRDefault="000D63FB" w:rsidP="000D63FB">
    <w:pPr>
      <w:pStyle w:val="HeaderOd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2A7B" w14:textId="51FE9482" w:rsidR="000D63FB" w:rsidRDefault="000D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D8E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F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C8A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C5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4341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637CFB36"/>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70B68402"/>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579423CC"/>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AE44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A5BDC"/>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873012"/>
    <w:multiLevelType w:val="multilevel"/>
    <w:tmpl w:val="DD1E79DE"/>
    <w:lvl w:ilvl="0">
      <w:start w:val="1"/>
      <w:numFmt w:val="bullet"/>
      <w:lvlRestart w:val="0"/>
      <w:pStyle w:val="FootnoteBullet"/>
      <w:lvlText w:val="•"/>
      <w:lvlJc w:val="left"/>
      <w:pPr>
        <w:tabs>
          <w:tab w:val="num" w:pos="170"/>
        </w:tabs>
        <w:ind w:left="510" w:hanging="170"/>
      </w:pPr>
      <w:rPr>
        <w:rFonts w:ascii="Times New Roman" w:hAnsi="Times New Roman" w:cs="Times New Roman" w:hint="default"/>
        <w:b w:val="0"/>
        <w:i w:val="0"/>
        <w:color w:val="000000"/>
        <w:sz w:val="20"/>
      </w:rPr>
    </w:lvl>
    <w:lvl w:ilvl="1">
      <w:start w:val="1"/>
      <w:numFmt w:val="bullet"/>
      <w:lvlText w:val="–"/>
      <w:lvlJc w:val="left"/>
      <w:pPr>
        <w:tabs>
          <w:tab w:val="num" w:pos="510"/>
        </w:tabs>
        <w:ind w:left="510" w:hanging="284"/>
      </w:pPr>
      <w:rPr>
        <w:rFonts w:ascii="Times New Roman" w:hAnsi="Times New Roman" w:cs="Times New Roman" w:hint="default"/>
        <w:b w:val="0"/>
        <w:i w:val="0"/>
        <w:color w:val="000000"/>
      </w:rPr>
    </w:lvl>
    <w:lvl w:ilvl="2">
      <w:start w:val="1"/>
      <w:numFmt w:val="bullet"/>
      <w:lvlText w:val=":"/>
      <w:lvlJc w:val="left"/>
      <w:pPr>
        <w:tabs>
          <w:tab w:val="num" w:pos="793"/>
        </w:tabs>
        <w:ind w:left="793" w:hanging="283"/>
      </w:pPr>
      <w:rPr>
        <w:rFonts w:ascii="Times New Roman" w:hAnsi="Times New Roman" w:cs="Times New Roman" w:hint="default"/>
        <w:b w:val="0"/>
        <w:i w:val="0"/>
        <w:color w:val="000000"/>
      </w:rPr>
    </w:lvl>
    <w:lvl w:ilvl="3">
      <w:start w:val="1"/>
      <w:numFmt w:val="decimal"/>
      <w:lvlText w:val="%4"/>
      <w:lvlJc w:val="left"/>
      <w:pPr>
        <w:tabs>
          <w:tab w:val="num" w:pos="2211"/>
        </w:tabs>
        <w:ind w:left="2211" w:hanging="567"/>
      </w:pPr>
      <w:rPr>
        <w:rFonts w:ascii="Times New Roman" w:hAnsi="Times New Roman" w:cs="Times New Roman" w:hint="default"/>
        <w:b w:val="0"/>
        <w:i w:val="0"/>
        <w:color w:val="000000"/>
      </w:rPr>
    </w:lvl>
    <w:lvl w:ilvl="4">
      <w:start w:val="1"/>
      <w:numFmt w:val="decimal"/>
      <w:lvlText w:val="%5"/>
      <w:lvlJc w:val="left"/>
      <w:pPr>
        <w:tabs>
          <w:tab w:val="num" w:pos="2778"/>
        </w:tabs>
        <w:ind w:left="2778" w:hanging="567"/>
      </w:pPr>
      <w:rPr>
        <w:rFonts w:ascii="Times New Roman" w:hAnsi="Times New Roman" w:cs="Times New Roman" w:hint="default"/>
        <w:b w:val="0"/>
        <w:i w:val="0"/>
        <w:color w:val="000000"/>
      </w:rPr>
    </w:lvl>
    <w:lvl w:ilvl="5">
      <w:start w:val="1"/>
      <w:numFmt w:val="decimal"/>
      <w:lvlText w:val="%6"/>
      <w:lvlJc w:val="left"/>
      <w:pPr>
        <w:tabs>
          <w:tab w:val="num" w:pos="3345"/>
        </w:tabs>
        <w:ind w:left="3345" w:hanging="567"/>
      </w:pPr>
      <w:rPr>
        <w:rFonts w:ascii="Times New Roman" w:hAnsi="Times New Roman" w:cs="Times New Roman" w:hint="default"/>
        <w:b w:val="0"/>
        <w:i w:val="0"/>
        <w:color w:val="000000"/>
      </w:rPr>
    </w:lvl>
    <w:lvl w:ilvl="6">
      <w:start w:val="1"/>
      <w:numFmt w:val="decimal"/>
      <w:lvlText w:val="%7"/>
      <w:lvlJc w:val="left"/>
      <w:pPr>
        <w:tabs>
          <w:tab w:val="num" w:pos="3912"/>
        </w:tabs>
        <w:ind w:left="3912" w:hanging="567"/>
      </w:pPr>
      <w:rPr>
        <w:rFonts w:ascii="Times New Roman" w:hAnsi="Times New Roman" w:cs="Times New Roman" w:hint="default"/>
        <w:b w:val="0"/>
        <w:i w:val="0"/>
        <w:color w:val="000000"/>
      </w:rPr>
    </w:lvl>
    <w:lvl w:ilvl="7">
      <w:start w:val="1"/>
      <w:numFmt w:val="decimal"/>
      <w:lvlText w:val="%8"/>
      <w:lvlJc w:val="left"/>
      <w:pPr>
        <w:tabs>
          <w:tab w:val="num" w:pos="4479"/>
        </w:tabs>
        <w:ind w:left="4479" w:hanging="567"/>
      </w:pPr>
      <w:rPr>
        <w:rFonts w:ascii="Times New Roman" w:hAnsi="Times New Roman" w:cs="Times New Roman" w:hint="default"/>
        <w:b w:val="0"/>
        <w:i w:val="0"/>
        <w:color w:val="000000"/>
      </w:rPr>
    </w:lvl>
    <w:lvl w:ilvl="8">
      <w:start w:val="1"/>
      <w:numFmt w:val="decimal"/>
      <w:lvlText w:val="%9"/>
      <w:lvlJc w:val="left"/>
      <w:pPr>
        <w:tabs>
          <w:tab w:val="num" w:pos="5046"/>
        </w:tabs>
        <w:ind w:left="5046" w:hanging="567"/>
      </w:pPr>
      <w:rPr>
        <w:rFonts w:ascii="Times New Roman" w:hAnsi="Times New Roman" w:cs="Times New Roman" w:hint="default"/>
        <w:b w:val="0"/>
        <w:i w:val="0"/>
        <w:color w:val="000000"/>
      </w:rPr>
    </w:lvl>
  </w:abstractNum>
  <w:abstractNum w:abstractNumId="12" w15:restartNumberingAfterBreak="0">
    <w:nsid w:val="08747C41"/>
    <w:multiLevelType w:val="multilevel"/>
    <w:tmpl w:val="DB6444EE"/>
    <w:lvl w:ilvl="0">
      <w:start w:val="1"/>
      <w:numFmt w:val="bullet"/>
      <w:lvlRestart w:val="0"/>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171F44F2"/>
    <w:multiLevelType w:val="singleLevel"/>
    <w:tmpl w:val="B9D0F448"/>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5" w15:restartNumberingAfterBreak="0">
    <w:nsid w:val="3A5F1653"/>
    <w:multiLevelType w:val="multilevel"/>
    <w:tmpl w:val="655E41D0"/>
    <w:lvl w:ilvl="0">
      <w:start w:val="1"/>
      <w:numFmt w:val="bullet"/>
      <w:lvlRestart w:val="0"/>
      <w:lvlText w:val=""/>
      <w:lvlJc w:val="left"/>
      <w:pPr>
        <w:tabs>
          <w:tab w:val="num" w:pos="283"/>
        </w:tabs>
        <w:ind w:left="360" w:hanging="360"/>
      </w:pPr>
      <w:rPr>
        <w:rFonts w:ascii="Symbol" w:hAnsi="Symbol" w:hint="default"/>
        <w:sz w:val="16"/>
      </w:rPr>
    </w:lvl>
    <w:lvl w:ilvl="1">
      <w:start w:val="1"/>
      <w:numFmt w:val="bullet"/>
      <w:lvlText w:val="–"/>
      <w:lvlJc w:val="left"/>
      <w:pPr>
        <w:tabs>
          <w:tab w:val="num" w:pos="567"/>
        </w:tabs>
        <w:ind w:left="567" w:hanging="284"/>
      </w:pPr>
      <w:rPr>
        <w:rFonts w:ascii="Arial" w:hAnsi="Arial"/>
      </w:rPr>
    </w:lvl>
    <w:lvl w:ilvl="2">
      <w:start w:val="1"/>
      <w:numFmt w:val="bullet"/>
      <w:lvlText w:val=":"/>
      <w:lvlJc w:val="left"/>
      <w:pPr>
        <w:tabs>
          <w:tab w:val="num" w:pos="850"/>
        </w:tabs>
        <w:ind w:left="850" w:hanging="283"/>
      </w:pPr>
      <w:rPr>
        <w:rFonts w:ascii="Arial" w:hAnsi="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463CDB"/>
    <w:multiLevelType w:val="singleLevel"/>
    <w:tmpl w:val="C5525D34"/>
    <w:name w:val="AlphaChartTableFootnoteList"/>
    <w:lvl w:ilvl="0">
      <w:start w:val="1"/>
      <w:numFmt w:val="lowerLetter"/>
      <w:lvlRestart w:val="0"/>
      <w:lvlText w:val="(%1)"/>
      <w:lvlJc w:val="left"/>
      <w:pPr>
        <w:tabs>
          <w:tab w:val="num" w:pos="283"/>
        </w:tabs>
        <w:ind w:left="283" w:hanging="283"/>
      </w:pPr>
      <w:rPr>
        <w:rFonts w:ascii="Arial" w:hAnsi="Arial"/>
      </w:rPr>
    </w:lvl>
  </w:abstractNum>
  <w:abstractNum w:abstractNumId="17" w15:restartNumberingAfterBreak="0">
    <w:nsid w:val="66022277"/>
    <w:multiLevelType w:val="multilevel"/>
    <w:tmpl w:val="28F80116"/>
    <w:lvl w:ilvl="0">
      <w:start w:val="1"/>
      <w:numFmt w:val="lowerLetter"/>
      <w:pStyle w:val="ChartandTableFootnoteAlpha"/>
      <w:lvlText w:val="(%1)"/>
      <w:lvlJc w:val="left"/>
      <w:pPr>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D20A93"/>
    <w:multiLevelType w:val="singleLevel"/>
    <w:tmpl w:val="1B3897BC"/>
    <w:lvl w:ilvl="0">
      <w:start w:val="1"/>
      <w:numFmt w:val="lowerLetter"/>
      <w:lvlRestart w:val="0"/>
      <w:lvlText w:val="(%1)"/>
      <w:lvlJc w:val="left"/>
      <w:pPr>
        <w:tabs>
          <w:tab w:val="num" w:pos="283"/>
        </w:tabs>
        <w:ind w:left="283" w:hanging="283"/>
      </w:pPr>
      <w:rPr>
        <w:rFonts w:ascii="Arial" w:hAnsi="Arial"/>
        <w:sz w:val="15"/>
      </w:rPr>
    </w:lvl>
  </w:abstractNum>
  <w:abstractNum w:abstractNumId="19" w15:restartNumberingAfterBreak="0">
    <w:nsid w:val="72945F08"/>
    <w:multiLevelType w:val="multilevel"/>
    <w:tmpl w:val="EC6EED50"/>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125928366">
    <w:abstractNumId w:val="15"/>
  </w:num>
  <w:num w:numId="2" w16cid:durableId="1147362446">
    <w:abstractNumId w:val="9"/>
  </w:num>
  <w:num w:numId="3" w16cid:durableId="504710203">
    <w:abstractNumId w:val="7"/>
  </w:num>
  <w:num w:numId="4" w16cid:durableId="1009987824">
    <w:abstractNumId w:val="6"/>
  </w:num>
  <w:num w:numId="5" w16cid:durableId="1102530016">
    <w:abstractNumId w:val="5"/>
  </w:num>
  <w:num w:numId="6" w16cid:durableId="1116095246">
    <w:abstractNumId w:val="4"/>
  </w:num>
  <w:num w:numId="7" w16cid:durableId="67113469">
    <w:abstractNumId w:val="8"/>
  </w:num>
  <w:num w:numId="8" w16cid:durableId="548734523">
    <w:abstractNumId w:val="3"/>
  </w:num>
  <w:num w:numId="9" w16cid:durableId="1618951416">
    <w:abstractNumId w:val="2"/>
  </w:num>
  <w:num w:numId="10" w16cid:durableId="750616306">
    <w:abstractNumId w:val="1"/>
  </w:num>
  <w:num w:numId="11" w16cid:durableId="1631016615">
    <w:abstractNumId w:val="0"/>
  </w:num>
  <w:num w:numId="12" w16cid:durableId="201603056">
    <w:abstractNumId w:val="13"/>
  </w:num>
  <w:num w:numId="13" w16cid:durableId="410398307">
    <w:abstractNumId w:val="20"/>
  </w:num>
  <w:num w:numId="14" w16cid:durableId="751052210">
    <w:abstractNumId w:val="16"/>
  </w:num>
  <w:num w:numId="15" w16cid:durableId="1325208410">
    <w:abstractNumId w:val="19"/>
  </w:num>
  <w:num w:numId="16" w16cid:durableId="1164006638">
    <w:abstractNumId w:val="10"/>
  </w:num>
  <w:num w:numId="17" w16cid:durableId="2014380330">
    <w:abstractNumId w:val="10"/>
  </w:num>
  <w:num w:numId="18" w16cid:durableId="394399733">
    <w:abstractNumId w:val="10"/>
  </w:num>
  <w:num w:numId="19" w16cid:durableId="823817831">
    <w:abstractNumId w:val="10"/>
  </w:num>
  <w:num w:numId="20" w16cid:durableId="471144392">
    <w:abstractNumId w:val="17"/>
  </w:num>
  <w:num w:numId="21" w16cid:durableId="1838184937">
    <w:abstractNumId w:val="14"/>
  </w:num>
  <w:num w:numId="22" w16cid:durableId="119494808">
    <w:abstractNumId w:val="18"/>
  </w:num>
  <w:num w:numId="23" w16cid:durableId="7561589">
    <w:abstractNumId w:val="15"/>
  </w:num>
  <w:num w:numId="24" w16cid:durableId="1825777134">
    <w:abstractNumId w:val="18"/>
  </w:num>
  <w:num w:numId="25" w16cid:durableId="1166897327">
    <w:abstractNumId w:val="15"/>
  </w:num>
  <w:num w:numId="26" w16cid:durableId="176191554">
    <w:abstractNumId w:val="15"/>
  </w:num>
  <w:num w:numId="27" w16cid:durableId="1256012920">
    <w:abstractNumId w:val="12"/>
  </w:num>
  <w:num w:numId="28" w16cid:durableId="1670210064">
    <w:abstractNumId w:val="17"/>
  </w:num>
  <w:num w:numId="29" w16cid:durableId="618141987">
    <w:abstractNumId w:val="11"/>
  </w:num>
  <w:num w:numId="30" w16cid:durableId="1491678723">
    <w:abstractNumId w:val="12"/>
  </w:num>
  <w:num w:numId="31" w16cid:durableId="862787574">
    <w:abstractNumId w:val="17"/>
  </w:num>
  <w:num w:numId="32" w16cid:durableId="1858691275">
    <w:abstractNumId w:val="12"/>
  </w:num>
  <w:num w:numId="33" w16cid:durableId="707411316">
    <w:abstractNumId w:val="12"/>
  </w:num>
  <w:num w:numId="34" w16cid:durableId="1711807731">
    <w:abstractNumId w:val="11"/>
  </w:num>
  <w:num w:numId="35" w16cid:durableId="401802621">
    <w:abstractNumId w:val="12"/>
  </w:num>
  <w:num w:numId="36" w16cid:durableId="1561398454">
    <w:abstractNumId w:val="17"/>
  </w:num>
  <w:num w:numId="37" w16cid:durableId="360782750">
    <w:abstractNumId w:val="12"/>
  </w:num>
  <w:num w:numId="38" w16cid:durableId="1867450587">
    <w:abstractNumId w:val="12"/>
  </w:num>
  <w:num w:numId="39" w16cid:durableId="916860302">
    <w:abstractNumId w:val="11"/>
  </w:num>
  <w:num w:numId="40" w16cid:durableId="1772312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2438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Fmt w:val="lowerLetter"/>
    <w:numRestart w:val="eachSect"/>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A"/>
    <w:rsid w:val="00003965"/>
    <w:rsid w:val="00004960"/>
    <w:rsid w:val="00005CB1"/>
    <w:rsid w:val="000131D7"/>
    <w:rsid w:val="00017F6E"/>
    <w:rsid w:val="000201FD"/>
    <w:rsid w:val="00023788"/>
    <w:rsid w:val="0002386D"/>
    <w:rsid w:val="00023C54"/>
    <w:rsid w:val="000253B3"/>
    <w:rsid w:val="00025A64"/>
    <w:rsid w:val="00026BB7"/>
    <w:rsid w:val="00031D64"/>
    <w:rsid w:val="00032334"/>
    <w:rsid w:val="00034FD9"/>
    <w:rsid w:val="000353F7"/>
    <w:rsid w:val="000378CE"/>
    <w:rsid w:val="00041DCE"/>
    <w:rsid w:val="00042408"/>
    <w:rsid w:val="000459A9"/>
    <w:rsid w:val="00045C5A"/>
    <w:rsid w:val="00046DF2"/>
    <w:rsid w:val="00047067"/>
    <w:rsid w:val="00047766"/>
    <w:rsid w:val="00051857"/>
    <w:rsid w:val="0005199E"/>
    <w:rsid w:val="00051CC6"/>
    <w:rsid w:val="000545BA"/>
    <w:rsid w:val="000551D2"/>
    <w:rsid w:val="000569AB"/>
    <w:rsid w:val="00057651"/>
    <w:rsid w:val="000615EC"/>
    <w:rsid w:val="00061C32"/>
    <w:rsid w:val="00062622"/>
    <w:rsid w:val="000653EF"/>
    <w:rsid w:val="00065D7E"/>
    <w:rsid w:val="000661CD"/>
    <w:rsid w:val="00066C48"/>
    <w:rsid w:val="000674DA"/>
    <w:rsid w:val="0007132A"/>
    <w:rsid w:val="00074210"/>
    <w:rsid w:val="0007483F"/>
    <w:rsid w:val="00074931"/>
    <w:rsid w:val="00074B0F"/>
    <w:rsid w:val="00075563"/>
    <w:rsid w:val="00075B6C"/>
    <w:rsid w:val="00075D18"/>
    <w:rsid w:val="000769DF"/>
    <w:rsid w:val="00082EFF"/>
    <w:rsid w:val="0008428C"/>
    <w:rsid w:val="0008563A"/>
    <w:rsid w:val="00086F2B"/>
    <w:rsid w:val="00090959"/>
    <w:rsid w:val="00092802"/>
    <w:rsid w:val="00094AFD"/>
    <w:rsid w:val="000967E3"/>
    <w:rsid w:val="0009718C"/>
    <w:rsid w:val="000A16EF"/>
    <w:rsid w:val="000A3C52"/>
    <w:rsid w:val="000A458C"/>
    <w:rsid w:val="000A4E04"/>
    <w:rsid w:val="000A6553"/>
    <w:rsid w:val="000A6679"/>
    <w:rsid w:val="000A767E"/>
    <w:rsid w:val="000B24F6"/>
    <w:rsid w:val="000B3986"/>
    <w:rsid w:val="000B46A3"/>
    <w:rsid w:val="000B4BB0"/>
    <w:rsid w:val="000B5F29"/>
    <w:rsid w:val="000B64DE"/>
    <w:rsid w:val="000B7D36"/>
    <w:rsid w:val="000C0468"/>
    <w:rsid w:val="000C1AAB"/>
    <w:rsid w:val="000C1F90"/>
    <w:rsid w:val="000C294D"/>
    <w:rsid w:val="000C2B6F"/>
    <w:rsid w:val="000C2D78"/>
    <w:rsid w:val="000C3A96"/>
    <w:rsid w:val="000C3DD2"/>
    <w:rsid w:val="000C5714"/>
    <w:rsid w:val="000C6FCD"/>
    <w:rsid w:val="000C7FD0"/>
    <w:rsid w:val="000D0644"/>
    <w:rsid w:val="000D0DD5"/>
    <w:rsid w:val="000D1428"/>
    <w:rsid w:val="000D2B05"/>
    <w:rsid w:val="000D53F4"/>
    <w:rsid w:val="000D63FB"/>
    <w:rsid w:val="000D68A0"/>
    <w:rsid w:val="000D6B27"/>
    <w:rsid w:val="000E0276"/>
    <w:rsid w:val="000E02E2"/>
    <w:rsid w:val="000E0FE4"/>
    <w:rsid w:val="000E16CC"/>
    <w:rsid w:val="000E42A7"/>
    <w:rsid w:val="000E4823"/>
    <w:rsid w:val="000E4C35"/>
    <w:rsid w:val="000E7571"/>
    <w:rsid w:val="000F07CD"/>
    <w:rsid w:val="000F2560"/>
    <w:rsid w:val="000F3AB2"/>
    <w:rsid w:val="000F43CB"/>
    <w:rsid w:val="000F50C4"/>
    <w:rsid w:val="000F6B2C"/>
    <w:rsid w:val="000F6C6D"/>
    <w:rsid w:val="0010083E"/>
    <w:rsid w:val="001038AA"/>
    <w:rsid w:val="00103C3F"/>
    <w:rsid w:val="00104FA4"/>
    <w:rsid w:val="001070D7"/>
    <w:rsid w:val="0010720A"/>
    <w:rsid w:val="00110E3A"/>
    <w:rsid w:val="0011169A"/>
    <w:rsid w:val="00111D42"/>
    <w:rsid w:val="00111FF8"/>
    <w:rsid w:val="00112B44"/>
    <w:rsid w:val="001131DD"/>
    <w:rsid w:val="00113647"/>
    <w:rsid w:val="001149DA"/>
    <w:rsid w:val="00115B85"/>
    <w:rsid w:val="00115C73"/>
    <w:rsid w:val="001166B1"/>
    <w:rsid w:val="00117756"/>
    <w:rsid w:val="001208AC"/>
    <w:rsid w:val="0012425C"/>
    <w:rsid w:val="00130E77"/>
    <w:rsid w:val="0013270D"/>
    <w:rsid w:val="00137BFD"/>
    <w:rsid w:val="00141A03"/>
    <w:rsid w:val="0014275E"/>
    <w:rsid w:val="00143D68"/>
    <w:rsid w:val="0014713F"/>
    <w:rsid w:val="00147A53"/>
    <w:rsid w:val="00150C12"/>
    <w:rsid w:val="00151341"/>
    <w:rsid w:val="0015257C"/>
    <w:rsid w:val="001537CD"/>
    <w:rsid w:val="00154BE3"/>
    <w:rsid w:val="00154E44"/>
    <w:rsid w:val="001563B0"/>
    <w:rsid w:val="001575F8"/>
    <w:rsid w:val="0015768E"/>
    <w:rsid w:val="0016315A"/>
    <w:rsid w:val="00164149"/>
    <w:rsid w:val="00164A13"/>
    <w:rsid w:val="0016595F"/>
    <w:rsid w:val="00170CDB"/>
    <w:rsid w:val="00171442"/>
    <w:rsid w:val="00173E64"/>
    <w:rsid w:val="0017447A"/>
    <w:rsid w:val="00174B92"/>
    <w:rsid w:val="00174EDD"/>
    <w:rsid w:val="00175935"/>
    <w:rsid w:val="00176F80"/>
    <w:rsid w:val="001773A8"/>
    <w:rsid w:val="00181789"/>
    <w:rsid w:val="00182053"/>
    <w:rsid w:val="0018495E"/>
    <w:rsid w:val="00184E92"/>
    <w:rsid w:val="00185B8B"/>
    <w:rsid w:val="001873A7"/>
    <w:rsid w:val="00190251"/>
    <w:rsid w:val="00190950"/>
    <w:rsid w:val="00190A81"/>
    <w:rsid w:val="0019312F"/>
    <w:rsid w:val="00193A16"/>
    <w:rsid w:val="00193CF1"/>
    <w:rsid w:val="001943D8"/>
    <w:rsid w:val="00197CEC"/>
    <w:rsid w:val="001A0734"/>
    <w:rsid w:val="001A0E4F"/>
    <w:rsid w:val="001A19C5"/>
    <w:rsid w:val="001A1BA1"/>
    <w:rsid w:val="001A20B2"/>
    <w:rsid w:val="001A47BB"/>
    <w:rsid w:val="001A4C7D"/>
    <w:rsid w:val="001A6244"/>
    <w:rsid w:val="001A6D18"/>
    <w:rsid w:val="001B1180"/>
    <w:rsid w:val="001B1CFF"/>
    <w:rsid w:val="001B3587"/>
    <w:rsid w:val="001B3731"/>
    <w:rsid w:val="001B399D"/>
    <w:rsid w:val="001B3D55"/>
    <w:rsid w:val="001B5E1D"/>
    <w:rsid w:val="001C2678"/>
    <w:rsid w:val="001C2B93"/>
    <w:rsid w:val="001C3B76"/>
    <w:rsid w:val="001C3EEB"/>
    <w:rsid w:val="001C42A9"/>
    <w:rsid w:val="001C488F"/>
    <w:rsid w:val="001C7FEC"/>
    <w:rsid w:val="001D1CEC"/>
    <w:rsid w:val="001D2975"/>
    <w:rsid w:val="001D2CF1"/>
    <w:rsid w:val="001D5069"/>
    <w:rsid w:val="001D5C35"/>
    <w:rsid w:val="001D63B3"/>
    <w:rsid w:val="001D689F"/>
    <w:rsid w:val="001D7A21"/>
    <w:rsid w:val="001E0334"/>
    <w:rsid w:val="001E1399"/>
    <w:rsid w:val="001E227C"/>
    <w:rsid w:val="001E3AEE"/>
    <w:rsid w:val="001E451B"/>
    <w:rsid w:val="001E5A6E"/>
    <w:rsid w:val="001E734B"/>
    <w:rsid w:val="001F3FEE"/>
    <w:rsid w:val="001F40D7"/>
    <w:rsid w:val="001F5F1D"/>
    <w:rsid w:val="00200872"/>
    <w:rsid w:val="00201F3A"/>
    <w:rsid w:val="00201FC3"/>
    <w:rsid w:val="00202090"/>
    <w:rsid w:val="002029F3"/>
    <w:rsid w:val="00202CA3"/>
    <w:rsid w:val="00206047"/>
    <w:rsid w:val="002073FC"/>
    <w:rsid w:val="002116CD"/>
    <w:rsid w:val="002147BA"/>
    <w:rsid w:val="00215A02"/>
    <w:rsid w:val="0022074E"/>
    <w:rsid w:val="00221376"/>
    <w:rsid w:val="00221379"/>
    <w:rsid w:val="00221CA1"/>
    <w:rsid w:val="00222C32"/>
    <w:rsid w:val="00224474"/>
    <w:rsid w:val="0022452E"/>
    <w:rsid w:val="00224C05"/>
    <w:rsid w:val="0022616A"/>
    <w:rsid w:val="00226517"/>
    <w:rsid w:val="00226D2B"/>
    <w:rsid w:val="0022719D"/>
    <w:rsid w:val="00227830"/>
    <w:rsid w:val="00233A09"/>
    <w:rsid w:val="00235A3C"/>
    <w:rsid w:val="002365C7"/>
    <w:rsid w:val="002400C8"/>
    <w:rsid w:val="00240971"/>
    <w:rsid w:val="00241CF0"/>
    <w:rsid w:val="00241F8B"/>
    <w:rsid w:val="002422C4"/>
    <w:rsid w:val="0024255B"/>
    <w:rsid w:val="002437AC"/>
    <w:rsid w:val="00244A77"/>
    <w:rsid w:val="00245126"/>
    <w:rsid w:val="00245C01"/>
    <w:rsid w:val="00247B51"/>
    <w:rsid w:val="002500A3"/>
    <w:rsid w:val="002504DB"/>
    <w:rsid w:val="0025067D"/>
    <w:rsid w:val="002506AC"/>
    <w:rsid w:val="002538E5"/>
    <w:rsid w:val="0025424B"/>
    <w:rsid w:val="00255DE0"/>
    <w:rsid w:val="00256132"/>
    <w:rsid w:val="00257E8B"/>
    <w:rsid w:val="00261E6F"/>
    <w:rsid w:val="0026222A"/>
    <w:rsid w:val="0026339C"/>
    <w:rsid w:val="00263BB2"/>
    <w:rsid w:val="0026413A"/>
    <w:rsid w:val="00264D14"/>
    <w:rsid w:val="00264E51"/>
    <w:rsid w:val="002653DE"/>
    <w:rsid w:val="00265A77"/>
    <w:rsid w:val="0026661E"/>
    <w:rsid w:val="00267D29"/>
    <w:rsid w:val="00270ABA"/>
    <w:rsid w:val="00271529"/>
    <w:rsid w:val="00271EEA"/>
    <w:rsid w:val="00272C36"/>
    <w:rsid w:val="0027435B"/>
    <w:rsid w:val="00276E98"/>
    <w:rsid w:val="0028134A"/>
    <w:rsid w:val="00286299"/>
    <w:rsid w:val="00286F2F"/>
    <w:rsid w:val="002930D1"/>
    <w:rsid w:val="00293A9B"/>
    <w:rsid w:val="00294042"/>
    <w:rsid w:val="00294AF9"/>
    <w:rsid w:val="0029546B"/>
    <w:rsid w:val="00297124"/>
    <w:rsid w:val="002979EB"/>
    <w:rsid w:val="002A2F83"/>
    <w:rsid w:val="002A3D6C"/>
    <w:rsid w:val="002B0FA6"/>
    <w:rsid w:val="002B16BB"/>
    <w:rsid w:val="002B690F"/>
    <w:rsid w:val="002C1A34"/>
    <w:rsid w:val="002C3478"/>
    <w:rsid w:val="002C7351"/>
    <w:rsid w:val="002D0ADB"/>
    <w:rsid w:val="002D3018"/>
    <w:rsid w:val="002D4E38"/>
    <w:rsid w:val="002D524A"/>
    <w:rsid w:val="002D52DB"/>
    <w:rsid w:val="002D61E7"/>
    <w:rsid w:val="002D7488"/>
    <w:rsid w:val="002E2597"/>
    <w:rsid w:val="002E26C0"/>
    <w:rsid w:val="002E3F0A"/>
    <w:rsid w:val="002E4C9D"/>
    <w:rsid w:val="002E5347"/>
    <w:rsid w:val="002E6D7C"/>
    <w:rsid w:val="002E70A7"/>
    <w:rsid w:val="002F32A2"/>
    <w:rsid w:val="002F33DB"/>
    <w:rsid w:val="002F35F9"/>
    <w:rsid w:val="002F3982"/>
    <w:rsid w:val="002F4190"/>
    <w:rsid w:val="002F4C69"/>
    <w:rsid w:val="002F5566"/>
    <w:rsid w:val="002F784B"/>
    <w:rsid w:val="00300844"/>
    <w:rsid w:val="00301ACF"/>
    <w:rsid w:val="003022CC"/>
    <w:rsid w:val="003023B7"/>
    <w:rsid w:val="00303B1E"/>
    <w:rsid w:val="00304337"/>
    <w:rsid w:val="00305DAC"/>
    <w:rsid w:val="00311693"/>
    <w:rsid w:val="0031178B"/>
    <w:rsid w:val="00312A72"/>
    <w:rsid w:val="00312DDC"/>
    <w:rsid w:val="00313145"/>
    <w:rsid w:val="00314364"/>
    <w:rsid w:val="00315121"/>
    <w:rsid w:val="0031609D"/>
    <w:rsid w:val="003166BD"/>
    <w:rsid w:val="003166E6"/>
    <w:rsid w:val="00316A79"/>
    <w:rsid w:val="003177BD"/>
    <w:rsid w:val="00317A13"/>
    <w:rsid w:val="00321CB9"/>
    <w:rsid w:val="003228A6"/>
    <w:rsid w:val="00324BD5"/>
    <w:rsid w:val="0032585D"/>
    <w:rsid w:val="0032594B"/>
    <w:rsid w:val="003259C2"/>
    <w:rsid w:val="00327DB0"/>
    <w:rsid w:val="0033064F"/>
    <w:rsid w:val="00330F86"/>
    <w:rsid w:val="003311D7"/>
    <w:rsid w:val="00333483"/>
    <w:rsid w:val="00333DB6"/>
    <w:rsid w:val="00335C0D"/>
    <w:rsid w:val="0033661B"/>
    <w:rsid w:val="003408A7"/>
    <w:rsid w:val="00342343"/>
    <w:rsid w:val="0034259D"/>
    <w:rsid w:val="003431CA"/>
    <w:rsid w:val="0034382C"/>
    <w:rsid w:val="00344A44"/>
    <w:rsid w:val="003452B3"/>
    <w:rsid w:val="003469EE"/>
    <w:rsid w:val="003524A9"/>
    <w:rsid w:val="00352EE3"/>
    <w:rsid w:val="003578A9"/>
    <w:rsid w:val="00360403"/>
    <w:rsid w:val="0036610C"/>
    <w:rsid w:val="0036780B"/>
    <w:rsid w:val="00370012"/>
    <w:rsid w:val="00370674"/>
    <w:rsid w:val="00371436"/>
    <w:rsid w:val="00372FB8"/>
    <w:rsid w:val="0037408A"/>
    <w:rsid w:val="00374BFD"/>
    <w:rsid w:val="003769CF"/>
    <w:rsid w:val="00376CD6"/>
    <w:rsid w:val="0038036D"/>
    <w:rsid w:val="00384EED"/>
    <w:rsid w:val="003870A8"/>
    <w:rsid w:val="00390FC4"/>
    <w:rsid w:val="003913A8"/>
    <w:rsid w:val="003924E3"/>
    <w:rsid w:val="0039267B"/>
    <w:rsid w:val="00394E74"/>
    <w:rsid w:val="003A1157"/>
    <w:rsid w:val="003A1314"/>
    <w:rsid w:val="003A1861"/>
    <w:rsid w:val="003A221D"/>
    <w:rsid w:val="003A2AF0"/>
    <w:rsid w:val="003A7150"/>
    <w:rsid w:val="003A768E"/>
    <w:rsid w:val="003B00A0"/>
    <w:rsid w:val="003B258A"/>
    <w:rsid w:val="003B2A37"/>
    <w:rsid w:val="003B392F"/>
    <w:rsid w:val="003B684A"/>
    <w:rsid w:val="003B6B86"/>
    <w:rsid w:val="003B6D54"/>
    <w:rsid w:val="003B71A5"/>
    <w:rsid w:val="003C0060"/>
    <w:rsid w:val="003C382C"/>
    <w:rsid w:val="003C46F9"/>
    <w:rsid w:val="003D1465"/>
    <w:rsid w:val="003D1616"/>
    <w:rsid w:val="003D2403"/>
    <w:rsid w:val="003D36AB"/>
    <w:rsid w:val="003D3C1C"/>
    <w:rsid w:val="003D3D40"/>
    <w:rsid w:val="003D434F"/>
    <w:rsid w:val="003D544B"/>
    <w:rsid w:val="003D561A"/>
    <w:rsid w:val="003D6C52"/>
    <w:rsid w:val="003E38BA"/>
    <w:rsid w:val="003E4C88"/>
    <w:rsid w:val="003E4D6F"/>
    <w:rsid w:val="003E523B"/>
    <w:rsid w:val="003E5EE1"/>
    <w:rsid w:val="003E6A9C"/>
    <w:rsid w:val="003F0C4C"/>
    <w:rsid w:val="003F3CC8"/>
    <w:rsid w:val="003F3E11"/>
    <w:rsid w:val="003F4017"/>
    <w:rsid w:val="003F463C"/>
    <w:rsid w:val="003F5E28"/>
    <w:rsid w:val="003F5E39"/>
    <w:rsid w:val="003F61B8"/>
    <w:rsid w:val="003F65D7"/>
    <w:rsid w:val="003F6C65"/>
    <w:rsid w:val="003F722F"/>
    <w:rsid w:val="003F78BB"/>
    <w:rsid w:val="004000F3"/>
    <w:rsid w:val="00401721"/>
    <w:rsid w:val="00402122"/>
    <w:rsid w:val="0040461D"/>
    <w:rsid w:val="00406408"/>
    <w:rsid w:val="004066E8"/>
    <w:rsid w:val="00407361"/>
    <w:rsid w:val="004077E0"/>
    <w:rsid w:val="0041076B"/>
    <w:rsid w:val="00410D5D"/>
    <w:rsid w:val="004111C2"/>
    <w:rsid w:val="00411F8C"/>
    <w:rsid w:val="00414835"/>
    <w:rsid w:val="00414B0F"/>
    <w:rsid w:val="00415AFC"/>
    <w:rsid w:val="00416590"/>
    <w:rsid w:val="00416AF4"/>
    <w:rsid w:val="00416D84"/>
    <w:rsid w:val="00417135"/>
    <w:rsid w:val="00420099"/>
    <w:rsid w:val="00420DE8"/>
    <w:rsid w:val="00420E7D"/>
    <w:rsid w:val="00421F9C"/>
    <w:rsid w:val="0042512B"/>
    <w:rsid w:val="0043022E"/>
    <w:rsid w:val="004318E7"/>
    <w:rsid w:val="00432DD4"/>
    <w:rsid w:val="004340B5"/>
    <w:rsid w:val="0043431E"/>
    <w:rsid w:val="00434B91"/>
    <w:rsid w:val="0043544F"/>
    <w:rsid w:val="004365E8"/>
    <w:rsid w:val="0043692C"/>
    <w:rsid w:val="0043781C"/>
    <w:rsid w:val="0044138E"/>
    <w:rsid w:val="004437CD"/>
    <w:rsid w:val="00445972"/>
    <w:rsid w:val="00446206"/>
    <w:rsid w:val="00450C6E"/>
    <w:rsid w:val="004524D0"/>
    <w:rsid w:val="00454AF9"/>
    <w:rsid w:val="00454D07"/>
    <w:rsid w:val="00456E90"/>
    <w:rsid w:val="0045700B"/>
    <w:rsid w:val="00460419"/>
    <w:rsid w:val="00461890"/>
    <w:rsid w:val="004620B3"/>
    <w:rsid w:val="00464AFA"/>
    <w:rsid w:val="00465116"/>
    <w:rsid w:val="0046623B"/>
    <w:rsid w:val="004664A2"/>
    <w:rsid w:val="00466541"/>
    <w:rsid w:val="004673FD"/>
    <w:rsid w:val="00467570"/>
    <w:rsid w:val="00467899"/>
    <w:rsid w:val="00470F23"/>
    <w:rsid w:val="0047569E"/>
    <w:rsid w:val="00475824"/>
    <w:rsid w:val="0048115B"/>
    <w:rsid w:val="00481A4C"/>
    <w:rsid w:val="0048244C"/>
    <w:rsid w:val="00483200"/>
    <w:rsid w:val="00483588"/>
    <w:rsid w:val="00485297"/>
    <w:rsid w:val="00485699"/>
    <w:rsid w:val="00485C2E"/>
    <w:rsid w:val="004860AC"/>
    <w:rsid w:val="00487649"/>
    <w:rsid w:val="00487D85"/>
    <w:rsid w:val="00487E43"/>
    <w:rsid w:val="004903CC"/>
    <w:rsid w:val="0049046F"/>
    <w:rsid w:val="00490BF7"/>
    <w:rsid w:val="00492E5F"/>
    <w:rsid w:val="00493083"/>
    <w:rsid w:val="0049375D"/>
    <w:rsid w:val="00493CD9"/>
    <w:rsid w:val="00494FB1"/>
    <w:rsid w:val="00496C25"/>
    <w:rsid w:val="00496FA3"/>
    <w:rsid w:val="004970E2"/>
    <w:rsid w:val="004A1D1A"/>
    <w:rsid w:val="004A2D82"/>
    <w:rsid w:val="004A73B8"/>
    <w:rsid w:val="004B1FE1"/>
    <w:rsid w:val="004B2305"/>
    <w:rsid w:val="004B2B48"/>
    <w:rsid w:val="004B4915"/>
    <w:rsid w:val="004B59BF"/>
    <w:rsid w:val="004B5DDB"/>
    <w:rsid w:val="004B6D8D"/>
    <w:rsid w:val="004B759B"/>
    <w:rsid w:val="004B7666"/>
    <w:rsid w:val="004B7A20"/>
    <w:rsid w:val="004C0CFF"/>
    <w:rsid w:val="004C1930"/>
    <w:rsid w:val="004C44CC"/>
    <w:rsid w:val="004C6535"/>
    <w:rsid w:val="004C73BD"/>
    <w:rsid w:val="004D3D97"/>
    <w:rsid w:val="004D4292"/>
    <w:rsid w:val="004D5940"/>
    <w:rsid w:val="004D59D8"/>
    <w:rsid w:val="004D7213"/>
    <w:rsid w:val="004D7424"/>
    <w:rsid w:val="004E07E7"/>
    <w:rsid w:val="004E189C"/>
    <w:rsid w:val="004E3A5A"/>
    <w:rsid w:val="004E3F96"/>
    <w:rsid w:val="004F2D97"/>
    <w:rsid w:val="004F65A0"/>
    <w:rsid w:val="004F7838"/>
    <w:rsid w:val="004F7C30"/>
    <w:rsid w:val="00501173"/>
    <w:rsid w:val="00503C37"/>
    <w:rsid w:val="00504D7F"/>
    <w:rsid w:val="005050EB"/>
    <w:rsid w:val="0050593A"/>
    <w:rsid w:val="005075F1"/>
    <w:rsid w:val="005076B1"/>
    <w:rsid w:val="005118F5"/>
    <w:rsid w:val="00511DBE"/>
    <w:rsid w:val="0051233B"/>
    <w:rsid w:val="00512ADE"/>
    <w:rsid w:val="0051456E"/>
    <w:rsid w:val="00514B2B"/>
    <w:rsid w:val="00514B52"/>
    <w:rsid w:val="005152B4"/>
    <w:rsid w:val="00515696"/>
    <w:rsid w:val="005175AC"/>
    <w:rsid w:val="00521733"/>
    <w:rsid w:val="005231CD"/>
    <w:rsid w:val="005236B4"/>
    <w:rsid w:val="00525682"/>
    <w:rsid w:val="005300FC"/>
    <w:rsid w:val="00533714"/>
    <w:rsid w:val="0053468D"/>
    <w:rsid w:val="005349E8"/>
    <w:rsid w:val="00535099"/>
    <w:rsid w:val="005357EA"/>
    <w:rsid w:val="00535B1B"/>
    <w:rsid w:val="00535C13"/>
    <w:rsid w:val="00536D8F"/>
    <w:rsid w:val="00537125"/>
    <w:rsid w:val="005411B9"/>
    <w:rsid w:val="00543B72"/>
    <w:rsid w:val="0054427A"/>
    <w:rsid w:val="00546B64"/>
    <w:rsid w:val="00551BB4"/>
    <w:rsid w:val="0055383D"/>
    <w:rsid w:val="0055782D"/>
    <w:rsid w:val="0056057D"/>
    <w:rsid w:val="00560AD6"/>
    <w:rsid w:val="005613A5"/>
    <w:rsid w:val="00566E26"/>
    <w:rsid w:val="005672C8"/>
    <w:rsid w:val="0057041B"/>
    <w:rsid w:val="00570B2F"/>
    <w:rsid w:val="005729E6"/>
    <w:rsid w:val="00572D82"/>
    <w:rsid w:val="00573284"/>
    <w:rsid w:val="00574C82"/>
    <w:rsid w:val="0057702D"/>
    <w:rsid w:val="005828E9"/>
    <w:rsid w:val="00583BE5"/>
    <w:rsid w:val="00584CAE"/>
    <w:rsid w:val="00585142"/>
    <w:rsid w:val="0058543B"/>
    <w:rsid w:val="0058560F"/>
    <w:rsid w:val="00586C51"/>
    <w:rsid w:val="005907E9"/>
    <w:rsid w:val="00591C8C"/>
    <w:rsid w:val="00591E35"/>
    <w:rsid w:val="005929B1"/>
    <w:rsid w:val="0059355A"/>
    <w:rsid w:val="00593D96"/>
    <w:rsid w:val="00595CA9"/>
    <w:rsid w:val="00596AA1"/>
    <w:rsid w:val="005A0100"/>
    <w:rsid w:val="005A0ADB"/>
    <w:rsid w:val="005A2243"/>
    <w:rsid w:val="005A3216"/>
    <w:rsid w:val="005A575B"/>
    <w:rsid w:val="005A63E7"/>
    <w:rsid w:val="005A6646"/>
    <w:rsid w:val="005B0D7D"/>
    <w:rsid w:val="005B2CC8"/>
    <w:rsid w:val="005B34FB"/>
    <w:rsid w:val="005B3907"/>
    <w:rsid w:val="005B3B02"/>
    <w:rsid w:val="005B3E0F"/>
    <w:rsid w:val="005B6066"/>
    <w:rsid w:val="005B71F3"/>
    <w:rsid w:val="005B7549"/>
    <w:rsid w:val="005C20C8"/>
    <w:rsid w:val="005C2850"/>
    <w:rsid w:val="005C34D0"/>
    <w:rsid w:val="005C792E"/>
    <w:rsid w:val="005D03AE"/>
    <w:rsid w:val="005D11F6"/>
    <w:rsid w:val="005D235C"/>
    <w:rsid w:val="005D3A7D"/>
    <w:rsid w:val="005D3D2D"/>
    <w:rsid w:val="005D3DDA"/>
    <w:rsid w:val="005D485C"/>
    <w:rsid w:val="005D7246"/>
    <w:rsid w:val="005E03AE"/>
    <w:rsid w:val="005E0954"/>
    <w:rsid w:val="005E1E75"/>
    <w:rsid w:val="005E535F"/>
    <w:rsid w:val="005E727A"/>
    <w:rsid w:val="005F0DFA"/>
    <w:rsid w:val="005F1429"/>
    <w:rsid w:val="005F2DB4"/>
    <w:rsid w:val="005F3B8B"/>
    <w:rsid w:val="005F4A87"/>
    <w:rsid w:val="005F5A80"/>
    <w:rsid w:val="005F6F76"/>
    <w:rsid w:val="005F7D94"/>
    <w:rsid w:val="005F7E1C"/>
    <w:rsid w:val="0060082E"/>
    <w:rsid w:val="0060272B"/>
    <w:rsid w:val="006031B8"/>
    <w:rsid w:val="0060535E"/>
    <w:rsid w:val="006055D3"/>
    <w:rsid w:val="00605C8C"/>
    <w:rsid w:val="00606468"/>
    <w:rsid w:val="00612BFC"/>
    <w:rsid w:val="00612DC6"/>
    <w:rsid w:val="006163AE"/>
    <w:rsid w:val="006174D4"/>
    <w:rsid w:val="00617C98"/>
    <w:rsid w:val="0062186E"/>
    <w:rsid w:val="006218BC"/>
    <w:rsid w:val="00621C12"/>
    <w:rsid w:val="00624986"/>
    <w:rsid w:val="00624EA6"/>
    <w:rsid w:val="006253FC"/>
    <w:rsid w:val="0062584A"/>
    <w:rsid w:val="00625BA8"/>
    <w:rsid w:val="00626591"/>
    <w:rsid w:val="00626598"/>
    <w:rsid w:val="0063154B"/>
    <w:rsid w:val="00632625"/>
    <w:rsid w:val="00632A6E"/>
    <w:rsid w:val="00636E47"/>
    <w:rsid w:val="006372B1"/>
    <w:rsid w:val="00637471"/>
    <w:rsid w:val="00640FCB"/>
    <w:rsid w:val="00641DC8"/>
    <w:rsid w:val="00641EAF"/>
    <w:rsid w:val="00642EA4"/>
    <w:rsid w:val="0064378C"/>
    <w:rsid w:val="00646C6F"/>
    <w:rsid w:val="006512FD"/>
    <w:rsid w:val="006555FC"/>
    <w:rsid w:val="00655FA0"/>
    <w:rsid w:val="00657384"/>
    <w:rsid w:val="00657E13"/>
    <w:rsid w:val="00660487"/>
    <w:rsid w:val="0066068E"/>
    <w:rsid w:val="006616DE"/>
    <w:rsid w:val="006624C1"/>
    <w:rsid w:val="006629DF"/>
    <w:rsid w:val="00662DAF"/>
    <w:rsid w:val="00663875"/>
    <w:rsid w:val="006646C9"/>
    <w:rsid w:val="00665881"/>
    <w:rsid w:val="00667640"/>
    <w:rsid w:val="006677C8"/>
    <w:rsid w:val="00667818"/>
    <w:rsid w:val="00670304"/>
    <w:rsid w:val="006708F5"/>
    <w:rsid w:val="00672684"/>
    <w:rsid w:val="00673D5B"/>
    <w:rsid w:val="00674761"/>
    <w:rsid w:val="006753A8"/>
    <w:rsid w:val="006753EC"/>
    <w:rsid w:val="0067582B"/>
    <w:rsid w:val="00675A4B"/>
    <w:rsid w:val="00675A68"/>
    <w:rsid w:val="00676261"/>
    <w:rsid w:val="006762D7"/>
    <w:rsid w:val="00677595"/>
    <w:rsid w:val="00677761"/>
    <w:rsid w:val="00680844"/>
    <w:rsid w:val="00681A1F"/>
    <w:rsid w:val="006865FF"/>
    <w:rsid w:val="00690522"/>
    <w:rsid w:val="00696D1D"/>
    <w:rsid w:val="006A15BF"/>
    <w:rsid w:val="006A3CBA"/>
    <w:rsid w:val="006A6180"/>
    <w:rsid w:val="006A69CC"/>
    <w:rsid w:val="006B2089"/>
    <w:rsid w:val="006B2DD5"/>
    <w:rsid w:val="006B5524"/>
    <w:rsid w:val="006B56C5"/>
    <w:rsid w:val="006B7812"/>
    <w:rsid w:val="006C0DAD"/>
    <w:rsid w:val="006C2619"/>
    <w:rsid w:val="006C2BF5"/>
    <w:rsid w:val="006C2FAA"/>
    <w:rsid w:val="006C35C8"/>
    <w:rsid w:val="006C3D6A"/>
    <w:rsid w:val="006C4906"/>
    <w:rsid w:val="006C4AE6"/>
    <w:rsid w:val="006C5EE3"/>
    <w:rsid w:val="006C6B1B"/>
    <w:rsid w:val="006D017A"/>
    <w:rsid w:val="006D2F1C"/>
    <w:rsid w:val="006D45EE"/>
    <w:rsid w:val="006D473E"/>
    <w:rsid w:val="006D486D"/>
    <w:rsid w:val="006D68B2"/>
    <w:rsid w:val="006D7CC2"/>
    <w:rsid w:val="006E0F81"/>
    <w:rsid w:val="006E2019"/>
    <w:rsid w:val="006E22A8"/>
    <w:rsid w:val="006E240A"/>
    <w:rsid w:val="006E2D95"/>
    <w:rsid w:val="006E37BF"/>
    <w:rsid w:val="006E3A7B"/>
    <w:rsid w:val="006F11B2"/>
    <w:rsid w:val="006F1880"/>
    <w:rsid w:val="006F26E8"/>
    <w:rsid w:val="006F2ABE"/>
    <w:rsid w:val="006F4200"/>
    <w:rsid w:val="006F7108"/>
    <w:rsid w:val="006F7762"/>
    <w:rsid w:val="007001E6"/>
    <w:rsid w:val="00700378"/>
    <w:rsid w:val="0070115F"/>
    <w:rsid w:val="0070134F"/>
    <w:rsid w:val="00701D2D"/>
    <w:rsid w:val="00702056"/>
    <w:rsid w:val="0070345B"/>
    <w:rsid w:val="00705D5B"/>
    <w:rsid w:val="00705E65"/>
    <w:rsid w:val="00711E1E"/>
    <w:rsid w:val="007129F8"/>
    <w:rsid w:val="00712C4B"/>
    <w:rsid w:val="0071389C"/>
    <w:rsid w:val="00716365"/>
    <w:rsid w:val="0071678B"/>
    <w:rsid w:val="00720D23"/>
    <w:rsid w:val="0072102C"/>
    <w:rsid w:val="0072397A"/>
    <w:rsid w:val="00723ACF"/>
    <w:rsid w:val="007241D5"/>
    <w:rsid w:val="00725A46"/>
    <w:rsid w:val="0072757F"/>
    <w:rsid w:val="007308C2"/>
    <w:rsid w:val="00730A96"/>
    <w:rsid w:val="00732ADD"/>
    <w:rsid w:val="007354ED"/>
    <w:rsid w:val="00736E29"/>
    <w:rsid w:val="00743C66"/>
    <w:rsid w:val="00743DB3"/>
    <w:rsid w:val="00744B66"/>
    <w:rsid w:val="007457AD"/>
    <w:rsid w:val="00745D5C"/>
    <w:rsid w:val="0074712C"/>
    <w:rsid w:val="007528CA"/>
    <w:rsid w:val="00752B06"/>
    <w:rsid w:val="007547B9"/>
    <w:rsid w:val="007554E5"/>
    <w:rsid w:val="0075738A"/>
    <w:rsid w:val="00760520"/>
    <w:rsid w:val="00762CA8"/>
    <w:rsid w:val="00764D3F"/>
    <w:rsid w:val="00766A6C"/>
    <w:rsid w:val="00771684"/>
    <w:rsid w:val="00771953"/>
    <w:rsid w:val="00773EF0"/>
    <w:rsid w:val="007760AA"/>
    <w:rsid w:val="00776BBE"/>
    <w:rsid w:val="007776AB"/>
    <w:rsid w:val="00777E35"/>
    <w:rsid w:val="00781AFD"/>
    <w:rsid w:val="00783959"/>
    <w:rsid w:val="00786668"/>
    <w:rsid w:val="00786D67"/>
    <w:rsid w:val="0078742A"/>
    <w:rsid w:val="0078743D"/>
    <w:rsid w:val="00790374"/>
    <w:rsid w:val="0079102A"/>
    <w:rsid w:val="007942F5"/>
    <w:rsid w:val="007952F9"/>
    <w:rsid w:val="00796AC4"/>
    <w:rsid w:val="00796C01"/>
    <w:rsid w:val="007974EF"/>
    <w:rsid w:val="007A0ED9"/>
    <w:rsid w:val="007A1FDE"/>
    <w:rsid w:val="007A283B"/>
    <w:rsid w:val="007A29FA"/>
    <w:rsid w:val="007A31D4"/>
    <w:rsid w:val="007A3732"/>
    <w:rsid w:val="007A58EC"/>
    <w:rsid w:val="007A66DA"/>
    <w:rsid w:val="007A6BA4"/>
    <w:rsid w:val="007A6C9B"/>
    <w:rsid w:val="007A7072"/>
    <w:rsid w:val="007B2F61"/>
    <w:rsid w:val="007B3095"/>
    <w:rsid w:val="007B3B08"/>
    <w:rsid w:val="007B5092"/>
    <w:rsid w:val="007B5E30"/>
    <w:rsid w:val="007B68BA"/>
    <w:rsid w:val="007B7205"/>
    <w:rsid w:val="007C06B9"/>
    <w:rsid w:val="007C1246"/>
    <w:rsid w:val="007C471B"/>
    <w:rsid w:val="007C5781"/>
    <w:rsid w:val="007C6E46"/>
    <w:rsid w:val="007C76FA"/>
    <w:rsid w:val="007D09D0"/>
    <w:rsid w:val="007D2CA0"/>
    <w:rsid w:val="007D3958"/>
    <w:rsid w:val="007D3ABD"/>
    <w:rsid w:val="007D48AE"/>
    <w:rsid w:val="007D4C4A"/>
    <w:rsid w:val="007D51F3"/>
    <w:rsid w:val="007D5983"/>
    <w:rsid w:val="007D69BE"/>
    <w:rsid w:val="007D79F5"/>
    <w:rsid w:val="007D7E2F"/>
    <w:rsid w:val="007E058C"/>
    <w:rsid w:val="007E3CCB"/>
    <w:rsid w:val="007E6B94"/>
    <w:rsid w:val="007F22B1"/>
    <w:rsid w:val="007F3B86"/>
    <w:rsid w:val="007F7EC9"/>
    <w:rsid w:val="00800789"/>
    <w:rsid w:val="00802BFC"/>
    <w:rsid w:val="00803975"/>
    <w:rsid w:val="0080444D"/>
    <w:rsid w:val="00804C3B"/>
    <w:rsid w:val="00804E87"/>
    <w:rsid w:val="00804F23"/>
    <w:rsid w:val="0080680A"/>
    <w:rsid w:val="00806B1D"/>
    <w:rsid w:val="0081015C"/>
    <w:rsid w:val="00813112"/>
    <w:rsid w:val="008137C4"/>
    <w:rsid w:val="00813DCF"/>
    <w:rsid w:val="0081424C"/>
    <w:rsid w:val="0081530C"/>
    <w:rsid w:val="00815E79"/>
    <w:rsid w:val="008163E1"/>
    <w:rsid w:val="00820D31"/>
    <w:rsid w:val="008215EA"/>
    <w:rsid w:val="00821D5F"/>
    <w:rsid w:val="00821E14"/>
    <w:rsid w:val="0082386A"/>
    <w:rsid w:val="00823E69"/>
    <w:rsid w:val="00824BEC"/>
    <w:rsid w:val="00825163"/>
    <w:rsid w:val="00825872"/>
    <w:rsid w:val="008258F8"/>
    <w:rsid w:val="0082614F"/>
    <w:rsid w:val="00826790"/>
    <w:rsid w:val="00826C38"/>
    <w:rsid w:val="00831755"/>
    <w:rsid w:val="008319ED"/>
    <w:rsid w:val="0083265E"/>
    <w:rsid w:val="0083302B"/>
    <w:rsid w:val="0083508F"/>
    <w:rsid w:val="00836B69"/>
    <w:rsid w:val="00836D8E"/>
    <w:rsid w:val="008379C7"/>
    <w:rsid w:val="0084150A"/>
    <w:rsid w:val="00843C76"/>
    <w:rsid w:val="008442E0"/>
    <w:rsid w:val="0084625D"/>
    <w:rsid w:val="00846465"/>
    <w:rsid w:val="0084782B"/>
    <w:rsid w:val="00851412"/>
    <w:rsid w:val="008525B8"/>
    <w:rsid w:val="00853070"/>
    <w:rsid w:val="0085385F"/>
    <w:rsid w:val="00855EF3"/>
    <w:rsid w:val="00857672"/>
    <w:rsid w:val="00857D27"/>
    <w:rsid w:val="00861856"/>
    <w:rsid w:val="008636DD"/>
    <w:rsid w:val="00864360"/>
    <w:rsid w:val="008650FA"/>
    <w:rsid w:val="008657C6"/>
    <w:rsid w:val="00866B97"/>
    <w:rsid w:val="00867551"/>
    <w:rsid w:val="00872C70"/>
    <w:rsid w:val="0087397D"/>
    <w:rsid w:val="0087458F"/>
    <w:rsid w:val="00875682"/>
    <w:rsid w:val="00876F3F"/>
    <w:rsid w:val="008811CC"/>
    <w:rsid w:val="0088280F"/>
    <w:rsid w:val="00882BA1"/>
    <w:rsid w:val="008842A5"/>
    <w:rsid w:val="008845B2"/>
    <w:rsid w:val="0088470A"/>
    <w:rsid w:val="00885B10"/>
    <w:rsid w:val="00887AC2"/>
    <w:rsid w:val="00887ED4"/>
    <w:rsid w:val="00892A38"/>
    <w:rsid w:val="00896B8D"/>
    <w:rsid w:val="008974B0"/>
    <w:rsid w:val="008977E0"/>
    <w:rsid w:val="008A0228"/>
    <w:rsid w:val="008A072B"/>
    <w:rsid w:val="008A1BB8"/>
    <w:rsid w:val="008A2A18"/>
    <w:rsid w:val="008A2A59"/>
    <w:rsid w:val="008A38C3"/>
    <w:rsid w:val="008A6D00"/>
    <w:rsid w:val="008A762C"/>
    <w:rsid w:val="008A79AD"/>
    <w:rsid w:val="008B0AF4"/>
    <w:rsid w:val="008B1629"/>
    <w:rsid w:val="008B26BF"/>
    <w:rsid w:val="008B35F4"/>
    <w:rsid w:val="008B45E1"/>
    <w:rsid w:val="008B4A64"/>
    <w:rsid w:val="008B6864"/>
    <w:rsid w:val="008C242D"/>
    <w:rsid w:val="008C24AA"/>
    <w:rsid w:val="008C2A29"/>
    <w:rsid w:val="008C34CF"/>
    <w:rsid w:val="008C370F"/>
    <w:rsid w:val="008C472C"/>
    <w:rsid w:val="008C50D7"/>
    <w:rsid w:val="008C51D7"/>
    <w:rsid w:val="008C64A3"/>
    <w:rsid w:val="008C6F75"/>
    <w:rsid w:val="008C7514"/>
    <w:rsid w:val="008C7BBB"/>
    <w:rsid w:val="008D019F"/>
    <w:rsid w:val="008D06F5"/>
    <w:rsid w:val="008D2927"/>
    <w:rsid w:val="008D366A"/>
    <w:rsid w:val="008D367B"/>
    <w:rsid w:val="008E45C8"/>
    <w:rsid w:val="008E4CC3"/>
    <w:rsid w:val="008E5520"/>
    <w:rsid w:val="008E5AEC"/>
    <w:rsid w:val="008E6A73"/>
    <w:rsid w:val="008E6CF7"/>
    <w:rsid w:val="008E79BA"/>
    <w:rsid w:val="008F0083"/>
    <w:rsid w:val="008F0A3A"/>
    <w:rsid w:val="008F1C9E"/>
    <w:rsid w:val="008F1DF2"/>
    <w:rsid w:val="008F1F2C"/>
    <w:rsid w:val="008F2DE6"/>
    <w:rsid w:val="008F31A4"/>
    <w:rsid w:val="008F5B0E"/>
    <w:rsid w:val="008F76A3"/>
    <w:rsid w:val="00900750"/>
    <w:rsid w:val="00902463"/>
    <w:rsid w:val="009037E5"/>
    <w:rsid w:val="00903CE6"/>
    <w:rsid w:val="0090486F"/>
    <w:rsid w:val="009070D2"/>
    <w:rsid w:val="009075DB"/>
    <w:rsid w:val="00907810"/>
    <w:rsid w:val="00907E1D"/>
    <w:rsid w:val="009102E8"/>
    <w:rsid w:val="00910B54"/>
    <w:rsid w:val="00913670"/>
    <w:rsid w:val="00914743"/>
    <w:rsid w:val="00915315"/>
    <w:rsid w:val="009163F5"/>
    <w:rsid w:val="00916BFC"/>
    <w:rsid w:val="009222CE"/>
    <w:rsid w:val="009239CE"/>
    <w:rsid w:val="00924432"/>
    <w:rsid w:val="009249FA"/>
    <w:rsid w:val="00924D9D"/>
    <w:rsid w:val="00930169"/>
    <w:rsid w:val="009327F1"/>
    <w:rsid w:val="0093342F"/>
    <w:rsid w:val="00935124"/>
    <w:rsid w:val="00936A17"/>
    <w:rsid w:val="0094061B"/>
    <w:rsid w:val="00941A4B"/>
    <w:rsid w:val="00942689"/>
    <w:rsid w:val="00942D0D"/>
    <w:rsid w:val="009454F7"/>
    <w:rsid w:val="0094589B"/>
    <w:rsid w:val="0094617F"/>
    <w:rsid w:val="00946A04"/>
    <w:rsid w:val="00946F45"/>
    <w:rsid w:val="00947C55"/>
    <w:rsid w:val="00954441"/>
    <w:rsid w:val="00954484"/>
    <w:rsid w:val="0095632C"/>
    <w:rsid w:val="00960327"/>
    <w:rsid w:val="009607D8"/>
    <w:rsid w:val="00961568"/>
    <w:rsid w:val="00961D20"/>
    <w:rsid w:val="0096203C"/>
    <w:rsid w:val="0096388D"/>
    <w:rsid w:val="00963CAB"/>
    <w:rsid w:val="0096497C"/>
    <w:rsid w:val="00965704"/>
    <w:rsid w:val="0096709D"/>
    <w:rsid w:val="009677AA"/>
    <w:rsid w:val="00972B14"/>
    <w:rsid w:val="00973365"/>
    <w:rsid w:val="0097462C"/>
    <w:rsid w:val="009746D7"/>
    <w:rsid w:val="00977806"/>
    <w:rsid w:val="00977A89"/>
    <w:rsid w:val="00977CC5"/>
    <w:rsid w:val="00980C26"/>
    <w:rsid w:val="009837EF"/>
    <w:rsid w:val="00985FBD"/>
    <w:rsid w:val="00986508"/>
    <w:rsid w:val="00986568"/>
    <w:rsid w:val="009904C1"/>
    <w:rsid w:val="009907B2"/>
    <w:rsid w:val="00991467"/>
    <w:rsid w:val="0099272C"/>
    <w:rsid w:val="00992E98"/>
    <w:rsid w:val="00992F0C"/>
    <w:rsid w:val="0099349D"/>
    <w:rsid w:val="00993A86"/>
    <w:rsid w:val="00993BC2"/>
    <w:rsid w:val="0099449A"/>
    <w:rsid w:val="009A006B"/>
    <w:rsid w:val="009A198F"/>
    <w:rsid w:val="009A2F28"/>
    <w:rsid w:val="009A3A44"/>
    <w:rsid w:val="009A3AB3"/>
    <w:rsid w:val="009A3D41"/>
    <w:rsid w:val="009B0DD4"/>
    <w:rsid w:val="009B1A9E"/>
    <w:rsid w:val="009B399B"/>
    <w:rsid w:val="009B4581"/>
    <w:rsid w:val="009B697E"/>
    <w:rsid w:val="009B7792"/>
    <w:rsid w:val="009B7BBA"/>
    <w:rsid w:val="009C04A9"/>
    <w:rsid w:val="009C2E10"/>
    <w:rsid w:val="009C38EC"/>
    <w:rsid w:val="009C3BB4"/>
    <w:rsid w:val="009C4A6A"/>
    <w:rsid w:val="009C5DE2"/>
    <w:rsid w:val="009D0280"/>
    <w:rsid w:val="009D1841"/>
    <w:rsid w:val="009D1BC8"/>
    <w:rsid w:val="009D1CCC"/>
    <w:rsid w:val="009D2B8D"/>
    <w:rsid w:val="009D31C8"/>
    <w:rsid w:val="009D3249"/>
    <w:rsid w:val="009E1736"/>
    <w:rsid w:val="009E2122"/>
    <w:rsid w:val="009E22CC"/>
    <w:rsid w:val="009E22F9"/>
    <w:rsid w:val="009E3647"/>
    <w:rsid w:val="009E3D03"/>
    <w:rsid w:val="009E40CB"/>
    <w:rsid w:val="009E4741"/>
    <w:rsid w:val="009E52F3"/>
    <w:rsid w:val="009E7C74"/>
    <w:rsid w:val="009F0D9C"/>
    <w:rsid w:val="009F318C"/>
    <w:rsid w:val="009F355A"/>
    <w:rsid w:val="009F40EB"/>
    <w:rsid w:val="009F4209"/>
    <w:rsid w:val="00A01ED7"/>
    <w:rsid w:val="00A02063"/>
    <w:rsid w:val="00A0490A"/>
    <w:rsid w:val="00A05CA1"/>
    <w:rsid w:val="00A0662C"/>
    <w:rsid w:val="00A1297F"/>
    <w:rsid w:val="00A13203"/>
    <w:rsid w:val="00A143A7"/>
    <w:rsid w:val="00A1457D"/>
    <w:rsid w:val="00A15287"/>
    <w:rsid w:val="00A15ACE"/>
    <w:rsid w:val="00A20A9C"/>
    <w:rsid w:val="00A20F82"/>
    <w:rsid w:val="00A219E1"/>
    <w:rsid w:val="00A257E4"/>
    <w:rsid w:val="00A27209"/>
    <w:rsid w:val="00A3123A"/>
    <w:rsid w:val="00A3139E"/>
    <w:rsid w:val="00A31E8C"/>
    <w:rsid w:val="00A32015"/>
    <w:rsid w:val="00A320F8"/>
    <w:rsid w:val="00A322EB"/>
    <w:rsid w:val="00A336ED"/>
    <w:rsid w:val="00A348FB"/>
    <w:rsid w:val="00A35408"/>
    <w:rsid w:val="00A35941"/>
    <w:rsid w:val="00A371F8"/>
    <w:rsid w:val="00A3757B"/>
    <w:rsid w:val="00A3774E"/>
    <w:rsid w:val="00A400F8"/>
    <w:rsid w:val="00A41213"/>
    <w:rsid w:val="00A4201E"/>
    <w:rsid w:val="00A43499"/>
    <w:rsid w:val="00A4380B"/>
    <w:rsid w:val="00A4529C"/>
    <w:rsid w:val="00A452EF"/>
    <w:rsid w:val="00A45D38"/>
    <w:rsid w:val="00A47106"/>
    <w:rsid w:val="00A506BB"/>
    <w:rsid w:val="00A51754"/>
    <w:rsid w:val="00A53F4E"/>
    <w:rsid w:val="00A548CD"/>
    <w:rsid w:val="00A55A11"/>
    <w:rsid w:val="00A570A1"/>
    <w:rsid w:val="00A57F37"/>
    <w:rsid w:val="00A6031C"/>
    <w:rsid w:val="00A60689"/>
    <w:rsid w:val="00A60A61"/>
    <w:rsid w:val="00A6211D"/>
    <w:rsid w:val="00A62F11"/>
    <w:rsid w:val="00A64878"/>
    <w:rsid w:val="00A6738E"/>
    <w:rsid w:val="00A67A30"/>
    <w:rsid w:val="00A71228"/>
    <w:rsid w:val="00A725B6"/>
    <w:rsid w:val="00A7462F"/>
    <w:rsid w:val="00A747B9"/>
    <w:rsid w:val="00A757B2"/>
    <w:rsid w:val="00A80A4E"/>
    <w:rsid w:val="00A81D73"/>
    <w:rsid w:val="00A82B14"/>
    <w:rsid w:val="00A83624"/>
    <w:rsid w:val="00A848E5"/>
    <w:rsid w:val="00A8566A"/>
    <w:rsid w:val="00A87138"/>
    <w:rsid w:val="00A87860"/>
    <w:rsid w:val="00A91B7A"/>
    <w:rsid w:val="00A91F85"/>
    <w:rsid w:val="00A940DB"/>
    <w:rsid w:val="00A97997"/>
    <w:rsid w:val="00AA13E3"/>
    <w:rsid w:val="00AA2A8B"/>
    <w:rsid w:val="00AA7BAD"/>
    <w:rsid w:val="00AA7C76"/>
    <w:rsid w:val="00AB0422"/>
    <w:rsid w:val="00AB1066"/>
    <w:rsid w:val="00AB421C"/>
    <w:rsid w:val="00AB49D9"/>
    <w:rsid w:val="00AB512D"/>
    <w:rsid w:val="00AB5237"/>
    <w:rsid w:val="00AB616A"/>
    <w:rsid w:val="00AC2E22"/>
    <w:rsid w:val="00AC3D93"/>
    <w:rsid w:val="00AC50F8"/>
    <w:rsid w:val="00AD0810"/>
    <w:rsid w:val="00AD2875"/>
    <w:rsid w:val="00AD5404"/>
    <w:rsid w:val="00AD6A5F"/>
    <w:rsid w:val="00AD6B2A"/>
    <w:rsid w:val="00AD75CF"/>
    <w:rsid w:val="00AD75F9"/>
    <w:rsid w:val="00AE0E87"/>
    <w:rsid w:val="00AE102C"/>
    <w:rsid w:val="00AE29FF"/>
    <w:rsid w:val="00AE48FB"/>
    <w:rsid w:val="00AE5337"/>
    <w:rsid w:val="00AE5F8A"/>
    <w:rsid w:val="00AF0685"/>
    <w:rsid w:val="00AF0C04"/>
    <w:rsid w:val="00AF1DEA"/>
    <w:rsid w:val="00AF37C9"/>
    <w:rsid w:val="00AF39AE"/>
    <w:rsid w:val="00AF3A71"/>
    <w:rsid w:val="00AF478C"/>
    <w:rsid w:val="00AF513B"/>
    <w:rsid w:val="00AF627D"/>
    <w:rsid w:val="00AF6981"/>
    <w:rsid w:val="00AF768D"/>
    <w:rsid w:val="00B0077E"/>
    <w:rsid w:val="00B010B0"/>
    <w:rsid w:val="00B01FA1"/>
    <w:rsid w:val="00B03263"/>
    <w:rsid w:val="00B0757D"/>
    <w:rsid w:val="00B07BEF"/>
    <w:rsid w:val="00B119D2"/>
    <w:rsid w:val="00B13B9C"/>
    <w:rsid w:val="00B14459"/>
    <w:rsid w:val="00B1647A"/>
    <w:rsid w:val="00B173ED"/>
    <w:rsid w:val="00B1775F"/>
    <w:rsid w:val="00B225AF"/>
    <w:rsid w:val="00B228DC"/>
    <w:rsid w:val="00B230DA"/>
    <w:rsid w:val="00B2536E"/>
    <w:rsid w:val="00B25D10"/>
    <w:rsid w:val="00B26478"/>
    <w:rsid w:val="00B26C6E"/>
    <w:rsid w:val="00B26D8F"/>
    <w:rsid w:val="00B30072"/>
    <w:rsid w:val="00B306A7"/>
    <w:rsid w:val="00B30BAE"/>
    <w:rsid w:val="00B31777"/>
    <w:rsid w:val="00B318A9"/>
    <w:rsid w:val="00B3266E"/>
    <w:rsid w:val="00B326BB"/>
    <w:rsid w:val="00B32BD9"/>
    <w:rsid w:val="00B332B9"/>
    <w:rsid w:val="00B33F24"/>
    <w:rsid w:val="00B34D55"/>
    <w:rsid w:val="00B3500F"/>
    <w:rsid w:val="00B353C1"/>
    <w:rsid w:val="00B375BC"/>
    <w:rsid w:val="00B414D7"/>
    <w:rsid w:val="00B41781"/>
    <w:rsid w:val="00B41888"/>
    <w:rsid w:val="00B4389D"/>
    <w:rsid w:val="00B44C93"/>
    <w:rsid w:val="00B44DA2"/>
    <w:rsid w:val="00B479F3"/>
    <w:rsid w:val="00B514C9"/>
    <w:rsid w:val="00B5396E"/>
    <w:rsid w:val="00B5490D"/>
    <w:rsid w:val="00B54E02"/>
    <w:rsid w:val="00B54EDD"/>
    <w:rsid w:val="00B56CB4"/>
    <w:rsid w:val="00B56F74"/>
    <w:rsid w:val="00B5707F"/>
    <w:rsid w:val="00B57EA2"/>
    <w:rsid w:val="00B602DA"/>
    <w:rsid w:val="00B618D2"/>
    <w:rsid w:val="00B62E61"/>
    <w:rsid w:val="00B64635"/>
    <w:rsid w:val="00B64EA7"/>
    <w:rsid w:val="00B677ED"/>
    <w:rsid w:val="00B70008"/>
    <w:rsid w:val="00B73090"/>
    <w:rsid w:val="00B74398"/>
    <w:rsid w:val="00B7534A"/>
    <w:rsid w:val="00B77024"/>
    <w:rsid w:val="00B77121"/>
    <w:rsid w:val="00B775F9"/>
    <w:rsid w:val="00B80CAE"/>
    <w:rsid w:val="00B839D5"/>
    <w:rsid w:val="00B83E60"/>
    <w:rsid w:val="00B85843"/>
    <w:rsid w:val="00B86FBE"/>
    <w:rsid w:val="00B87FB8"/>
    <w:rsid w:val="00B90165"/>
    <w:rsid w:val="00B91A8B"/>
    <w:rsid w:val="00B91FEB"/>
    <w:rsid w:val="00B923D3"/>
    <w:rsid w:val="00B925AA"/>
    <w:rsid w:val="00B9479B"/>
    <w:rsid w:val="00B95FA0"/>
    <w:rsid w:val="00BA047C"/>
    <w:rsid w:val="00BA09AF"/>
    <w:rsid w:val="00BA0F20"/>
    <w:rsid w:val="00BA3613"/>
    <w:rsid w:val="00BA3987"/>
    <w:rsid w:val="00BA708E"/>
    <w:rsid w:val="00BA72BF"/>
    <w:rsid w:val="00BB01DC"/>
    <w:rsid w:val="00BB0260"/>
    <w:rsid w:val="00BB0A31"/>
    <w:rsid w:val="00BB0E7A"/>
    <w:rsid w:val="00BB2CB4"/>
    <w:rsid w:val="00BB375B"/>
    <w:rsid w:val="00BB520B"/>
    <w:rsid w:val="00BB5D0B"/>
    <w:rsid w:val="00BB5F79"/>
    <w:rsid w:val="00BB722C"/>
    <w:rsid w:val="00BC1891"/>
    <w:rsid w:val="00BC20EE"/>
    <w:rsid w:val="00BC2A1E"/>
    <w:rsid w:val="00BC571C"/>
    <w:rsid w:val="00BC62DD"/>
    <w:rsid w:val="00BC783D"/>
    <w:rsid w:val="00BC7DEB"/>
    <w:rsid w:val="00BC7E15"/>
    <w:rsid w:val="00BC7F1E"/>
    <w:rsid w:val="00BD0311"/>
    <w:rsid w:val="00BD05ED"/>
    <w:rsid w:val="00BD0C12"/>
    <w:rsid w:val="00BD105E"/>
    <w:rsid w:val="00BD3F08"/>
    <w:rsid w:val="00BD7414"/>
    <w:rsid w:val="00BE293A"/>
    <w:rsid w:val="00BE29A9"/>
    <w:rsid w:val="00BE426C"/>
    <w:rsid w:val="00BE5F06"/>
    <w:rsid w:val="00BE7654"/>
    <w:rsid w:val="00BF07CA"/>
    <w:rsid w:val="00BF31B4"/>
    <w:rsid w:val="00BF6158"/>
    <w:rsid w:val="00C03854"/>
    <w:rsid w:val="00C05B7F"/>
    <w:rsid w:val="00C063C4"/>
    <w:rsid w:val="00C06AA3"/>
    <w:rsid w:val="00C07515"/>
    <w:rsid w:val="00C11140"/>
    <w:rsid w:val="00C11216"/>
    <w:rsid w:val="00C15BAE"/>
    <w:rsid w:val="00C21F4E"/>
    <w:rsid w:val="00C24B91"/>
    <w:rsid w:val="00C259C5"/>
    <w:rsid w:val="00C277EE"/>
    <w:rsid w:val="00C27E15"/>
    <w:rsid w:val="00C30E49"/>
    <w:rsid w:val="00C326C3"/>
    <w:rsid w:val="00C33A2B"/>
    <w:rsid w:val="00C33DC4"/>
    <w:rsid w:val="00C34C75"/>
    <w:rsid w:val="00C35FF7"/>
    <w:rsid w:val="00C36B7B"/>
    <w:rsid w:val="00C37829"/>
    <w:rsid w:val="00C40101"/>
    <w:rsid w:val="00C41FFF"/>
    <w:rsid w:val="00C42C09"/>
    <w:rsid w:val="00C435BD"/>
    <w:rsid w:val="00C435EB"/>
    <w:rsid w:val="00C4383F"/>
    <w:rsid w:val="00C440B9"/>
    <w:rsid w:val="00C4452D"/>
    <w:rsid w:val="00C44C9C"/>
    <w:rsid w:val="00C461A9"/>
    <w:rsid w:val="00C46A34"/>
    <w:rsid w:val="00C503CF"/>
    <w:rsid w:val="00C518EA"/>
    <w:rsid w:val="00C535B8"/>
    <w:rsid w:val="00C53644"/>
    <w:rsid w:val="00C54816"/>
    <w:rsid w:val="00C55743"/>
    <w:rsid w:val="00C572AC"/>
    <w:rsid w:val="00C61A5A"/>
    <w:rsid w:val="00C61FBD"/>
    <w:rsid w:val="00C62EC6"/>
    <w:rsid w:val="00C65C01"/>
    <w:rsid w:val="00C6696B"/>
    <w:rsid w:val="00C66B6B"/>
    <w:rsid w:val="00C66D40"/>
    <w:rsid w:val="00C67066"/>
    <w:rsid w:val="00C720B4"/>
    <w:rsid w:val="00C75E29"/>
    <w:rsid w:val="00C7650B"/>
    <w:rsid w:val="00C76CC2"/>
    <w:rsid w:val="00C77585"/>
    <w:rsid w:val="00C77BCE"/>
    <w:rsid w:val="00C8054E"/>
    <w:rsid w:val="00C83DEF"/>
    <w:rsid w:val="00C84D1E"/>
    <w:rsid w:val="00C85D7E"/>
    <w:rsid w:val="00C85F1A"/>
    <w:rsid w:val="00C91DCD"/>
    <w:rsid w:val="00C927B2"/>
    <w:rsid w:val="00C9524D"/>
    <w:rsid w:val="00C95B6F"/>
    <w:rsid w:val="00C968DB"/>
    <w:rsid w:val="00C9796D"/>
    <w:rsid w:val="00CA0F5D"/>
    <w:rsid w:val="00CA236F"/>
    <w:rsid w:val="00CA2AA0"/>
    <w:rsid w:val="00CA3FD3"/>
    <w:rsid w:val="00CA45B4"/>
    <w:rsid w:val="00CA614D"/>
    <w:rsid w:val="00CA70F7"/>
    <w:rsid w:val="00CA7C9F"/>
    <w:rsid w:val="00CB0ED1"/>
    <w:rsid w:val="00CB1836"/>
    <w:rsid w:val="00CB1D1A"/>
    <w:rsid w:val="00CB3570"/>
    <w:rsid w:val="00CB41EA"/>
    <w:rsid w:val="00CB4539"/>
    <w:rsid w:val="00CB4A24"/>
    <w:rsid w:val="00CB5357"/>
    <w:rsid w:val="00CC0CCE"/>
    <w:rsid w:val="00CC1FA3"/>
    <w:rsid w:val="00CC2317"/>
    <w:rsid w:val="00CC4D5F"/>
    <w:rsid w:val="00CC5EA0"/>
    <w:rsid w:val="00CC6D1B"/>
    <w:rsid w:val="00CC7BB3"/>
    <w:rsid w:val="00CD0C24"/>
    <w:rsid w:val="00CD14BE"/>
    <w:rsid w:val="00CD2BF9"/>
    <w:rsid w:val="00CD2CA9"/>
    <w:rsid w:val="00CD536E"/>
    <w:rsid w:val="00CD6C87"/>
    <w:rsid w:val="00CD7545"/>
    <w:rsid w:val="00CE0FE2"/>
    <w:rsid w:val="00CE10F2"/>
    <w:rsid w:val="00CE32A5"/>
    <w:rsid w:val="00CE37E7"/>
    <w:rsid w:val="00CE50F9"/>
    <w:rsid w:val="00CE5448"/>
    <w:rsid w:val="00CE5C1E"/>
    <w:rsid w:val="00CE6368"/>
    <w:rsid w:val="00CE6FFA"/>
    <w:rsid w:val="00CF10BE"/>
    <w:rsid w:val="00CF347D"/>
    <w:rsid w:val="00CF44C9"/>
    <w:rsid w:val="00CF4E63"/>
    <w:rsid w:val="00D00795"/>
    <w:rsid w:val="00D012E6"/>
    <w:rsid w:val="00D01AA0"/>
    <w:rsid w:val="00D0205A"/>
    <w:rsid w:val="00D02506"/>
    <w:rsid w:val="00D036CE"/>
    <w:rsid w:val="00D045C1"/>
    <w:rsid w:val="00D0602C"/>
    <w:rsid w:val="00D129DB"/>
    <w:rsid w:val="00D14B9C"/>
    <w:rsid w:val="00D15340"/>
    <w:rsid w:val="00D15D68"/>
    <w:rsid w:val="00D20980"/>
    <w:rsid w:val="00D21DC7"/>
    <w:rsid w:val="00D21FB8"/>
    <w:rsid w:val="00D2521D"/>
    <w:rsid w:val="00D3157A"/>
    <w:rsid w:val="00D32E5A"/>
    <w:rsid w:val="00D339B7"/>
    <w:rsid w:val="00D376E0"/>
    <w:rsid w:val="00D37A2C"/>
    <w:rsid w:val="00D37A4A"/>
    <w:rsid w:val="00D408F6"/>
    <w:rsid w:val="00D42EE1"/>
    <w:rsid w:val="00D4416E"/>
    <w:rsid w:val="00D448FF"/>
    <w:rsid w:val="00D44F66"/>
    <w:rsid w:val="00D44F8F"/>
    <w:rsid w:val="00D53141"/>
    <w:rsid w:val="00D54A3F"/>
    <w:rsid w:val="00D55731"/>
    <w:rsid w:val="00D5672F"/>
    <w:rsid w:val="00D5794F"/>
    <w:rsid w:val="00D57EAF"/>
    <w:rsid w:val="00D6014D"/>
    <w:rsid w:val="00D604A2"/>
    <w:rsid w:val="00D619F9"/>
    <w:rsid w:val="00D61FB4"/>
    <w:rsid w:val="00D62254"/>
    <w:rsid w:val="00D63ECF"/>
    <w:rsid w:val="00D65076"/>
    <w:rsid w:val="00D658A5"/>
    <w:rsid w:val="00D6684A"/>
    <w:rsid w:val="00D73523"/>
    <w:rsid w:val="00D74302"/>
    <w:rsid w:val="00D75424"/>
    <w:rsid w:val="00D770B1"/>
    <w:rsid w:val="00D863DF"/>
    <w:rsid w:val="00D86700"/>
    <w:rsid w:val="00D86E2A"/>
    <w:rsid w:val="00D87393"/>
    <w:rsid w:val="00D90248"/>
    <w:rsid w:val="00D90473"/>
    <w:rsid w:val="00D91D04"/>
    <w:rsid w:val="00D93933"/>
    <w:rsid w:val="00D95142"/>
    <w:rsid w:val="00D9517B"/>
    <w:rsid w:val="00D95B77"/>
    <w:rsid w:val="00D9689F"/>
    <w:rsid w:val="00DA1194"/>
    <w:rsid w:val="00DA6A12"/>
    <w:rsid w:val="00DB179E"/>
    <w:rsid w:val="00DB30AC"/>
    <w:rsid w:val="00DB3669"/>
    <w:rsid w:val="00DB750E"/>
    <w:rsid w:val="00DC0326"/>
    <w:rsid w:val="00DC1E5F"/>
    <w:rsid w:val="00DC4D43"/>
    <w:rsid w:val="00DC5E5F"/>
    <w:rsid w:val="00DC6327"/>
    <w:rsid w:val="00DC69FB"/>
    <w:rsid w:val="00DC7B5F"/>
    <w:rsid w:val="00DD1617"/>
    <w:rsid w:val="00DD3293"/>
    <w:rsid w:val="00DD51CD"/>
    <w:rsid w:val="00DD63C6"/>
    <w:rsid w:val="00DD6783"/>
    <w:rsid w:val="00DD707C"/>
    <w:rsid w:val="00DE1426"/>
    <w:rsid w:val="00DE2F7B"/>
    <w:rsid w:val="00DE30ED"/>
    <w:rsid w:val="00DE3A18"/>
    <w:rsid w:val="00DE3D72"/>
    <w:rsid w:val="00DE4DAD"/>
    <w:rsid w:val="00DE50CC"/>
    <w:rsid w:val="00DE6459"/>
    <w:rsid w:val="00DE7427"/>
    <w:rsid w:val="00DF00EC"/>
    <w:rsid w:val="00DF047C"/>
    <w:rsid w:val="00DF0F6A"/>
    <w:rsid w:val="00DF21ED"/>
    <w:rsid w:val="00DF25A8"/>
    <w:rsid w:val="00DF2FE1"/>
    <w:rsid w:val="00DF32A0"/>
    <w:rsid w:val="00DF32A8"/>
    <w:rsid w:val="00DF3AF9"/>
    <w:rsid w:val="00DF4D1E"/>
    <w:rsid w:val="00DF559E"/>
    <w:rsid w:val="00DF5E26"/>
    <w:rsid w:val="00DF6339"/>
    <w:rsid w:val="00DF6582"/>
    <w:rsid w:val="00DF691D"/>
    <w:rsid w:val="00DF6A65"/>
    <w:rsid w:val="00DF782F"/>
    <w:rsid w:val="00E00861"/>
    <w:rsid w:val="00E01328"/>
    <w:rsid w:val="00E01587"/>
    <w:rsid w:val="00E01C55"/>
    <w:rsid w:val="00E036C9"/>
    <w:rsid w:val="00E04E77"/>
    <w:rsid w:val="00E04F58"/>
    <w:rsid w:val="00E0547B"/>
    <w:rsid w:val="00E1166B"/>
    <w:rsid w:val="00E11F8E"/>
    <w:rsid w:val="00E13CB9"/>
    <w:rsid w:val="00E14228"/>
    <w:rsid w:val="00E151CE"/>
    <w:rsid w:val="00E15DC0"/>
    <w:rsid w:val="00E172FA"/>
    <w:rsid w:val="00E22EAD"/>
    <w:rsid w:val="00E23A2A"/>
    <w:rsid w:val="00E23CFB"/>
    <w:rsid w:val="00E24E1E"/>
    <w:rsid w:val="00E262BE"/>
    <w:rsid w:val="00E26334"/>
    <w:rsid w:val="00E268E3"/>
    <w:rsid w:val="00E27D65"/>
    <w:rsid w:val="00E27E30"/>
    <w:rsid w:val="00E332AD"/>
    <w:rsid w:val="00E34FB7"/>
    <w:rsid w:val="00E354AF"/>
    <w:rsid w:val="00E4044D"/>
    <w:rsid w:val="00E4183E"/>
    <w:rsid w:val="00E41E18"/>
    <w:rsid w:val="00E43246"/>
    <w:rsid w:val="00E45809"/>
    <w:rsid w:val="00E47912"/>
    <w:rsid w:val="00E51C98"/>
    <w:rsid w:val="00E51D17"/>
    <w:rsid w:val="00E5271E"/>
    <w:rsid w:val="00E529B8"/>
    <w:rsid w:val="00E542E5"/>
    <w:rsid w:val="00E54D18"/>
    <w:rsid w:val="00E56E23"/>
    <w:rsid w:val="00E6041D"/>
    <w:rsid w:val="00E62983"/>
    <w:rsid w:val="00E66499"/>
    <w:rsid w:val="00E675EC"/>
    <w:rsid w:val="00E703BA"/>
    <w:rsid w:val="00E7544B"/>
    <w:rsid w:val="00E75C6D"/>
    <w:rsid w:val="00E763AA"/>
    <w:rsid w:val="00E77F56"/>
    <w:rsid w:val="00E8224A"/>
    <w:rsid w:val="00E83482"/>
    <w:rsid w:val="00E845AF"/>
    <w:rsid w:val="00E846F7"/>
    <w:rsid w:val="00E86240"/>
    <w:rsid w:val="00E86DE0"/>
    <w:rsid w:val="00E87C0B"/>
    <w:rsid w:val="00E901A5"/>
    <w:rsid w:val="00E90A99"/>
    <w:rsid w:val="00E90C40"/>
    <w:rsid w:val="00E91A3F"/>
    <w:rsid w:val="00E923D3"/>
    <w:rsid w:val="00E93125"/>
    <w:rsid w:val="00E931CD"/>
    <w:rsid w:val="00E93A0F"/>
    <w:rsid w:val="00E948A4"/>
    <w:rsid w:val="00E95FE9"/>
    <w:rsid w:val="00E968D0"/>
    <w:rsid w:val="00EA059B"/>
    <w:rsid w:val="00EA0881"/>
    <w:rsid w:val="00EA0EDB"/>
    <w:rsid w:val="00EA1402"/>
    <w:rsid w:val="00EA3809"/>
    <w:rsid w:val="00EA65F2"/>
    <w:rsid w:val="00EB1AB3"/>
    <w:rsid w:val="00EB3D10"/>
    <w:rsid w:val="00EB6864"/>
    <w:rsid w:val="00EB700A"/>
    <w:rsid w:val="00EC011F"/>
    <w:rsid w:val="00EC0522"/>
    <w:rsid w:val="00EC187E"/>
    <w:rsid w:val="00EC1F48"/>
    <w:rsid w:val="00EC4DA1"/>
    <w:rsid w:val="00EC527B"/>
    <w:rsid w:val="00EC5830"/>
    <w:rsid w:val="00EC5D12"/>
    <w:rsid w:val="00EC6601"/>
    <w:rsid w:val="00EC7DC3"/>
    <w:rsid w:val="00ED031D"/>
    <w:rsid w:val="00ED031E"/>
    <w:rsid w:val="00ED3358"/>
    <w:rsid w:val="00ED351B"/>
    <w:rsid w:val="00ED5DCB"/>
    <w:rsid w:val="00ED68FC"/>
    <w:rsid w:val="00EE1093"/>
    <w:rsid w:val="00EE14F6"/>
    <w:rsid w:val="00EE24C7"/>
    <w:rsid w:val="00EE606D"/>
    <w:rsid w:val="00EE61C7"/>
    <w:rsid w:val="00EE62A1"/>
    <w:rsid w:val="00EF089B"/>
    <w:rsid w:val="00EF299B"/>
    <w:rsid w:val="00EF4629"/>
    <w:rsid w:val="00EF7394"/>
    <w:rsid w:val="00EF7577"/>
    <w:rsid w:val="00F01067"/>
    <w:rsid w:val="00F02DBC"/>
    <w:rsid w:val="00F039FD"/>
    <w:rsid w:val="00F03C80"/>
    <w:rsid w:val="00F0485C"/>
    <w:rsid w:val="00F108E7"/>
    <w:rsid w:val="00F11EED"/>
    <w:rsid w:val="00F1221F"/>
    <w:rsid w:val="00F133CD"/>
    <w:rsid w:val="00F1420A"/>
    <w:rsid w:val="00F2112D"/>
    <w:rsid w:val="00F24D09"/>
    <w:rsid w:val="00F25941"/>
    <w:rsid w:val="00F26079"/>
    <w:rsid w:val="00F261FD"/>
    <w:rsid w:val="00F26D7C"/>
    <w:rsid w:val="00F27A4D"/>
    <w:rsid w:val="00F30A9E"/>
    <w:rsid w:val="00F30B3E"/>
    <w:rsid w:val="00F30F69"/>
    <w:rsid w:val="00F32B59"/>
    <w:rsid w:val="00F32D9D"/>
    <w:rsid w:val="00F351B8"/>
    <w:rsid w:val="00F37D18"/>
    <w:rsid w:val="00F37E4E"/>
    <w:rsid w:val="00F410E2"/>
    <w:rsid w:val="00F41436"/>
    <w:rsid w:val="00F41C70"/>
    <w:rsid w:val="00F41CAA"/>
    <w:rsid w:val="00F4248E"/>
    <w:rsid w:val="00F42637"/>
    <w:rsid w:val="00F432E5"/>
    <w:rsid w:val="00F437A6"/>
    <w:rsid w:val="00F43E7A"/>
    <w:rsid w:val="00F4537E"/>
    <w:rsid w:val="00F45869"/>
    <w:rsid w:val="00F46550"/>
    <w:rsid w:val="00F50232"/>
    <w:rsid w:val="00F53294"/>
    <w:rsid w:val="00F5339D"/>
    <w:rsid w:val="00F55A6D"/>
    <w:rsid w:val="00F565F2"/>
    <w:rsid w:val="00F56D44"/>
    <w:rsid w:val="00F56F05"/>
    <w:rsid w:val="00F5771D"/>
    <w:rsid w:val="00F6019F"/>
    <w:rsid w:val="00F61A7D"/>
    <w:rsid w:val="00F62086"/>
    <w:rsid w:val="00F63746"/>
    <w:rsid w:val="00F63B0B"/>
    <w:rsid w:val="00F6577A"/>
    <w:rsid w:val="00F6641A"/>
    <w:rsid w:val="00F6650C"/>
    <w:rsid w:val="00F67EB7"/>
    <w:rsid w:val="00F70508"/>
    <w:rsid w:val="00F71BD0"/>
    <w:rsid w:val="00F71D1E"/>
    <w:rsid w:val="00F72AD5"/>
    <w:rsid w:val="00F72ECC"/>
    <w:rsid w:val="00F73C71"/>
    <w:rsid w:val="00F74C36"/>
    <w:rsid w:val="00F7534D"/>
    <w:rsid w:val="00F7609A"/>
    <w:rsid w:val="00F804F2"/>
    <w:rsid w:val="00F80694"/>
    <w:rsid w:val="00F80D56"/>
    <w:rsid w:val="00F80D6C"/>
    <w:rsid w:val="00F80F3E"/>
    <w:rsid w:val="00F82891"/>
    <w:rsid w:val="00F83B93"/>
    <w:rsid w:val="00F83DC5"/>
    <w:rsid w:val="00F83E0E"/>
    <w:rsid w:val="00F8453B"/>
    <w:rsid w:val="00F84606"/>
    <w:rsid w:val="00F84665"/>
    <w:rsid w:val="00F90026"/>
    <w:rsid w:val="00F906FA"/>
    <w:rsid w:val="00F92B57"/>
    <w:rsid w:val="00F93BFA"/>
    <w:rsid w:val="00F93FBC"/>
    <w:rsid w:val="00F94DD9"/>
    <w:rsid w:val="00F96842"/>
    <w:rsid w:val="00F97A3B"/>
    <w:rsid w:val="00F97DE1"/>
    <w:rsid w:val="00F97EE5"/>
    <w:rsid w:val="00FA0DF7"/>
    <w:rsid w:val="00FA1852"/>
    <w:rsid w:val="00FA3357"/>
    <w:rsid w:val="00FA4136"/>
    <w:rsid w:val="00FA54AF"/>
    <w:rsid w:val="00FA5CDB"/>
    <w:rsid w:val="00FB05CF"/>
    <w:rsid w:val="00FB289A"/>
    <w:rsid w:val="00FB30CE"/>
    <w:rsid w:val="00FB3589"/>
    <w:rsid w:val="00FB3BF0"/>
    <w:rsid w:val="00FC0395"/>
    <w:rsid w:val="00FC27B1"/>
    <w:rsid w:val="00FC58DE"/>
    <w:rsid w:val="00FC5F07"/>
    <w:rsid w:val="00FC70AE"/>
    <w:rsid w:val="00FD0835"/>
    <w:rsid w:val="00FD0E02"/>
    <w:rsid w:val="00FD1007"/>
    <w:rsid w:val="00FD4461"/>
    <w:rsid w:val="00FD4C10"/>
    <w:rsid w:val="00FE047D"/>
    <w:rsid w:val="00FE0DD6"/>
    <w:rsid w:val="00FE1635"/>
    <w:rsid w:val="00FE30CD"/>
    <w:rsid w:val="00FE33DA"/>
    <w:rsid w:val="00FE3F55"/>
    <w:rsid w:val="00FE3FFF"/>
    <w:rsid w:val="00FE4AB9"/>
    <w:rsid w:val="00FE4BA2"/>
    <w:rsid w:val="00FE4F44"/>
    <w:rsid w:val="00FE527A"/>
    <w:rsid w:val="00FE7A29"/>
    <w:rsid w:val="00FF211C"/>
    <w:rsid w:val="00FF21ED"/>
    <w:rsid w:val="00FF3181"/>
    <w:rsid w:val="00FF3726"/>
    <w:rsid w:val="00FF5609"/>
    <w:rsid w:val="00FF56F6"/>
    <w:rsid w:val="00FF740E"/>
    <w:rsid w:val="42F5CE43"/>
    <w:rsid w:val="69C11E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78C"/>
    <w:pPr>
      <w:autoSpaceDE w:val="0"/>
      <w:autoSpaceDN w:val="0"/>
      <w:adjustRightInd w:val="0"/>
    </w:pPr>
    <w:rPr>
      <w:rFonts w:ascii="Arial" w:hAnsi="Arial" w:cs="Arial"/>
      <w:lang w:val="en-US"/>
    </w:rPr>
  </w:style>
  <w:style w:type="paragraph" w:styleId="Heading1">
    <w:name w:val="heading 1"/>
    <w:basedOn w:val="HeadingBase"/>
    <w:next w:val="Normal"/>
    <w:link w:val="Heading1Char"/>
    <w:qFormat/>
    <w:rsid w:val="00AF39AE"/>
    <w:pPr>
      <w:spacing w:after="240"/>
      <w:outlineLvl w:val="0"/>
    </w:pPr>
    <w:rPr>
      <w:b/>
      <w:kern w:val="28"/>
      <w:sz w:val="36"/>
    </w:rPr>
  </w:style>
  <w:style w:type="paragraph" w:styleId="Heading2">
    <w:name w:val="heading 2"/>
    <w:basedOn w:val="HeadingBase"/>
    <w:next w:val="Normal"/>
    <w:link w:val="Heading2Char"/>
    <w:qFormat/>
    <w:rsid w:val="00BA0F20"/>
    <w:pPr>
      <w:keepNext/>
      <w:spacing w:before="240" w:after="240"/>
      <w:outlineLvl w:val="1"/>
    </w:pPr>
    <w:rPr>
      <w:b/>
      <w:color w:val="000000"/>
      <w:sz w:val="26"/>
    </w:rPr>
  </w:style>
  <w:style w:type="paragraph" w:styleId="Heading3">
    <w:name w:val="heading 3"/>
    <w:basedOn w:val="HeadingBase"/>
    <w:next w:val="Normal"/>
    <w:link w:val="Heading3Char"/>
    <w:qFormat/>
    <w:rsid w:val="00BA0F20"/>
    <w:pPr>
      <w:keepNext/>
      <w:spacing w:before="120" w:after="120"/>
      <w:outlineLvl w:val="2"/>
    </w:pPr>
    <w:rPr>
      <w:rFonts w:ascii="Arial Bold" w:hAnsi="Arial Bold"/>
      <w:b/>
      <w:color w:val="000000"/>
      <w:sz w:val="22"/>
    </w:rPr>
  </w:style>
  <w:style w:type="paragraph" w:styleId="Heading4">
    <w:name w:val="heading 4"/>
    <w:basedOn w:val="HeadingBase"/>
    <w:next w:val="Normal"/>
    <w:link w:val="Heading4Char"/>
    <w:qFormat/>
    <w:rsid w:val="00D75424"/>
    <w:pPr>
      <w:keepNext/>
      <w:spacing w:before="120" w:after="120"/>
      <w:outlineLvl w:val="3"/>
    </w:pPr>
    <w:rPr>
      <w:b/>
      <w:color w:val="000000"/>
      <w:sz w:val="22"/>
    </w:rPr>
  </w:style>
  <w:style w:type="paragraph" w:styleId="Heading5">
    <w:name w:val="heading 5"/>
    <w:basedOn w:val="HeadingBase"/>
    <w:next w:val="Normal"/>
    <w:link w:val="Heading5Char"/>
    <w:qFormat/>
    <w:rsid w:val="00D75424"/>
    <w:pPr>
      <w:keepNext/>
      <w:spacing w:before="240" w:after="120"/>
      <w:outlineLvl w:val="4"/>
    </w:pPr>
    <w:rPr>
      <w:b/>
      <w:color w:val="000000"/>
      <w:sz w:val="20"/>
    </w:rPr>
  </w:style>
  <w:style w:type="paragraph" w:styleId="Heading6">
    <w:name w:val="heading 6"/>
    <w:basedOn w:val="HeadingBase"/>
    <w:next w:val="Normal"/>
    <w:link w:val="Heading6Char"/>
    <w:qFormat/>
    <w:rsid w:val="00D75424"/>
    <w:pPr>
      <w:keepNext/>
      <w:spacing w:after="120"/>
      <w:outlineLvl w:val="5"/>
    </w:pPr>
    <w:rPr>
      <w:color w:val="000000"/>
      <w:sz w:val="20"/>
    </w:rPr>
  </w:style>
  <w:style w:type="paragraph" w:styleId="Heading7">
    <w:name w:val="heading 7"/>
    <w:basedOn w:val="HeadingBase"/>
    <w:next w:val="Normal"/>
    <w:link w:val="Heading7Char"/>
    <w:qFormat/>
    <w:rsid w:val="00D75424"/>
    <w:pPr>
      <w:spacing w:after="100"/>
      <w:outlineLvl w:val="6"/>
    </w:pPr>
    <w:rPr>
      <w:color w:val="000000"/>
      <w:sz w:val="18"/>
    </w:rPr>
  </w:style>
  <w:style w:type="paragraph" w:styleId="Heading8">
    <w:name w:val="heading 8"/>
    <w:basedOn w:val="Normal"/>
    <w:next w:val="Normal"/>
    <w:link w:val="Heading8Char"/>
    <w:qFormat/>
    <w:rsid w:val="00D75424"/>
    <w:pPr>
      <w:keepLines/>
      <w:autoSpaceDE/>
      <w:autoSpaceDN/>
      <w:adjustRightInd/>
      <w:spacing w:before="240" w:after="60" w:line="260" w:lineRule="exact"/>
      <w:jc w:val="both"/>
      <w:outlineLvl w:val="7"/>
    </w:pPr>
    <w:rPr>
      <w:rFonts w:cs="Times New Roman"/>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
    <w:name w:val="Box Heading"/>
    <w:basedOn w:val="HeadingBase"/>
    <w:next w:val="Normal"/>
    <w:rsid w:val="00D75424"/>
    <w:pPr>
      <w:spacing w:before="240" w:after="120"/>
    </w:pPr>
    <w:rPr>
      <w:rFonts w:ascii="Arial Bold" w:hAnsi="Arial Bold"/>
      <w:b/>
      <w:sz w:val="20"/>
    </w:rPr>
  </w:style>
  <w:style w:type="paragraph" w:customStyle="1" w:styleId="HeaderBase">
    <w:name w:val="Header Base"/>
    <w:rsid w:val="00C9524D"/>
    <w:rPr>
      <w:rFonts w:ascii="Arial" w:hAnsi="Arial"/>
      <w:color w:val="002B54"/>
      <w:sz w:val="18"/>
    </w:rPr>
  </w:style>
  <w:style w:type="paragraph" w:customStyle="1" w:styleId="FooterBase">
    <w:name w:val="Footer Base"/>
    <w:rsid w:val="00C9524D"/>
    <w:rPr>
      <w:rFonts w:ascii="Arial" w:hAnsi="Arial"/>
      <w:color w:val="002B54"/>
      <w:sz w:val="18"/>
    </w:rPr>
  </w:style>
  <w:style w:type="paragraph" w:customStyle="1" w:styleId="HeadingBase">
    <w:name w:val="Heading Base"/>
    <w:rsid w:val="00D75424"/>
    <w:rPr>
      <w:rFonts w:ascii="Arial" w:hAnsi="Arial"/>
      <w:sz w:val="24"/>
    </w:rPr>
  </w:style>
  <w:style w:type="paragraph" w:customStyle="1" w:styleId="ChartandTableFootnote">
    <w:name w:val="Chart and Table Footnote"/>
    <w:basedOn w:val="HeadingBase"/>
    <w:next w:val="Normal"/>
    <w:rsid w:val="00D75424"/>
    <w:pPr>
      <w:ind w:left="283" w:hanging="283"/>
      <w:jc w:val="both"/>
    </w:pPr>
    <w:rPr>
      <w:color w:val="000000"/>
      <w:sz w:val="16"/>
    </w:rPr>
  </w:style>
  <w:style w:type="paragraph" w:customStyle="1" w:styleId="ChartGraphic">
    <w:name w:val="Chart Graphic"/>
    <w:basedOn w:val="HeadingBase"/>
    <w:next w:val="Normal"/>
    <w:rsid w:val="00D75424"/>
    <w:pPr>
      <w:jc w:val="center"/>
    </w:pPr>
    <w:rPr>
      <w:color w:val="000000"/>
      <w:sz w:val="20"/>
    </w:rPr>
  </w:style>
  <w:style w:type="paragraph" w:customStyle="1" w:styleId="ChartHeading">
    <w:name w:val="Chart Heading"/>
    <w:basedOn w:val="HeadingBase"/>
    <w:next w:val="ChartGraphic"/>
    <w:rsid w:val="00D75424"/>
    <w:pPr>
      <w:keepNext/>
      <w:spacing w:before="120"/>
      <w:jc w:val="center"/>
    </w:pPr>
    <w:rPr>
      <w:b/>
      <w:color w:val="000000"/>
      <w:sz w:val="20"/>
    </w:rPr>
  </w:style>
  <w:style w:type="paragraph" w:customStyle="1" w:styleId="ChartSecondHeading">
    <w:name w:val="Chart Second Heading"/>
    <w:basedOn w:val="ChartHeading"/>
    <w:next w:val="ChartGraphic"/>
    <w:rsid w:val="00D75424"/>
    <w:pPr>
      <w:spacing w:before="60"/>
    </w:pPr>
    <w:rPr>
      <w:b w:val="0"/>
    </w:rPr>
  </w:style>
  <w:style w:type="paragraph" w:customStyle="1" w:styleId="Classification">
    <w:name w:val="Classification"/>
    <w:basedOn w:val="HeadingBase"/>
    <w:rsid w:val="00294042"/>
    <w:pPr>
      <w:jc w:val="center"/>
    </w:pPr>
    <w:rPr>
      <w:rFonts w:ascii="Arial Bold" w:hAnsi="Arial Bold"/>
      <w:b/>
      <w:caps/>
      <w:color w:val="000000"/>
    </w:rPr>
  </w:style>
  <w:style w:type="paragraph" w:customStyle="1" w:styleId="ContentsHeading">
    <w:name w:val="Contents Heading"/>
    <w:basedOn w:val="HeadingBase"/>
    <w:next w:val="Normal"/>
    <w:rsid w:val="006C3D6A"/>
    <w:pPr>
      <w:spacing w:after="720"/>
      <w:jc w:val="center"/>
    </w:pPr>
    <w:rPr>
      <w:rFonts w:ascii="Arial Bold" w:hAnsi="Arial Bold"/>
      <w:b/>
      <w:sz w:val="36"/>
      <w:lang w:val="en-US"/>
    </w:rPr>
  </w:style>
  <w:style w:type="paragraph" w:customStyle="1" w:styleId="ContentsSecondHeading">
    <w:name w:val="Contents Second Heading"/>
    <w:basedOn w:val="HeadingBase"/>
    <w:next w:val="Normal"/>
    <w:rsid w:val="00D75424"/>
    <w:pPr>
      <w:spacing w:after="360"/>
      <w:jc w:val="center"/>
    </w:pPr>
    <w:rPr>
      <w:color w:val="000000"/>
      <w:sz w:val="30"/>
    </w:rPr>
  </w:style>
  <w:style w:type="paragraph" w:styleId="Footer">
    <w:name w:val="footer"/>
    <w:basedOn w:val="FooterBase"/>
    <w:link w:val="FooterChar"/>
    <w:rsid w:val="00D75424"/>
    <w:pPr>
      <w:jc w:val="center"/>
    </w:pPr>
    <w:rPr>
      <w:color w:val="000000"/>
    </w:rPr>
  </w:style>
  <w:style w:type="character" w:styleId="FootnoteReference">
    <w:name w:val="footnote reference"/>
    <w:semiHidden/>
    <w:rsid w:val="00D75424"/>
    <w:rPr>
      <w:rFonts w:ascii="Book Antiqua" w:hAnsi="Book Antiqua"/>
      <w:noProof w:val="0"/>
      <w:sz w:val="20"/>
      <w:vertAlign w:val="superscript"/>
      <w:lang w:val="en-AU"/>
    </w:rPr>
  </w:style>
  <w:style w:type="paragraph" w:styleId="FootnoteText">
    <w:name w:val="footnote text"/>
    <w:basedOn w:val="Normal"/>
    <w:link w:val="FootnoteTextChar"/>
    <w:semiHidden/>
    <w:rsid w:val="00D75424"/>
    <w:pPr>
      <w:keepLines/>
      <w:tabs>
        <w:tab w:val="left" w:pos="283"/>
      </w:tabs>
      <w:autoSpaceDE/>
      <w:autoSpaceDN/>
      <w:adjustRightInd/>
      <w:ind w:left="284" w:hanging="284"/>
      <w:jc w:val="both"/>
    </w:pPr>
    <w:rPr>
      <w:rFonts w:ascii="Book Antiqua" w:hAnsi="Book Antiqua" w:cs="Times New Roman"/>
      <w:color w:val="000000"/>
      <w:sz w:val="18"/>
      <w:lang w:val="en-AU"/>
    </w:rPr>
  </w:style>
  <w:style w:type="paragraph" w:styleId="Header">
    <w:name w:val="header"/>
    <w:basedOn w:val="HeaderBase"/>
    <w:link w:val="HeaderChar"/>
    <w:rsid w:val="00D75424"/>
  </w:style>
  <w:style w:type="paragraph" w:styleId="Index1">
    <w:name w:val="index 1"/>
    <w:basedOn w:val="Normal"/>
    <w:next w:val="Normal"/>
    <w:autoRedefine/>
    <w:semiHidden/>
    <w:rsid w:val="00D75424"/>
    <w:pPr>
      <w:keepLines/>
      <w:autoSpaceDE/>
      <w:autoSpaceDN/>
      <w:adjustRightInd/>
      <w:spacing w:after="240" w:line="260" w:lineRule="exact"/>
      <w:ind w:left="198" w:hanging="198"/>
      <w:jc w:val="both"/>
    </w:pPr>
    <w:rPr>
      <w:rFonts w:ascii="Book Antiqua" w:hAnsi="Book Antiqua" w:cs="Times New Roman"/>
      <w:color w:val="000000"/>
      <w:sz w:val="18"/>
      <w:lang w:val="en-AU"/>
    </w:rPr>
  </w:style>
  <w:style w:type="paragraph" w:styleId="Index2">
    <w:name w:val="index 2"/>
    <w:basedOn w:val="Normal"/>
    <w:next w:val="Normal"/>
    <w:autoRedefine/>
    <w:semiHidden/>
    <w:rsid w:val="00D75424"/>
    <w:pPr>
      <w:keepLines/>
      <w:autoSpaceDE/>
      <w:autoSpaceDN/>
      <w:adjustRightInd/>
      <w:spacing w:after="240" w:line="260" w:lineRule="exact"/>
      <w:ind w:left="396" w:hanging="198"/>
      <w:jc w:val="both"/>
    </w:pPr>
    <w:rPr>
      <w:rFonts w:ascii="Book Antiqua" w:hAnsi="Book Antiqua" w:cs="Times New Roman"/>
      <w:color w:val="000000"/>
      <w:sz w:val="18"/>
      <w:lang w:val="en-AU"/>
    </w:rPr>
  </w:style>
  <w:style w:type="paragraph" w:styleId="Index3">
    <w:name w:val="index 3"/>
    <w:basedOn w:val="Normal"/>
    <w:next w:val="Normal"/>
    <w:autoRedefine/>
    <w:semiHidden/>
    <w:rsid w:val="00D75424"/>
    <w:pPr>
      <w:keepLines/>
      <w:autoSpaceDE/>
      <w:autoSpaceDN/>
      <w:adjustRightInd/>
      <w:spacing w:after="240" w:line="260" w:lineRule="exact"/>
      <w:ind w:left="601" w:hanging="198"/>
      <w:jc w:val="both"/>
    </w:pPr>
    <w:rPr>
      <w:rFonts w:ascii="Book Antiqua" w:hAnsi="Book Antiqua" w:cs="Times New Roman"/>
      <w:color w:val="000000"/>
      <w:sz w:val="18"/>
      <w:lang w:val="en-AU"/>
    </w:rPr>
  </w:style>
  <w:style w:type="paragraph" w:styleId="IndexHeading">
    <w:name w:val="index heading"/>
    <w:basedOn w:val="Normal"/>
    <w:next w:val="Index1"/>
    <w:semiHidden/>
    <w:rsid w:val="00D75424"/>
    <w:pPr>
      <w:keepLines/>
      <w:autoSpaceDE/>
      <w:autoSpaceDN/>
      <w:adjustRightInd/>
      <w:spacing w:before="240" w:after="120" w:line="260" w:lineRule="exact"/>
      <w:jc w:val="center"/>
    </w:pPr>
    <w:rPr>
      <w:rFonts w:cs="Times New Roman"/>
      <w:b/>
      <w:color w:val="000000"/>
      <w:sz w:val="24"/>
      <w:lang w:val="en-AU"/>
    </w:rPr>
  </w:style>
  <w:style w:type="character" w:styleId="PageNumber">
    <w:name w:val="page number"/>
    <w:rsid w:val="00D75424"/>
  </w:style>
  <w:style w:type="paragraph" w:customStyle="1" w:styleId="TableHeading">
    <w:name w:val="Table Heading"/>
    <w:basedOn w:val="HeadingBase"/>
    <w:next w:val="Normal"/>
    <w:rsid w:val="00D75424"/>
    <w:pPr>
      <w:keepNext/>
      <w:spacing w:before="120" w:after="20"/>
    </w:pPr>
    <w:rPr>
      <w:b/>
      <w:color w:val="000000"/>
      <w:sz w:val="20"/>
    </w:rPr>
  </w:style>
  <w:style w:type="paragraph" w:customStyle="1" w:styleId="TableHeadingcontinued">
    <w:name w:val="Table Heading continued"/>
    <w:basedOn w:val="HeadingBase"/>
    <w:next w:val="TableGraphic"/>
    <w:rsid w:val="00D75424"/>
    <w:pPr>
      <w:keepNext/>
      <w:spacing w:before="120" w:after="20"/>
    </w:pPr>
    <w:rPr>
      <w:b/>
      <w:color w:val="000000"/>
      <w:sz w:val="20"/>
    </w:rPr>
  </w:style>
  <w:style w:type="paragraph" w:customStyle="1" w:styleId="TableGraphic">
    <w:name w:val="Table Graphic"/>
    <w:basedOn w:val="TableHeading"/>
    <w:next w:val="Normal"/>
    <w:rsid w:val="00D75424"/>
    <w:pPr>
      <w:keepNext w:val="0"/>
      <w:spacing w:before="0"/>
      <w:ind w:right="-113"/>
    </w:pPr>
    <w:rPr>
      <w:b w:val="0"/>
    </w:rPr>
  </w:style>
  <w:style w:type="paragraph" w:styleId="TOC1">
    <w:name w:val="toc 1"/>
    <w:basedOn w:val="HeadingBase"/>
    <w:next w:val="Normal"/>
    <w:autoRedefine/>
    <w:rsid w:val="00D75424"/>
    <w:pPr>
      <w:tabs>
        <w:tab w:val="right" w:leader="dot" w:pos="7699"/>
      </w:tabs>
      <w:spacing w:before="180"/>
      <w:ind w:right="851"/>
    </w:pPr>
    <w:rPr>
      <w:b/>
      <w:color w:val="000000"/>
      <w:sz w:val="20"/>
    </w:rPr>
  </w:style>
  <w:style w:type="paragraph" w:styleId="TOC2">
    <w:name w:val="toc 2"/>
    <w:basedOn w:val="Normal"/>
    <w:next w:val="Normal"/>
    <w:autoRedefine/>
    <w:rsid w:val="00D75424"/>
    <w:pPr>
      <w:keepLines/>
      <w:tabs>
        <w:tab w:val="right" w:leader="dot" w:pos="7699"/>
      </w:tabs>
      <w:autoSpaceDE/>
      <w:autoSpaceDN/>
      <w:adjustRightInd/>
      <w:spacing w:before="40"/>
      <w:ind w:right="851"/>
    </w:pPr>
    <w:rPr>
      <w:rFonts w:cs="Times New Roman"/>
      <w:lang w:val="en-AU"/>
    </w:rPr>
  </w:style>
  <w:style w:type="paragraph" w:styleId="TOC3">
    <w:name w:val="toc 3"/>
    <w:basedOn w:val="HeadingBase"/>
    <w:next w:val="Normal"/>
    <w:autoRedefine/>
    <w:rsid w:val="00D75424"/>
    <w:pPr>
      <w:tabs>
        <w:tab w:val="right" w:leader="dot" w:pos="7699"/>
      </w:tabs>
      <w:spacing w:before="180"/>
      <w:ind w:right="851"/>
    </w:pPr>
    <w:rPr>
      <w:b/>
      <w:color w:val="000000"/>
      <w:sz w:val="20"/>
    </w:rPr>
  </w:style>
  <w:style w:type="paragraph" w:customStyle="1" w:styleId="HeaderOdd">
    <w:name w:val="Header Odd"/>
    <w:basedOn w:val="HeaderBase"/>
    <w:rsid w:val="00D75424"/>
    <w:pPr>
      <w:jc w:val="right"/>
    </w:pPr>
  </w:style>
  <w:style w:type="paragraph" w:customStyle="1" w:styleId="HeaderEven">
    <w:name w:val="Header Even"/>
    <w:basedOn w:val="HeaderBase"/>
    <w:rsid w:val="00D75424"/>
  </w:style>
  <w:style w:type="paragraph" w:customStyle="1" w:styleId="FileProperties">
    <w:name w:val="File Properties"/>
    <w:basedOn w:val="Normal"/>
    <w:rsid w:val="00D75424"/>
    <w:pPr>
      <w:keepLines/>
      <w:autoSpaceDE/>
      <w:autoSpaceDN/>
      <w:adjustRightInd/>
      <w:spacing w:after="240" w:line="260" w:lineRule="exact"/>
      <w:jc w:val="both"/>
    </w:pPr>
    <w:rPr>
      <w:rFonts w:ascii="Book Antiqua" w:hAnsi="Book Antiqua" w:cs="Times New Roman"/>
      <w:i/>
      <w:color w:val="000000"/>
      <w:lang w:val="en-AU"/>
    </w:rPr>
  </w:style>
  <w:style w:type="character" w:customStyle="1" w:styleId="FramedHeader">
    <w:name w:val="Framed Header"/>
    <w:rsid w:val="00D75424"/>
    <w:rPr>
      <w:rFonts w:ascii="Book Antiqua" w:hAnsi="Book Antiqua"/>
      <w:i/>
      <w:dstrike w:val="0"/>
      <w:sz w:val="20"/>
      <w:szCs w:val="20"/>
      <w:vertAlign w:val="baseline"/>
    </w:rPr>
  </w:style>
  <w:style w:type="paragraph" w:styleId="TOC4">
    <w:name w:val="toc 4"/>
    <w:basedOn w:val="Normal"/>
    <w:next w:val="Normal"/>
    <w:autoRedefine/>
    <w:semiHidden/>
    <w:rsid w:val="00D75424"/>
    <w:pPr>
      <w:keepLines/>
      <w:tabs>
        <w:tab w:val="right" w:leader="dot" w:pos="7699"/>
      </w:tabs>
      <w:autoSpaceDE/>
      <w:autoSpaceDN/>
      <w:adjustRightInd/>
      <w:spacing w:before="40"/>
    </w:pPr>
    <w:rPr>
      <w:rFonts w:cs="Times New Roman"/>
      <w:lang w:val="en-AU"/>
    </w:rPr>
  </w:style>
  <w:style w:type="paragraph" w:customStyle="1" w:styleId="Bullet">
    <w:name w:val="Bullet"/>
    <w:basedOn w:val="Normal"/>
    <w:rsid w:val="00657384"/>
    <w:pPr>
      <w:keepLines/>
      <w:numPr>
        <w:numId w:val="38"/>
      </w:numPr>
      <w:autoSpaceDE/>
      <w:autoSpaceDN/>
      <w:adjustRightInd/>
      <w:spacing w:before="120" w:after="120" w:line="240" w:lineRule="exact"/>
      <w:ind w:left="284" w:hanging="284"/>
    </w:pPr>
    <w:rPr>
      <w:rFonts w:ascii="Book Antiqua" w:hAnsi="Book Antiqua" w:cs="Times New Roman"/>
      <w:sz w:val="19"/>
      <w:lang w:val="en-AU"/>
    </w:rPr>
  </w:style>
  <w:style w:type="paragraph" w:customStyle="1" w:styleId="OverviewParagraph">
    <w:name w:val="Overview Paragraph"/>
    <w:basedOn w:val="Normal"/>
    <w:rsid w:val="00D75424"/>
    <w:pPr>
      <w:keepLines/>
      <w:autoSpaceDE/>
      <w:autoSpaceDN/>
      <w:adjustRightInd/>
      <w:spacing w:before="120" w:after="120" w:line="260" w:lineRule="exact"/>
      <w:jc w:val="both"/>
    </w:pPr>
    <w:rPr>
      <w:rFonts w:ascii="Book Antiqua" w:hAnsi="Book Antiqua" w:cs="Times New Roman"/>
      <w:lang w:val="en-AU"/>
    </w:rPr>
  </w:style>
  <w:style w:type="paragraph" w:customStyle="1" w:styleId="AppendixHeading">
    <w:name w:val="Appendix Heading"/>
    <w:basedOn w:val="HeadingBase"/>
    <w:next w:val="Normal"/>
    <w:rsid w:val="00FF3726"/>
    <w:pPr>
      <w:spacing w:before="240" w:after="240"/>
      <w:jc w:val="center"/>
    </w:pPr>
    <w:rPr>
      <w:b/>
      <w:bCs/>
      <w:sz w:val="26"/>
      <w:szCs w:val="26"/>
    </w:rPr>
  </w:style>
  <w:style w:type="paragraph" w:customStyle="1" w:styleId="DoubleDot">
    <w:name w:val="Double Dot"/>
    <w:basedOn w:val="Bullet"/>
    <w:rsid w:val="00D75424"/>
    <w:pPr>
      <w:numPr>
        <w:ilvl w:val="2"/>
      </w:numPr>
    </w:pPr>
  </w:style>
  <w:style w:type="paragraph" w:customStyle="1" w:styleId="Dash">
    <w:name w:val="Dash"/>
    <w:basedOn w:val="Bullet"/>
    <w:rsid w:val="00D75424"/>
    <w:pPr>
      <w:numPr>
        <w:ilvl w:val="1"/>
      </w:numPr>
    </w:pPr>
  </w:style>
  <w:style w:type="paragraph" w:customStyle="1" w:styleId="MeasureTableTextLeftAligned">
    <w:name w:val="Measure Table Text Left Aligned"/>
    <w:basedOn w:val="Normal"/>
    <w:rsid w:val="00D75424"/>
    <w:pPr>
      <w:keepNext/>
      <w:keepLines/>
      <w:autoSpaceDE/>
      <w:autoSpaceDN/>
      <w:adjustRightInd/>
      <w:spacing w:before="60" w:after="60"/>
    </w:pPr>
    <w:rPr>
      <w:rFonts w:cs="Times New Roman"/>
      <w:color w:val="000000"/>
      <w:sz w:val="16"/>
      <w:lang w:val="en-AU"/>
    </w:rPr>
  </w:style>
  <w:style w:type="paragraph" w:customStyle="1" w:styleId="ChartandTableFootnoteAlpha">
    <w:name w:val="Chart and Table Footnote Alpha"/>
    <w:basedOn w:val="ChartandTableFootnote"/>
    <w:next w:val="Normal"/>
    <w:rsid w:val="00FF3726"/>
    <w:pPr>
      <w:numPr>
        <w:numId w:val="36"/>
      </w:numPr>
    </w:pPr>
    <w:rPr>
      <w:rFonts w:cs="Arial"/>
      <w:bCs/>
      <w:szCs w:val="24"/>
      <w:lang w:eastAsia="en-US"/>
    </w:rPr>
  </w:style>
  <w:style w:type="paragraph" w:customStyle="1" w:styleId="MeasureTableHeading">
    <w:name w:val="Measure Table Heading"/>
    <w:basedOn w:val="HeadingBase"/>
    <w:rsid w:val="00D75424"/>
    <w:pPr>
      <w:keepNext/>
    </w:pPr>
    <w:rPr>
      <w:sz w:val="16"/>
    </w:rPr>
  </w:style>
  <w:style w:type="paragraph" w:customStyle="1" w:styleId="MeasureTableTextRightAligned">
    <w:name w:val="Measure Table Text Right Aligned"/>
    <w:basedOn w:val="HeadingBase"/>
    <w:rsid w:val="00D75424"/>
    <w:pPr>
      <w:keepNext/>
      <w:spacing w:before="60" w:after="60"/>
      <w:ind w:right="57"/>
      <w:jc w:val="right"/>
    </w:pPr>
    <w:rPr>
      <w:sz w:val="16"/>
    </w:rPr>
  </w:style>
  <w:style w:type="paragraph" w:styleId="TOC5">
    <w:name w:val="toc 5"/>
    <w:basedOn w:val="Normal"/>
    <w:next w:val="Normal"/>
    <w:autoRedefine/>
    <w:semiHidden/>
    <w:rsid w:val="00D75424"/>
    <w:pPr>
      <w:keepLines/>
      <w:tabs>
        <w:tab w:val="right" w:leader="dot" w:pos="7700"/>
      </w:tabs>
      <w:autoSpaceDE/>
      <w:autoSpaceDN/>
      <w:adjustRightInd/>
      <w:spacing w:before="60"/>
      <w:ind w:left="567" w:right="851"/>
    </w:pPr>
    <w:rPr>
      <w:rFonts w:ascii="Book Antiqua" w:hAnsi="Book Antiqua" w:cs="Times New Roman"/>
      <w:lang w:val="en-AU"/>
    </w:rPr>
  </w:style>
  <w:style w:type="paragraph" w:styleId="TOC6">
    <w:name w:val="toc 6"/>
    <w:basedOn w:val="Normal"/>
    <w:next w:val="Normal"/>
    <w:autoRedefine/>
    <w:semiHidden/>
    <w:rsid w:val="00D75424"/>
    <w:pPr>
      <w:keepLines/>
      <w:autoSpaceDE/>
      <w:autoSpaceDN/>
      <w:adjustRightInd/>
      <w:spacing w:after="240" w:line="260" w:lineRule="exact"/>
      <w:ind w:left="1000"/>
      <w:jc w:val="both"/>
    </w:pPr>
    <w:rPr>
      <w:rFonts w:ascii="Book Antiqua" w:hAnsi="Book Antiqua" w:cs="Times New Roman"/>
      <w:lang w:val="en-AU"/>
    </w:rPr>
  </w:style>
  <w:style w:type="paragraph" w:styleId="TOC7">
    <w:name w:val="toc 7"/>
    <w:basedOn w:val="Normal"/>
    <w:next w:val="Normal"/>
    <w:autoRedefine/>
    <w:semiHidden/>
    <w:rsid w:val="00D75424"/>
    <w:pPr>
      <w:keepLines/>
      <w:autoSpaceDE/>
      <w:autoSpaceDN/>
      <w:adjustRightInd/>
      <w:spacing w:after="240" w:line="260" w:lineRule="exact"/>
      <w:ind w:left="1200"/>
      <w:jc w:val="both"/>
    </w:pPr>
    <w:rPr>
      <w:rFonts w:ascii="Book Antiqua" w:hAnsi="Book Antiqua" w:cs="Times New Roman"/>
      <w:lang w:val="en-AU"/>
    </w:rPr>
  </w:style>
  <w:style w:type="paragraph" w:styleId="TOC8">
    <w:name w:val="toc 8"/>
    <w:basedOn w:val="Normal"/>
    <w:next w:val="Normal"/>
    <w:autoRedefine/>
    <w:semiHidden/>
    <w:rsid w:val="00D75424"/>
    <w:pPr>
      <w:keepLines/>
      <w:autoSpaceDE/>
      <w:autoSpaceDN/>
      <w:adjustRightInd/>
      <w:spacing w:after="240" w:line="260" w:lineRule="exact"/>
      <w:ind w:left="1400"/>
      <w:jc w:val="both"/>
    </w:pPr>
    <w:rPr>
      <w:rFonts w:ascii="Book Antiqua" w:hAnsi="Book Antiqua" w:cs="Times New Roman"/>
      <w:lang w:val="en-AU"/>
    </w:rPr>
  </w:style>
  <w:style w:type="paragraph" w:styleId="TOC9">
    <w:name w:val="toc 9"/>
    <w:basedOn w:val="Normal"/>
    <w:next w:val="Normal"/>
    <w:autoRedefine/>
    <w:semiHidden/>
    <w:rsid w:val="00D75424"/>
    <w:pPr>
      <w:keepLines/>
      <w:autoSpaceDE/>
      <w:autoSpaceDN/>
      <w:adjustRightInd/>
      <w:spacing w:after="240" w:line="260" w:lineRule="exact"/>
      <w:ind w:left="1600"/>
      <w:jc w:val="both"/>
    </w:pPr>
    <w:rPr>
      <w:rFonts w:ascii="Book Antiqua" w:hAnsi="Book Antiqua" w:cs="Times New Roman"/>
      <w:lang w:val="en-AU"/>
    </w:rPr>
  </w:style>
  <w:style w:type="paragraph" w:customStyle="1" w:styleId="FigureHeading">
    <w:name w:val="Figure Heading"/>
    <w:basedOn w:val="HeadingBase"/>
    <w:next w:val="Normal"/>
    <w:rsid w:val="00D75424"/>
    <w:pPr>
      <w:keepNext/>
      <w:spacing w:before="120" w:after="20"/>
    </w:pPr>
    <w:rPr>
      <w:b/>
      <w:color w:val="000000"/>
      <w:sz w:val="20"/>
    </w:rPr>
  </w:style>
  <w:style w:type="paragraph" w:styleId="Closing">
    <w:name w:val="Closing"/>
    <w:basedOn w:val="Normal"/>
    <w:link w:val="ClosingChar"/>
    <w:rsid w:val="00D75424"/>
    <w:pPr>
      <w:keepLines/>
      <w:autoSpaceDE/>
      <w:autoSpaceDN/>
      <w:adjustRightInd/>
      <w:spacing w:after="240" w:line="260" w:lineRule="exact"/>
      <w:ind w:left="4252"/>
      <w:jc w:val="both"/>
    </w:pPr>
    <w:rPr>
      <w:rFonts w:ascii="Book Antiqua" w:hAnsi="Book Antiqua" w:cs="Times New Roman"/>
      <w:lang w:val="en-AU"/>
    </w:rPr>
  </w:style>
  <w:style w:type="paragraph" w:customStyle="1" w:styleId="NoteTableHeading">
    <w:name w:val="Note Table Heading"/>
    <w:basedOn w:val="HeadingBase"/>
    <w:next w:val="Normal"/>
    <w:rsid w:val="00D75424"/>
    <w:pPr>
      <w:keepNext/>
      <w:spacing w:before="480"/>
    </w:pPr>
    <w:rPr>
      <w:b/>
      <w:color w:val="000000"/>
      <w:sz w:val="20"/>
    </w:rPr>
  </w:style>
  <w:style w:type="paragraph" w:customStyle="1" w:styleId="ChartandTableFootnoteSmall">
    <w:name w:val="Chart and Table Footnote Small"/>
    <w:basedOn w:val="ChartandTableFootnote"/>
    <w:rsid w:val="00D75424"/>
    <w:rPr>
      <w:sz w:val="15"/>
    </w:rPr>
  </w:style>
  <w:style w:type="paragraph" w:customStyle="1" w:styleId="ChartandTableFootnoteAlphaSmall">
    <w:name w:val="Chart and Table Footnote Alpha Small"/>
    <w:basedOn w:val="ChartandTableFootnoteAlpha"/>
    <w:rsid w:val="00D75424"/>
    <w:pPr>
      <w:numPr>
        <w:numId w:val="0"/>
      </w:numPr>
    </w:pPr>
    <w:rPr>
      <w:sz w:val="15"/>
    </w:rPr>
  </w:style>
  <w:style w:type="paragraph" w:customStyle="1" w:styleId="Source">
    <w:name w:val="Source"/>
    <w:basedOn w:val="HeadingBase"/>
    <w:next w:val="Normal"/>
    <w:rsid w:val="00D75424"/>
    <w:pPr>
      <w:jc w:val="both"/>
    </w:pPr>
    <w:rPr>
      <w:sz w:val="16"/>
    </w:rPr>
  </w:style>
  <w:style w:type="paragraph" w:customStyle="1" w:styleId="BlockedQuotation">
    <w:name w:val="Blocked Quotation"/>
    <w:basedOn w:val="Normal"/>
    <w:rsid w:val="00D75424"/>
    <w:pPr>
      <w:keepLines/>
      <w:autoSpaceDE/>
      <w:autoSpaceDN/>
      <w:adjustRightInd/>
      <w:spacing w:after="240" w:line="260" w:lineRule="exact"/>
      <w:ind w:left="567"/>
      <w:jc w:val="both"/>
    </w:pPr>
    <w:rPr>
      <w:rFonts w:ascii="Book Antiqua" w:hAnsi="Book Antiqua" w:cs="Times New Roman"/>
      <w:lang w:val="en-AU"/>
    </w:rPr>
  </w:style>
  <w:style w:type="paragraph" w:customStyle="1" w:styleId="Exactly">
    <w:name w:val="Exactly"/>
    <w:basedOn w:val="Normal"/>
    <w:next w:val="Normal"/>
    <w:rsid w:val="00D75424"/>
    <w:pPr>
      <w:keepLines/>
      <w:autoSpaceDE/>
      <w:autoSpaceDN/>
      <w:adjustRightInd/>
      <w:spacing w:after="240"/>
      <w:jc w:val="both"/>
    </w:pPr>
    <w:rPr>
      <w:rFonts w:ascii="Book Antiqua" w:hAnsi="Book Antiqua" w:cs="Times New Roman"/>
      <w:lang w:val="en-AU"/>
    </w:rPr>
  </w:style>
  <w:style w:type="paragraph" w:customStyle="1" w:styleId="TPHeading1">
    <w:name w:val="TP Heading 1"/>
    <w:basedOn w:val="HeadingBase"/>
    <w:rsid w:val="00D75424"/>
    <w:pPr>
      <w:keepNext/>
      <w:spacing w:before="60" w:after="60"/>
      <w:ind w:left="1134"/>
    </w:pPr>
    <w:rPr>
      <w:rFonts w:ascii="Arial Bold" w:hAnsi="Arial Bold"/>
      <w:b/>
      <w:caps/>
      <w:spacing w:val="-10"/>
      <w:sz w:val="28"/>
    </w:rPr>
  </w:style>
  <w:style w:type="paragraph" w:customStyle="1" w:styleId="TPHeading2">
    <w:name w:val="TP Heading 2"/>
    <w:basedOn w:val="HeadingBase"/>
    <w:rsid w:val="00D75424"/>
    <w:pPr>
      <w:keepNext/>
      <w:ind w:left="1134"/>
    </w:pPr>
    <w:rPr>
      <w:caps/>
      <w:spacing w:val="-10"/>
      <w:sz w:val="28"/>
    </w:rPr>
  </w:style>
  <w:style w:type="paragraph" w:customStyle="1" w:styleId="TPHeading3">
    <w:name w:val="TP Heading 3"/>
    <w:basedOn w:val="HeadingBase"/>
    <w:rsid w:val="00D75424"/>
    <w:pPr>
      <w:keepNext/>
      <w:ind w:left="1134"/>
    </w:pPr>
    <w:rPr>
      <w:caps/>
      <w:spacing w:val="-10"/>
    </w:rPr>
  </w:style>
  <w:style w:type="paragraph" w:customStyle="1" w:styleId="Table">
    <w:name w:val="Table"/>
    <w:basedOn w:val="Normal"/>
    <w:rsid w:val="00D75424"/>
    <w:pPr>
      <w:keepLines/>
      <w:autoSpaceDE/>
      <w:autoSpaceDN/>
      <w:adjustRightInd/>
      <w:spacing w:before="40" w:after="40"/>
    </w:pPr>
    <w:rPr>
      <w:rFonts w:cs="Times New Roman"/>
      <w:sz w:val="16"/>
      <w:lang w:val="en-AU"/>
    </w:rPr>
  </w:style>
  <w:style w:type="paragraph" w:customStyle="1" w:styleId="AgencyNamewith2ptsspacing">
    <w:name w:val="AgencyName with 2 pts spacing"/>
    <w:basedOn w:val="AgencyName"/>
    <w:rsid w:val="00D75424"/>
    <w:pPr>
      <w:spacing w:before="40" w:after="40"/>
    </w:pPr>
  </w:style>
  <w:style w:type="paragraph" w:customStyle="1" w:styleId="Summarytabletextleftaligned">
    <w:name w:val="Summary table text left aligned"/>
    <w:basedOn w:val="MeasureTableTextLeftAligned"/>
    <w:rsid w:val="00D75424"/>
    <w:pPr>
      <w:keepNext w:val="0"/>
      <w:keepLines w:val="0"/>
      <w:tabs>
        <w:tab w:val="left" w:pos="285"/>
      </w:tabs>
      <w:spacing w:before="20" w:after="20"/>
    </w:pPr>
    <w:rPr>
      <w:noProof/>
      <w:szCs w:val="16"/>
    </w:rPr>
  </w:style>
  <w:style w:type="paragraph" w:customStyle="1" w:styleId="SummaryThemeTitle-Election">
    <w:name w:val="Summary Theme Title - Election"/>
    <w:basedOn w:val="Summarytabletextleftaligned"/>
    <w:rsid w:val="00D75424"/>
    <w:pPr>
      <w:ind w:left="340" w:right="57" w:hanging="113"/>
    </w:pPr>
  </w:style>
  <w:style w:type="paragraph" w:customStyle="1" w:styleId="SummaryMeasureTitlewithTheme">
    <w:name w:val="Summary Measure Title with Theme"/>
    <w:basedOn w:val="Summarytabletextleftaligned"/>
    <w:rsid w:val="00D75424"/>
    <w:pPr>
      <w:ind w:left="340" w:right="57" w:hanging="113"/>
    </w:pPr>
  </w:style>
  <w:style w:type="paragraph" w:customStyle="1" w:styleId="Summarytabletextrightaligned">
    <w:name w:val="Summary table text right aligned"/>
    <w:basedOn w:val="MeasureTableTextRightAligned"/>
    <w:rsid w:val="00D75424"/>
    <w:pPr>
      <w:keepNext w:val="0"/>
      <w:spacing w:before="20" w:after="20"/>
    </w:pPr>
  </w:style>
  <w:style w:type="paragraph" w:customStyle="1" w:styleId="Summarytabletextrightalignedbold">
    <w:name w:val="Summary table text right aligned bold"/>
    <w:basedOn w:val="Normal"/>
    <w:rsid w:val="00D75424"/>
    <w:pPr>
      <w:autoSpaceDE/>
      <w:autoSpaceDN/>
      <w:adjustRightInd/>
      <w:spacing w:before="20" w:after="20"/>
      <w:ind w:right="57"/>
      <w:jc w:val="right"/>
    </w:pPr>
    <w:rPr>
      <w:rFonts w:cs="Times New Roman"/>
      <w:b/>
      <w:sz w:val="16"/>
      <w:lang w:val="en-AU"/>
    </w:rPr>
  </w:style>
  <w:style w:type="paragraph" w:customStyle="1" w:styleId="AgencyName">
    <w:name w:val="AgencyName"/>
    <w:basedOn w:val="Table"/>
    <w:rsid w:val="00D75424"/>
    <w:pPr>
      <w:spacing w:before="20" w:after="20"/>
      <w:ind w:right="113"/>
    </w:pPr>
    <w:rPr>
      <w:rFonts w:cs="Arial"/>
      <w:i/>
      <w:szCs w:val="16"/>
    </w:rPr>
  </w:style>
  <w:style w:type="paragraph" w:customStyle="1" w:styleId="MeasureType">
    <w:name w:val="MeasureType"/>
    <w:basedOn w:val="SummaryPortfolioTitle-BP2"/>
    <w:rsid w:val="00D75424"/>
  </w:style>
  <w:style w:type="paragraph" w:customStyle="1" w:styleId="SummaryAgencyTitle-BP2Theme">
    <w:name w:val="Summary Agency Title - BP2 Theme"/>
    <w:basedOn w:val="Normal"/>
    <w:rsid w:val="00D75424"/>
    <w:pPr>
      <w:keepLines/>
      <w:autoSpaceDE/>
      <w:autoSpaceDN/>
      <w:adjustRightInd/>
      <w:spacing w:before="20" w:after="20"/>
      <w:ind w:left="113" w:right="57" w:hanging="113"/>
    </w:pPr>
    <w:rPr>
      <w:i/>
      <w:sz w:val="16"/>
      <w:szCs w:val="16"/>
      <w:lang w:val="en-AU"/>
    </w:rPr>
  </w:style>
  <w:style w:type="paragraph" w:customStyle="1" w:styleId="SummaryMeasureTitle-BP2Theme">
    <w:name w:val="Summary Measure Title - BP2 Theme"/>
    <w:basedOn w:val="Summarytabletextleftaligned"/>
    <w:rsid w:val="00D75424"/>
    <w:pPr>
      <w:ind w:left="226" w:right="57" w:hanging="113"/>
    </w:pPr>
  </w:style>
  <w:style w:type="paragraph" w:customStyle="1" w:styleId="MeasureTableYearHeadings">
    <w:name w:val="Measure Table Year Headings"/>
    <w:basedOn w:val="Table"/>
    <w:rsid w:val="00D75424"/>
    <w:pPr>
      <w:jc w:val="right"/>
    </w:pPr>
  </w:style>
  <w:style w:type="paragraph" w:customStyle="1" w:styleId="SummaryThemeTotal">
    <w:name w:val="Summary Theme Total"/>
    <w:basedOn w:val="Summarytabletextleftaligned"/>
    <w:rsid w:val="00D75424"/>
    <w:rPr>
      <w:b/>
      <w:i/>
    </w:rPr>
  </w:style>
  <w:style w:type="paragraph" w:customStyle="1" w:styleId="MeasureTableHeadingleftalignedwith2ptsspacing">
    <w:name w:val="Measure Table Heading left aligned with 2 pts spacing"/>
    <w:basedOn w:val="MeasureTableYearHeadings"/>
    <w:rsid w:val="00D75424"/>
    <w:pPr>
      <w:jc w:val="left"/>
    </w:pPr>
  </w:style>
  <w:style w:type="paragraph" w:customStyle="1" w:styleId="MeasureTableYearHeadingsitalics">
    <w:name w:val="Measure Table Year Headings italics"/>
    <w:basedOn w:val="MeasureTableYearHeadings"/>
    <w:rsid w:val="00D75424"/>
    <w:rPr>
      <w:i/>
    </w:rPr>
  </w:style>
  <w:style w:type="paragraph" w:customStyle="1" w:styleId="Summarytabletextleftalignedbold">
    <w:name w:val="Summary table text left aligned bold"/>
    <w:basedOn w:val="Summarytabletextleftaligned"/>
    <w:rsid w:val="00D75424"/>
    <w:rPr>
      <w:b/>
    </w:rPr>
  </w:style>
  <w:style w:type="paragraph" w:customStyle="1" w:styleId="Summarytabletextleftalignedboldwith6ptsbefore">
    <w:name w:val="Summary table text left aligned bold with 6 pts before"/>
    <w:basedOn w:val="Summarytabletextleftaligned"/>
    <w:rsid w:val="00D75424"/>
    <w:pPr>
      <w:spacing w:before="120"/>
    </w:pPr>
    <w:rPr>
      <w:rFonts w:ascii="Helvetica" w:hAnsi="Helvetica"/>
      <w:b/>
    </w:rPr>
  </w:style>
  <w:style w:type="paragraph" w:customStyle="1" w:styleId="SummaryPortfolioTitle-BP2">
    <w:name w:val="Summary Portfolio Title - BP2"/>
    <w:aliases w:val="Theme"/>
    <w:basedOn w:val="Normal"/>
    <w:rsid w:val="00D75424"/>
    <w:pPr>
      <w:autoSpaceDE/>
      <w:autoSpaceDN/>
      <w:adjustRightInd/>
      <w:spacing w:before="120" w:after="20"/>
      <w:ind w:right="113"/>
    </w:pPr>
    <w:rPr>
      <w:rFonts w:cs="Times New Roman"/>
      <w:b/>
      <w:caps/>
      <w:sz w:val="16"/>
      <w:lang w:val="en-AU"/>
    </w:rPr>
  </w:style>
  <w:style w:type="paragraph" w:customStyle="1" w:styleId="Summarytabletotalsrightalignedbolditalic">
    <w:name w:val="Summary table totals right aligned bold italic"/>
    <w:basedOn w:val="Summarytabletextrightalignedbold"/>
    <w:rsid w:val="00D75424"/>
    <w:pPr>
      <w:keepNext/>
    </w:pPr>
    <w:rPr>
      <w:i/>
    </w:rPr>
  </w:style>
  <w:style w:type="paragraph" w:customStyle="1" w:styleId="SummaryTabletextrightalignedkwn">
    <w:name w:val="Summary Table text right aligned kwn"/>
    <w:basedOn w:val="Summarytabletextrightaligned"/>
    <w:rsid w:val="00D75424"/>
    <w:pPr>
      <w:keepNext/>
    </w:pPr>
  </w:style>
  <w:style w:type="paragraph" w:customStyle="1" w:styleId="MeasureTableFootnote">
    <w:name w:val="MeasureTableFootnote"/>
    <w:basedOn w:val="Normal"/>
    <w:next w:val="Normal"/>
    <w:rsid w:val="006646C9"/>
    <w:pPr>
      <w:keepNext/>
      <w:keepLines/>
      <w:autoSpaceDE/>
      <w:autoSpaceDN/>
      <w:adjustRightInd/>
      <w:jc w:val="both"/>
    </w:pPr>
    <w:rPr>
      <w:rFonts w:cs="Times New Roman"/>
      <w:color w:val="000000"/>
      <w:sz w:val="16"/>
      <w:szCs w:val="16"/>
      <w:lang w:val="en-AU"/>
    </w:rPr>
  </w:style>
  <w:style w:type="paragraph" w:customStyle="1" w:styleId="MeasureTableDataRightAlignedwith2ptsspacing">
    <w:name w:val="MeasureTableDataRightAligned with 2 pts spacing"/>
    <w:basedOn w:val="MeasureTableYearHeadings"/>
    <w:rsid w:val="00D75424"/>
  </w:style>
  <w:style w:type="paragraph" w:customStyle="1" w:styleId="Measuretabledatarightaligneditalics">
    <w:name w:val="Measure table data right aligned italics"/>
    <w:basedOn w:val="MeasureTableYearHeadingsitalics"/>
    <w:rsid w:val="00D75424"/>
  </w:style>
  <w:style w:type="paragraph" w:customStyle="1" w:styleId="Totalrowrightaligned">
    <w:name w:val="Total row right aligned"/>
    <w:basedOn w:val="MeasureTableDataRightAlignedwith2ptsspacing"/>
    <w:rsid w:val="00D75424"/>
  </w:style>
  <w:style w:type="paragraph" w:customStyle="1" w:styleId="Totalrowleftaligned">
    <w:name w:val="Total row left aligned"/>
    <w:basedOn w:val="MeasureTableHeadingleftalignedwith2ptsspacing"/>
    <w:rsid w:val="00D75424"/>
  </w:style>
  <w:style w:type="paragraph" w:customStyle="1" w:styleId="Totalrowitalicsrightaligned">
    <w:name w:val="Total row italics right aligned"/>
    <w:basedOn w:val="Measuretabledatarightaligneditalics"/>
    <w:rsid w:val="00D75424"/>
  </w:style>
  <w:style w:type="paragraph" w:customStyle="1" w:styleId="Totalrowitalicsleftaligned">
    <w:name w:val="Total row italics left aligned"/>
    <w:basedOn w:val="AgencyNamewith2ptsspacing"/>
    <w:rsid w:val="00D75424"/>
  </w:style>
  <w:style w:type="paragraph" w:customStyle="1" w:styleId="Totaldatarowrightaligned">
    <w:name w:val="Total data row right aligned"/>
    <w:basedOn w:val="MeasureTableDataRightAlignedwith2ptsspacing"/>
    <w:rsid w:val="00D75424"/>
  </w:style>
  <w:style w:type="paragraph" w:customStyle="1" w:styleId="Totaldatarowleftaligned">
    <w:name w:val="Total data row left aligned"/>
    <w:basedOn w:val="MeasureTableHeadingleftalignedwith2ptsspacing"/>
    <w:rsid w:val="00D75424"/>
  </w:style>
  <w:style w:type="paragraph" w:customStyle="1" w:styleId="MeasureTitle">
    <w:name w:val="MeasureTitle"/>
    <w:basedOn w:val="Heading5"/>
    <w:rsid w:val="0034382C"/>
    <w:pPr>
      <w:spacing w:before="360"/>
      <w:outlineLvl w:val="3"/>
    </w:pPr>
  </w:style>
  <w:style w:type="paragraph" w:customStyle="1" w:styleId="PortfolioName">
    <w:name w:val="PortfolioName"/>
    <w:basedOn w:val="Heading3"/>
    <w:rsid w:val="005D3D2D"/>
    <w:pPr>
      <w:spacing w:before="240" w:after="240"/>
    </w:pPr>
    <w:rPr>
      <w:sz w:val="26"/>
    </w:rPr>
  </w:style>
  <w:style w:type="paragraph" w:customStyle="1" w:styleId="SummaryTableEndnoteSeparator">
    <w:name w:val="Summary Table Endnote Separator"/>
    <w:basedOn w:val="Normal"/>
    <w:rsid w:val="00D75424"/>
    <w:pPr>
      <w:keepLines/>
      <w:autoSpaceDE/>
      <w:autoSpaceDN/>
      <w:adjustRightInd/>
      <w:spacing w:line="20" w:lineRule="exact"/>
      <w:jc w:val="both"/>
    </w:pPr>
    <w:rPr>
      <w:rFonts w:ascii="Book Antiqua" w:hAnsi="Book Antiqua" w:cs="Times New Roman"/>
      <w:sz w:val="2"/>
      <w:lang w:val="en-AU"/>
    </w:rPr>
  </w:style>
  <w:style w:type="paragraph" w:customStyle="1" w:styleId="SubthemeTitle">
    <w:name w:val="Subtheme Title"/>
    <w:basedOn w:val="SummaryAgencyTitle-BP2Theme"/>
    <w:rsid w:val="00D75424"/>
    <w:pPr>
      <w:spacing w:before="120"/>
    </w:pPr>
    <w:rPr>
      <w:b/>
    </w:rPr>
  </w:style>
  <w:style w:type="paragraph" w:customStyle="1" w:styleId="SubthemeSubtotal">
    <w:name w:val="Subtheme Subtotal"/>
    <w:basedOn w:val="Summarytabletextleftalignedbold"/>
    <w:rsid w:val="00D75424"/>
  </w:style>
  <w:style w:type="paragraph" w:styleId="EndnoteText">
    <w:name w:val="endnote text"/>
    <w:basedOn w:val="ChartandTableFootnote"/>
    <w:link w:val="EndnoteTextChar"/>
    <w:rsid w:val="00641EAF"/>
    <w:pPr>
      <w:spacing w:before="30"/>
      <w:ind w:left="397" w:hanging="284"/>
    </w:pPr>
  </w:style>
  <w:style w:type="paragraph" w:customStyle="1" w:styleId="AgencyNameContinued">
    <w:name w:val="AgencyNameContinued"/>
    <w:basedOn w:val="SummaryPortfolioTitle-BP2"/>
    <w:next w:val="Normal"/>
    <w:rsid w:val="00D75424"/>
    <w:rPr>
      <w:rFonts w:ascii="Helvetica" w:hAnsi="Helvetica"/>
      <w:caps w:val="0"/>
      <w:szCs w:val="16"/>
    </w:rPr>
  </w:style>
  <w:style w:type="paragraph" w:customStyle="1" w:styleId="MeasureTypeHeading">
    <w:name w:val="MeasureTypeHeading"/>
    <w:basedOn w:val="MeasureType"/>
    <w:rsid w:val="00D75424"/>
  </w:style>
  <w:style w:type="paragraph" w:customStyle="1" w:styleId="TableSummaryHeading">
    <w:name w:val="TableSummaryHeading"/>
    <w:basedOn w:val="PortfolioName"/>
    <w:rsid w:val="00D75424"/>
  </w:style>
  <w:style w:type="character" w:styleId="EndnoteReference">
    <w:name w:val="endnote reference"/>
    <w:rsid w:val="00D75424"/>
    <w:rPr>
      <w:vertAlign w:val="baseline"/>
    </w:rPr>
  </w:style>
  <w:style w:type="paragraph" w:customStyle="1" w:styleId="SummaryAgencyTitle-BP2">
    <w:name w:val="Summary Agency Title - BP2"/>
    <w:aliases w:val="The"/>
    <w:basedOn w:val="Normal"/>
    <w:rsid w:val="00D75424"/>
    <w:pPr>
      <w:keepLines/>
      <w:autoSpaceDE/>
      <w:autoSpaceDN/>
      <w:adjustRightInd/>
      <w:spacing w:before="20" w:after="20"/>
      <w:ind w:left="113" w:right="113" w:hanging="113"/>
    </w:pPr>
    <w:rPr>
      <w:i/>
      <w:sz w:val="16"/>
      <w:szCs w:val="16"/>
      <w:lang w:val="en-AU"/>
    </w:rPr>
  </w:style>
  <w:style w:type="paragraph" w:customStyle="1" w:styleId="FootnoteBullet">
    <w:name w:val="Footnote Bullet"/>
    <w:basedOn w:val="Bullet"/>
    <w:rsid w:val="00D75424"/>
    <w:pPr>
      <w:numPr>
        <w:numId w:val="39"/>
      </w:numPr>
      <w:spacing w:after="0" w:line="240" w:lineRule="auto"/>
    </w:pPr>
    <w:rPr>
      <w:rFonts w:ascii="Arial" w:hAnsi="Arial"/>
      <w:i/>
      <w:sz w:val="16"/>
    </w:rPr>
  </w:style>
  <w:style w:type="paragraph" w:customStyle="1" w:styleId="MeasureTypeCont">
    <w:name w:val="MeasureTypeCont"/>
    <w:basedOn w:val="Normal"/>
    <w:rsid w:val="00D75424"/>
    <w:pPr>
      <w:autoSpaceDE/>
      <w:autoSpaceDN/>
      <w:adjustRightInd/>
      <w:spacing w:before="120" w:after="20"/>
      <w:ind w:right="113"/>
    </w:pPr>
    <w:rPr>
      <w:rFonts w:cs="Times New Roman"/>
      <w:b/>
      <w:caps/>
      <w:sz w:val="16"/>
      <w:lang w:val="en-AU"/>
    </w:rPr>
  </w:style>
  <w:style w:type="paragraph" w:customStyle="1" w:styleId="TPHeading3bold">
    <w:name w:val="TP Heading 3 bold"/>
    <w:basedOn w:val="TPHeading3"/>
    <w:rsid w:val="00D75424"/>
    <w:rPr>
      <w:rFonts w:cs="Arial"/>
      <w:b/>
      <w:sz w:val="22"/>
      <w:szCs w:val="22"/>
    </w:rPr>
  </w:style>
  <w:style w:type="paragraph" w:customStyle="1" w:styleId="TPHEADING3boldspace">
    <w:name w:val="TP HEADING 3 bold space"/>
    <w:basedOn w:val="TPHeading3bold"/>
    <w:rsid w:val="00D75424"/>
    <w:pPr>
      <w:spacing w:after="120"/>
    </w:pPr>
  </w:style>
  <w:style w:type="paragraph" w:customStyle="1" w:styleId="TPHEADING3space">
    <w:name w:val="TP HEADING 3 space"/>
    <w:basedOn w:val="TPHeading3"/>
    <w:rsid w:val="00D75424"/>
    <w:pPr>
      <w:spacing w:before="120" w:after="120"/>
    </w:pPr>
    <w:rPr>
      <w:rFonts w:cs="Arial"/>
      <w:sz w:val="22"/>
      <w:szCs w:val="22"/>
    </w:rPr>
  </w:style>
  <w:style w:type="paragraph" w:customStyle="1" w:styleId="TPHeading4">
    <w:name w:val="TP Heading 4"/>
    <w:basedOn w:val="TPHeading3"/>
    <w:rsid w:val="00D75424"/>
    <w:rPr>
      <w:sz w:val="20"/>
    </w:rPr>
  </w:style>
  <w:style w:type="paragraph" w:customStyle="1" w:styleId="TPHEADING4space">
    <w:name w:val="TP HEADING 4 space"/>
    <w:basedOn w:val="TPHEADING3space"/>
    <w:rsid w:val="00D75424"/>
  </w:style>
  <w:style w:type="paragraph" w:customStyle="1" w:styleId="SourceBox">
    <w:name w:val="Source Box"/>
    <w:basedOn w:val="Source"/>
    <w:rsid w:val="00D75424"/>
    <w:pPr>
      <w:tabs>
        <w:tab w:val="left" w:pos="284"/>
      </w:tabs>
      <w:spacing w:after="120"/>
    </w:pPr>
  </w:style>
  <w:style w:type="character" w:customStyle="1" w:styleId="A5">
    <w:name w:val="A5"/>
    <w:uiPriority w:val="99"/>
    <w:rsid w:val="00D75424"/>
    <w:rPr>
      <w:rFonts w:cs="Swiss 721 BT"/>
      <w:color w:val="000000"/>
      <w:sz w:val="20"/>
      <w:szCs w:val="20"/>
    </w:rPr>
  </w:style>
  <w:style w:type="character" w:styleId="Hyperlink">
    <w:name w:val="Hyperlink"/>
    <w:uiPriority w:val="99"/>
    <w:unhideWhenUsed/>
    <w:rsid w:val="00D75424"/>
    <w:rPr>
      <w:color w:val="0000FF"/>
      <w:u w:val="single"/>
    </w:rPr>
  </w:style>
  <w:style w:type="paragraph" w:styleId="BalloonText">
    <w:name w:val="Balloon Text"/>
    <w:basedOn w:val="Normal"/>
    <w:link w:val="BalloonTextChar"/>
    <w:rsid w:val="00D75424"/>
    <w:pPr>
      <w:autoSpaceDE/>
      <w:autoSpaceDN/>
      <w:adjustRightInd/>
      <w:jc w:val="both"/>
    </w:pPr>
    <w:rPr>
      <w:rFonts w:ascii="Tahoma" w:hAnsi="Tahoma" w:cs="Tahoma"/>
      <w:sz w:val="16"/>
      <w:szCs w:val="16"/>
      <w:lang w:val="en-AU"/>
    </w:rPr>
  </w:style>
  <w:style w:type="character" w:customStyle="1" w:styleId="BalloonTextChar">
    <w:name w:val="Balloon Text Char"/>
    <w:link w:val="BalloonText"/>
    <w:rsid w:val="00D75424"/>
    <w:rPr>
      <w:rFonts w:ascii="Tahoma" w:hAnsi="Tahoma" w:cs="Tahoma"/>
      <w:sz w:val="16"/>
      <w:szCs w:val="16"/>
    </w:rPr>
  </w:style>
  <w:style w:type="paragraph" w:styleId="NormalWeb">
    <w:name w:val="Normal (Web)"/>
    <w:basedOn w:val="Normal"/>
    <w:rsid w:val="00D75424"/>
    <w:pPr>
      <w:keepLines/>
      <w:autoSpaceDE/>
      <w:autoSpaceDN/>
      <w:adjustRightInd/>
      <w:spacing w:after="240" w:line="260" w:lineRule="exact"/>
      <w:jc w:val="both"/>
    </w:pPr>
    <w:rPr>
      <w:rFonts w:ascii="Times New Roman" w:hAnsi="Times New Roman" w:cs="Times New Roman"/>
      <w:sz w:val="24"/>
      <w:szCs w:val="24"/>
      <w:lang w:val="en-AU"/>
    </w:rPr>
  </w:style>
  <w:style w:type="paragraph" w:customStyle="1" w:styleId="AgencyNameContinuedAllcaps">
    <w:name w:val="AgencyNameContinued + All caps"/>
    <w:basedOn w:val="AgencyNameContinued"/>
    <w:qFormat/>
    <w:rsid w:val="00D75424"/>
  </w:style>
  <w:style w:type="character" w:customStyle="1" w:styleId="ClosingChar">
    <w:name w:val="Closing Char"/>
    <w:link w:val="Closing"/>
    <w:rsid w:val="00D75424"/>
    <w:rPr>
      <w:rFonts w:ascii="Book Antiqua" w:hAnsi="Book Antiqua"/>
    </w:rPr>
  </w:style>
  <w:style w:type="character" w:customStyle="1" w:styleId="EndnoteTextChar">
    <w:name w:val="Endnote Text Char"/>
    <w:link w:val="EndnoteText"/>
    <w:rsid w:val="00641EAF"/>
    <w:rPr>
      <w:rFonts w:ascii="Arial" w:hAnsi="Arial"/>
      <w:color w:val="000000"/>
      <w:sz w:val="16"/>
    </w:rPr>
  </w:style>
  <w:style w:type="character" w:customStyle="1" w:styleId="FooterChar">
    <w:name w:val="Footer Char"/>
    <w:link w:val="Footer"/>
    <w:rsid w:val="00D75424"/>
    <w:rPr>
      <w:rFonts w:ascii="Arial" w:hAnsi="Arial"/>
      <w:color w:val="000000"/>
    </w:rPr>
  </w:style>
  <w:style w:type="character" w:customStyle="1" w:styleId="FootnoteTextChar">
    <w:name w:val="Footnote Text Char"/>
    <w:link w:val="FootnoteText"/>
    <w:semiHidden/>
    <w:rsid w:val="00D75424"/>
    <w:rPr>
      <w:rFonts w:ascii="Book Antiqua" w:hAnsi="Book Antiqua"/>
      <w:color w:val="000000"/>
      <w:sz w:val="18"/>
    </w:rPr>
  </w:style>
  <w:style w:type="character" w:customStyle="1" w:styleId="HeaderChar">
    <w:name w:val="Header Char"/>
    <w:link w:val="Header"/>
    <w:rsid w:val="00D75424"/>
    <w:rPr>
      <w:rFonts w:ascii="Book Antiqua" w:hAnsi="Book Antiqua"/>
      <w:i/>
    </w:rPr>
  </w:style>
  <w:style w:type="character" w:customStyle="1" w:styleId="Heading1Char">
    <w:name w:val="Heading 1 Char"/>
    <w:link w:val="Heading1"/>
    <w:rsid w:val="00AF39AE"/>
    <w:rPr>
      <w:rFonts w:ascii="Arial" w:hAnsi="Arial"/>
      <w:b/>
      <w:kern w:val="28"/>
      <w:sz w:val="36"/>
    </w:rPr>
  </w:style>
  <w:style w:type="character" w:customStyle="1" w:styleId="Heading2Char">
    <w:name w:val="Heading 2 Char"/>
    <w:link w:val="Heading2"/>
    <w:rsid w:val="00BA0F20"/>
    <w:rPr>
      <w:rFonts w:ascii="Arial" w:hAnsi="Arial"/>
      <w:b/>
      <w:color w:val="000000"/>
      <w:sz w:val="26"/>
    </w:rPr>
  </w:style>
  <w:style w:type="character" w:customStyle="1" w:styleId="Heading3Char">
    <w:name w:val="Heading 3 Char"/>
    <w:link w:val="Heading3"/>
    <w:rsid w:val="00BA0F20"/>
    <w:rPr>
      <w:rFonts w:ascii="Arial Bold" w:hAnsi="Arial Bold"/>
      <w:b/>
      <w:color w:val="000000"/>
      <w:sz w:val="22"/>
    </w:rPr>
  </w:style>
  <w:style w:type="character" w:customStyle="1" w:styleId="Heading4Char">
    <w:name w:val="Heading 4 Char"/>
    <w:link w:val="Heading4"/>
    <w:rsid w:val="00D75424"/>
    <w:rPr>
      <w:rFonts w:ascii="Arial" w:hAnsi="Arial"/>
      <w:b/>
      <w:color w:val="000000"/>
      <w:sz w:val="22"/>
    </w:rPr>
  </w:style>
  <w:style w:type="character" w:customStyle="1" w:styleId="Heading5Char">
    <w:name w:val="Heading 5 Char"/>
    <w:link w:val="Heading5"/>
    <w:rsid w:val="00D75424"/>
    <w:rPr>
      <w:rFonts w:ascii="Arial" w:hAnsi="Arial"/>
      <w:b/>
      <w:color w:val="000000"/>
    </w:rPr>
  </w:style>
  <w:style w:type="character" w:customStyle="1" w:styleId="Heading6Char">
    <w:name w:val="Heading 6 Char"/>
    <w:link w:val="Heading6"/>
    <w:rsid w:val="00D75424"/>
    <w:rPr>
      <w:rFonts w:ascii="Arial" w:hAnsi="Arial"/>
      <w:color w:val="000000"/>
    </w:rPr>
  </w:style>
  <w:style w:type="character" w:customStyle="1" w:styleId="Heading7Char">
    <w:name w:val="Heading 7 Char"/>
    <w:link w:val="Heading7"/>
    <w:rsid w:val="00D75424"/>
    <w:rPr>
      <w:rFonts w:ascii="Arial" w:hAnsi="Arial"/>
      <w:color w:val="000000"/>
      <w:sz w:val="18"/>
    </w:rPr>
  </w:style>
  <w:style w:type="character" w:customStyle="1" w:styleId="Heading8Char">
    <w:name w:val="Heading 8 Char"/>
    <w:link w:val="Heading8"/>
    <w:rsid w:val="00D75424"/>
    <w:rPr>
      <w:rFonts w:ascii="Arial" w:hAnsi="Arial"/>
      <w:i/>
    </w:rPr>
  </w:style>
  <w:style w:type="paragraph" w:customStyle="1" w:styleId="MeasureTableTextRightAlignedBefore6ptAfter1pt">
    <w:name w:val="Measure Table Text Right Aligned + Before:  6 pt After:  1 pt"/>
    <w:basedOn w:val="MeasureTableTextRightAligned"/>
    <w:rsid w:val="00D75424"/>
    <w:pPr>
      <w:spacing w:before="120" w:after="20"/>
    </w:pPr>
    <w:rPr>
      <w:iCs/>
      <w:noProof/>
      <w:color w:val="000000"/>
      <w:szCs w:val="16"/>
    </w:rPr>
  </w:style>
  <w:style w:type="paragraph" w:customStyle="1" w:styleId="Style15">
    <w:name w:val="Style15"/>
    <w:basedOn w:val="Normal"/>
    <w:uiPriority w:val="99"/>
    <w:rsid w:val="00D75424"/>
    <w:pPr>
      <w:widowControl w:val="0"/>
      <w:tabs>
        <w:tab w:val="center" w:pos="3854"/>
      </w:tabs>
    </w:pPr>
  </w:style>
  <w:style w:type="paragraph" w:customStyle="1" w:styleId="SummarytabletextleftalignedHelveticaBoldAllcaps">
    <w:name w:val="Summary table text left aligned + Helvetica Bold All caps ..."/>
    <w:basedOn w:val="Summarytabletextleftaligned"/>
    <w:rsid w:val="00D75424"/>
    <w:pPr>
      <w:spacing w:before="120"/>
    </w:pPr>
    <w:rPr>
      <w:b/>
      <w:iCs/>
    </w:rPr>
  </w:style>
  <w:style w:type="paragraph" w:customStyle="1" w:styleId="SummarytabletextleftalignedRightRight01cm">
    <w:name w:val="Summary table text left aligned + Right Right:  0.1 cm"/>
    <w:basedOn w:val="Summarytabletextleftaligned"/>
    <w:rsid w:val="00D75424"/>
    <w:pPr>
      <w:ind w:right="57"/>
      <w:jc w:val="right"/>
    </w:pPr>
    <w:rPr>
      <w:iCs/>
    </w:rPr>
  </w:style>
  <w:style w:type="paragraph" w:customStyle="1" w:styleId="SummarytabletextleftalignedRight01cm">
    <w:name w:val="Summary table text left aligned + Right:  0.1 cm"/>
    <w:basedOn w:val="Summarytabletextleftaligned"/>
    <w:qFormat/>
    <w:rsid w:val="00D75424"/>
    <w:pPr>
      <w:widowControl w:val="0"/>
      <w:tabs>
        <w:tab w:val="center" w:pos="3853"/>
      </w:tabs>
    </w:pPr>
  </w:style>
  <w:style w:type="paragraph" w:customStyle="1" w:styleId="Normal2">
    <w:name w:val="Normal2"/>
    <w:qFormat/>
    <w:rsid w:val="00657384"/>
    <w:pPr>
      <w:spacing w:before="120" w:after="120" w:line="240" w:lineRule="exact"/>
    </w:pPr>
    <w:rPr>
      <w:rFonts w:ascii="Book Antiqua" w:hAnsi="Book Antiqua"/>
      <w:sz w:val="19"/>
    </w:rPr>
  </w:style>
  <w:style w:type="paragraph" w:customStyle="1" w:styleId="FooterOdd">
    <w:name w:val="Footer Odd"/>
    <w:basedOn w:val="FooterBase"/>
    <w:qFormat/>
    <w:rsid w:val="00FD0E02"/>
    <w:pPr>
      <w:pBdr>
        <w:top w:val="single" w:sz="4" w:space="10" w:color="002A54"/>
      </w:pBdr>
      <w:tabs>
        <w:tab w:val="center" w:pos="4153"/>
        <w:tab w:val="right" w:pos="8306"/>
      </w:tabs>
      <w:jc w:val="right"/>
    </w:pPr>
  </w:style>
  <w:style w:type="paragraph" w:customStyle="1" w:styleId="FooterEven">
    <w:name w:val="Footer Even"/>
    <w:basedOn w:val="FooterOdd"/>
    <w:qFormat/>
    <w:rsid w:val="00EA0EDB"/>
    <w:pPr>
      <w:jc w:val="left"/>
    </w:pPr>
  </w:style>
  <w:style w:type="paragraph" w:customStyle="1" w:styleId="StyleBulletBefore5ptAfter5pt">
    <w:name w:val="Style Bullet + Before:  5 pt After:  5 pt"/>
    <w:basedOn w:val="Bullet"/>
    <w:rsid w:val="00B91FEB"/>
    <w:pPr>
      <w:spacing w:before="60" w:after="100"/>
    </w:pPr>
  </w:style>
  <w:style w:type="paragraph" w:customStyle="1" w:styleId="SingleParagraph">
    <w:name w:val="Single Paragraph"/>
    <w:basedOn w:val="Normal"/>
    <w:rsid w:val="00FD4461"/>
    <w:pPr>
      <w:spacing w:line="226" w:lineRule="exact"/>
    </w:pPr>
    <w:rPr>
      <w:rFonts w:cs="Times New Roman"/>
      <w:sz w:val="16"/>
    </w:rPr>
  </w:style>
  <w:style w:type="table" w:styleId="TableGrid">
    <w:name w:val="Table Grid"/>
    <w:basedOn w:val="TableNormal"/>
    <w:rsid w:val="00546B64"/>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0ADB"/>
    <w:rPr>
      <w:rFonts w:ascii="Arial" w:hAnsi="Arial" w:cs="Arial"/>
      <w:lang w:val="en-US"/>
    </w:rPr>
  </w:style>
  <w:style w:type="character" w:styleId="CommentReference">
    <w:name w:val="annotation reference"/>
    <w:basedOn w:val="DefaultParagraphFont"/>
    <w:semiHidden/>
    <w:unhideWhenUsed/>
    <w:rsid w:val="004B2B48"/>
    <w:rPr>
      <w:sz w:val="16"/>
      <w:szCs w:val="16"/>
    </w:rPr>
  </w:style>
  <w:style w:type="paragraph" w:styleId="CommentText">
    <w:name w:val="annotation text"/>
    <w:basedOn w:val="Normal"/>
    <w:link w:val="CommentTextChar"/>
    <w:unhideWhenUsed/>
    <w:rsid w:val="004B2B48"/>
  </w:style>
  <w:style w:type="character" w:customStyle="1" w:styleId="CommentTextChar">
    <w:name w:val="Comment Text Char"/>
    <w:basedOn w:val="DefaultParagraphFont"/>
    <w:link w:val="CommentText"/>
    <w:rsid w:val="004B2B48"/>
    <w:rPr>
      <w:rFonts w:ascii="Arial" w:hAnsi="Arial" w:cs="Arial"/>
      <w:lang w:val="en-US"/>
    </w:rPr>
  </w:style>
  <w:style w:type="paragraph" w:styleId="CommentSubject">
    <w:name w:val="annotation subject"/>
    <w:basedOn w:val="CommentText"/>
    <w:next w:val="CommentText"/>
    <w:link w:val="CommentSubjectChar"/>
    <w:semiHidden/>
    <w:unhideWhenUsed/>
    <w:rsid w:val="004B2B48"/>
    <w:rPr>
      <w:b/>
      <w:bCs/>
    </w:rPr>
  </w:style>
  <w:style w:type="character" w:customStyle="1" w:styleId="CommentSubjectChar">
    <w:name w:val="Comment Subject Char"/>
    <w:basedOn w:val="CommentTextChar"/>
    <w:link w:val="CommentSubject"/>
    <w:semiHidden/>
    <w:rsid w:val="004B2B48"/>
    <w:rPr>
      <w:rFonts w:ascii="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8.xml"/><Relationship Id="rId85" Type="http://schemas.openxmlformats.org/officeDocument/2006/relationships/header" Target="header40.xml"/><Relationship Id="rId150" Type="http://schemas.openxmlformats.org/officeDocument/2006/relationships/footer" Target="footer72.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header" Target="header7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51" Type="http://schemas.openxmlformats.org/officeDocument/2006/relationships/fontTable" Target="fontTable.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header" Target="header7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90" Type="http://schemas.openxmlformats.org/officeDocument/2006/relationships/footer" Target="footer4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2.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35687</Words>
  <Characters>201186</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236401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Appendix A: Policy decisions taken since the 2025 PEFO</dc:subject>
  <dc:creator>Australian Government</dc:creator>
  <cp:keywords/>
  <cp:lastModifiedBy/>
  <cp:revision>1</cp:revision>
  <dcterms:created xsi:type="dcterms:W3CDTF">2025-12-15T22:47:00Z</dcterms:created>
  <dcterms:modified xsi:type="dcterms:W3CDTF">2025-12-15T22:47:00Z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2025-12-15T22:47:05Z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26f7a614-2b26-4c11-9f8e-9a17df16d929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