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1F35" w14:textId="77777777" w:rsidR="00316D2C" w:rsidRDefault="00316D2C" w:rsidP="00316D2C">
      <w:pPr>
        <w:pStyle w:val="Heading1"/>
      </w:pPr>
      <w:r w:rsidRPr="00F53D3C">
        <w:t>Notes</w:t>
      </w:r>
    </w:p>
    <w:p w14:paraId="4C08E45C" w14:textId="5D75F4BC" w:rsidR="00316D2C" w:rsidRPr="00F30ACB" w:rsidRDefault="00316D2C" w:rsidP="00316D2C">
      <w:pPr>
        <w:pStyle w:val="Listalpha"/>
      </w:pPr>
      <w:r w:rsidRPr="00F30ACB">
        <w:t>The following definitions are used in this Mid</w:t>
      </w:r>
      <w:r w:rsidR="00EB3035">
        <w:noBreakHyphen/>
      </w:r>
      <w:r w:rsidRPr="00F30ACB">
        <w:t>Year Economic and Fiscal Outlook (MYEFO):</w:t>
      </w:r>
    </w:p>
    <w:p w14:paraId="0C2D686E" w14:textId="01F3BC9E" w:rsidR="00316D2C" w:rsidRPr="00E07B44" w:rsidRDefault="00EB3035" w:rsidP="00316D2C">
      <w:pPr>
        <w:pStyle w:val="Dashalpha"/>
      </w:pPr>
      <w:r>
        <w:t>‘</w:t>
      </w:r>
      <w:r w:rsidR="00316D2C" w:rsidRPr="00E07B44">
        <w:t>real</w:t>
      </w:r>
      <w:r>
        <w:t>’</w:t>
      </w:r>
      <w:r w:rsidR="00316D2C" w:rsidRPr="00E07B44">
        <w:t xml:space="preserve"> means adjusted for the effect of inflation</w:t>
      </w:r>
    </w:p>
    <w:p w14:paraId="450BF09E" w14:textId="77777777" w:rsidR="00316D2C" w:rsidRPr="00E07B44" w:rsidRDefault="00316D2C" w:rsidP="00316D2C">
      <w:pPr>
        <w:pStyle w:val="Dashalpha"/>
      </w:pPr>
      <w:r w:rsidRPr="00E07B44">
        <w:t xml:space="preserve">real growth in expenses and payments is calculated </w:t>
      </w:r>
      <w:r>
        <w:t>using</w:t>
      </w:r>
      <w:r w:rsidRPr="00E07B44">
        <w:t xml:space="preserve"> the Consumer Price Index (CPI) as the deflator</w:t>
      </w:r>
    </w:p>
    <w:p w14:paraId="761AC120" w14:textId="3697C56D" w:rsidR="00316D2C" w:rsidRPr="00E07B44" w:rsidRDefault="00316D2C" w:rsidP="00316D2C">
      <w:pPr>
        <w:pStyle w:val="Dashalpha"/>
      </w:pPr>
      <w:r w:rsidRPr="00E07B44">
        <w:t>the Budget year refers to 202</w:t>
      </w:r>
      <w:r w:rsidR="00191DDA">
        <w:t>5</w:t>
      </w:r>
      <w:r w:rsidRPr="00E07B44">
        <w:t>–2</w:t>
      </w:r>
      <w:r w:rsidR="00191DDA">
        <w:t>6</w:t>
      </w:r>
      <w:r w:rsidRPr="00E07B44">
        <w:t>, while the forward years refer to 202</w:t>
      </w:r>
      <w:r w:rsidR="00191DDA">
        <w:t>6</w:t>
      </w:r>
      <w:r w:rsidRPr="00E07B44">
        <w:t>–2</w:t>
      </w:r>
      <w:r w:rsidR="00191DDA">
        <w:t>7</w:t>
      </w:r>
      <w:r w:rsidRPr="00E07B44">
        <w:t>, 202</w:t>
      </w:r>
      <w:r w:rsidR="00367165">
        <w:t>7</w:t>
      </w:r>
      <w:r w:rsidRPr="00E07B44">
        <w:rPr>
          <w:rFonts w:ascii="Times New Roman" w:hAnsi="Times New Roman"/>
        </w:rPr>
        <w:t>‍</w:t>
      </w:r>
      <w:r w:rsidR="00187BA0" w:rsidRPr="00E07B44">
        <w:t>–</w:t>
      </w:r>
      <w:r w:rsidRPr="00E07B44">
        <w:rPr>
          <w:rFonts w:ascii="Times New Roman" w:hAnsi="Times New Roman"/>
        </w:rPr>
        <w:t>‍</w:t>
      </w:r>
      <w:r w:rsidRPr="00E07B44">
        <w:t>2</w:t>
      </w:r>
      <w:r w:rsidR="00367165">
        <w:t>8</w:t>
      </w:r>
      <w:r w:rsidRPr="00E07B44">
        <w:t xml:space="preserve"> and 202</w:t>
      </w:r>
      <w:r w:rsidR="00367165">
        <w:t>8</w:t>
      </w:r>
      <w:r w:rsidRPr="00E07B44">
        <w:t>–2</w:t>
      </w:r>
      <w:r w:rsidR="00367165">
        <w:t>9</w:t>
      </w:r>
    </w:p>
    <w:p w14:paraId="7B6FDFC2" w14:textId="77777777" w:rsidR="00316D2C" w:rsidRPr="00E07B44" w:rsidRDefault="00316D2C" w:rsidP="00316D2C">
      <w:pPr>
        <w:pStyle w:val="Dashalpha"/>
      </w:pPr>
      <w:r w:rsidRPr="00E07B44">
        <w:t>one billion is equal to one thousand million.</w:t>
      </w:r>
    </w:p>
    <w:p w14:paraId="0DE80E7D" w14:textId="77777777" w:rsidR="00316D2C" w:rsidRPr="00E07B44" w:rsidRDefault="00316D2C" w:rsidP="00316D2C">
      <w:pPr>
        <w:pStyle w:val="Listalpha"/>
      </w:pPr>
      <w:r w:rsidRPr="00E07B44">
        <w:t>Figures in tables and generally in the text have been rounded. Discrepancies in tables between totals and sums of components are due to rounding.</w:t>
      </w:r>
    </w:p>
    <w:p w14:paraId="1A809260" w14:textId="77777777" w:rsidR="00316D2C" w:rsidRPr="00FA4F2B" w:rsidRDefault="00316D2C" w:rsidP="00316D2C">
      <w:pPr>
        <w:pStyle w:val="Dashalpha"/>
      </w:pPr>
      <w:r w:rsidRPr="00FA4F2B">
        <w:t>Estimates under $100,000 are rounded to the nearest thousand.</w:t>
      </w:r>
    </w:p>
    <w:p w14:paraId="517C32DB" w14:textId="77777777" w:rsidR="00316D2C" w:rsidRPr="00FA4F2B" w:rsidRDefault="00316D2C" w:rsidP="00316D2C">
      <w:pPr>
        <w:pStyle w:val="Dashalpha"/>
      </w:pPr>
      <w:r w:rsidRPr="00FA4F2B">
        <w:t>Estimates $100,000 and over are generally rounded to the nearest tenth of a</w:t>
      </w:r>
      <w:r>
        <w:t> </w:t>
      </w:r>
      <w:r w:rsidRPr="00FA4F2B">
        <w:t>million.</w:t>
      </w:r>
    </w:p>
    <w:p w14:paraId="24B7EE6D" w14:textId="77777777" w:rsidR="00316D2C" w:rsidRPr="00FA4F2B" w:rsidRDefault="00316D2C" w:rsidP="00316D2C">
      <w:pPr>
        <w:pStyle w:val="Dashalpha"/>
      </w:pPr>
      <w:r w:rsidRPr="00FA4F2B">
        <w:t>Estimates midway between rounding points are rounded up.</w:t>
      </w:r>
    </w:p>
    <w:p w14:paraId="3F429088" w14:textId="77777777" w:rsidR="00316D2C" w:rsidRPr="00FA4F2B" w:rsidRDefault="00316D2C" w:rsidP="00316D2C">
      <w:pPr>
        <w:pStyle w:val="Dashalpha"/>
      </w:pPr>
      <w:r w:rsidRPr="00FA4F2B">
        <w:t>The percentage changes in statistical tables are calculated using unrounded data.</w:t>
      </w:r>
    </w:p>
    <w:p w14:paraId="77AF8F70" w14:textId="77777777" w:rsidR="00316D2C" w:rsidRPr="00F53D3C" w:rsidRDefault="00316D2C" w:rsidP="00316D2C">
      <w:pPr>
        <w:pStyle w:val="Listalpha"/>
      </w:pPr>
      <w:r w:rsidRPr="00F53D3C">
        <w:t>For the budget balance, a negative sign indicates a deficit while no sign indicates a</w:t>
      </w:r>
      <w:r>
        <w:t> </w:t>
      </w:r>
      <w:r w:rsidRPr="00F53D3C">
        <w:t>surplus.</w:t>
      </w:r>
    </w:p>
    <w:p w14:paraId="251EBA51" w14:textId="77777777" w:rsidR="00316D2C" w:rsidRDefault="00316D2C" w:rsidP="00316D2C">
      <w:pPr>
        <w:pStyle w:val="Listalpha"/>
      </w:pPr>
      <w:r w:rsidRPr="00F53D3C">
        <w:t>The following notations are used:</w:t>
      </w:r>
    </w:p>
    <w:p w14:paraId="7954B28B" w14:textId="13AC063C" w:rsidR="00F40032" w:rsidRPr="00784B15" w:rsidRDefault="00EB3035" w:rsidP="00784B15">
      <w:pPr>
        <w:pStyle w:val="Indentalpha"/>
        <w:spacing w:before="120" w:after="160"/>
      </w:pPr>
      <w:bookmarkStart w:id="0" w:name="_Hlk211265476"/>
      <w:r>
        <w:noBreakHyphen/>
      </w:r>
      <w:r w:rsidR="00F40032" w:rsidRPr="00784B15">
        <w:tab/>
        <w:t>nil</w:t>
      </w:r>
    </w:p>
    <w:p w14:paraId="41526AEB" w14:textId="77777777" w:rsidR="00F40032" w:rsidRPr="00784B15" w:rsidRDefault="00F40032" w:rsidP="00784B15">
      <w:pPr>
        <w:pStyle w:val="Indentalpha"/>
        <w:spacing w:before="120" w:after="160"/>
      </w:pPr>
      <w:r w:rsidRPr="00784B15">
        <w:t>na</w:t>
      </w:r>
      <w:r w:rsidRPr="00784B15">
        <w:tab/>
        <w:t>not applicable (unless otherwise specified)</w:t>
      </w:r>
    </w:p>
    <w:p w14:paraId="64F81DF0" w14:textId="273FA737" w:rsidR="00F40032" w:rsidRPr="00784B15" w:rsidRDefault="00F40032" w:rsidP="00784B15">
      <w:pPr>
        <w:pStyle w:val="Indentalpha"/>
        <w:spacing w:before="120" w:after="160"/>
      </w:pPr>
      <w:r w:rsidRPr="00784B15">
        <w:t>..</w:t>
      </w:r>
      <w:r w:rsidRPr="00784B15">
        <w:tab/>
        <w:t>not zero, but rounded to zero</w:t>
      </w:r>
    </w:p>
    <w:p w14:paraId="11DC8CEB" w14:textId="77777777" w:rsidR="00F40032" w:rsidRPr="00784B15" w:rsidRDefault="00F40032" w:rsidP="00784B15">
      <w:pPr>
        <w:pStyle w:val="Indentalpha"/>
        <w:spacing w:before="120" w:after="160"/>
      </w:pPr>
      <w:r w:rsidRPr="00784B15">
        <w:t>$m</w:t>
      </w:r>
      <w:r w:rsidRPr="00784B15">
        <w:tab/>
        <w:t>millions of dollars</w:t>
      </w:r>
    </w:p>
    <w:p w14:paraId="5516DB27" w14:textId="77777777" w:rsidR="00F40032" w:rsidRPr="00784B15" w:rsidRDefault="00F40032" w:rsidP="00784B15">
      <w:pPr>
        <w:pStyle w:val="Indentalpha"/>
        <w:spacing w:before="120" w:after="160"/>
      </w:pPr>
      <w:r w:rsidRPr="00784B15">
        <w:t>$b</w:t>
      </w:r>
      <w:r w:rsidRPr="00784B15">
        <w:tab/>
        <w:t>billions of dollars</w:t>
      </w:r>
    </w:p>
    <w:p w14:paraId="68E24174" w14:textId="77777777" w:rsidR="00F40032" w:rsidRPr="00784B15" w:rsidRDefault="00F40032" w:rsidP="00784B15">
      <w:pPr>
        <w:pStyle w:val="Indentalpha"/>
        <w:spacing w:before="120" w:after="160"/>
      </w:pPr>
      <w:r w:rsidRPr="00784B15">
        <w:t>nfp</w:t>
      </w:r>
      <w:r w:rsidRPr="00784B15">
        <w:tab/>
        <w:t>not for publication</w:t>
      </w:r>
    </w:p>
    <w:p w14:paraId="4AF5FA9F" w14:textId="77777777" w:rsidR="00F40032" w:rsidRPr="00784B15" w:rsidRDefault="00F40032" w:rsidP="00784B15">
      <w:pPr>
        <w:pStyle w:val="Indentalpha"/>
        <w:spacing w:before="120" w:after="160"/>
      </w:pPr>
      <w:r w:rsidRPr="00784B15">
        <w:t>(e)</w:t>
      </w:r>
      <w:r w:rsidRPr="00784B15">
        <w:tab/>
        <w:t>estimates (unless otherwise specified)</w:t>
      </w:r>
    </w:p>
    <w:p w14:paraId="599C8CC9" w14:textId="77777777" w:rsidR="00F40032" w:rsidRPr="00784B15" w:rsidRDefault="00F40032" w:rsidP="00784B15">
      <w:pPr>
        <w:pStyle w:val="Indentalpha"/>
        <w:spacing w:before="120" w:after="160"/>
      </w:pPr>
      <w:r w:rsidRPr="00784B15">
        <w:t>(p)</w:t>
      </w:r>
      <w:r w:rsidRPr="00784B15">
        <w:tab/>
        <w:t>projections (unless otherwise specified)</w:t>
      </w:r>
    </w:p>
    <w:p w14:paraId="65D1F1DB" w14:textId="77777777" w:rsidR="00F40032" w:rsidRPr="00784B15" w:rsidRDefault="00F40032" w:rsidP="00784B15">
      <w:pPr>
        <w:pStyle w:val="Indentalpha"/>
        <w:spacing w:before="120" w:after="160"/>
      </w:pPr>
      <w:r w:rsidRPr="00784B15">
        <w:t>NEC/nec</w:t>
      </w:r>
      <w:r w:rsidRPr="00784B15">
        <w:tab/>
        <w:t>not elsewhere classified</w:t>
      </w:r>
    </w:p>
    <w:p w14:paraId="7B87A3D4" w14:textId="61065BAD" w:rsidR="00F40032" w:rsidRPr="00784B15" w:rsidRDefault="00F40032" w:rsidP="00784B15">
      <w:pPr>
        <w:pStyle w:val="Indentalpha"/>
        <w:spacing w:before="120" w:after="160"/>
      </w:pPr>
      <w:r w:rsidRPr="00784B15">
        <w:t>*</w:t>
      </w:r>
      <w:r w:rsidRPr="00784B15">
        <w:tab/>
      </w:r>
      <w:r w:rsidRPr="00784B15">
        <w:rPr>
          <w:spacing w:val="-5"/>
        </w:rPr>
        <w:t>The nature of this measure is such that a reliable estimate cannot be provided.</w:t>
      </w:r>
    </w:p>
    <w:p w14:paraId="4EA56271" w14:textId="7D7EF086" w:rsidR="00F40032" w:rsidRPr="00784B15" w:rsidRDefault="00F40032" w:rsidP="00784B15">
      <w:pPr>
        <w:pStyle w:val="Indentalpha"/>
        <w:spacing w:before="120" w:after="160"/>
      </w:pPr>
      <w:r w:rsidRPr="00784B15">
        <w:t>~</w:t>
      </w:r>
      <w:r w:rsidRPr="00784B15">
        <w:tab/>
        <w:t>allocation not yet determined</w:t>
      </w:r>
      <w:bookmarkEnd w:id="0"/>
    </w:p>
    <w:p w14:paraId="71EF969F" w14:textId="1CDA70DF" w:rsidR="00316D2C" w:rsidRDefault="00316D2C" w:rsidP="00BD2194">
      <w:pPr>
        <w:pStyle w:val="Listalpha"/>
      </w:pPr>
      <w:r w:rsidRPr="00F53D3C">
        <w:lastRenderedPageBreak/>
        <w:t xml:space="preserve">The Australian Capital Territory and the Northern Territory are referred to as </w:t>
      </w:r>
      <w:r w:rsidR="00EB3035">
        <w:t>‘</w:t>
      </w:r>
      <w:r w:rsidRPr="00F53D3C">
        <w:t>the</w:t>
      </w:r>
      <w:r>
        <w:t> </w:t>
      </w:r>
      <w:r w:rsidRPr="00F53D3C">
        <w:t>territories</w:t>
      </w:r>
      <w:r w:rsidR="00EB3035">
        <w:t>’</w:t>
      </w:r>
      <w:r w:rsidRPr="00F53D3C">
        <w:t xml:space="preserve">. References to the </w:t>
      </w:r>
      <w:r w:rsidR="00EB3035">
        <w:t>‘</w:t>
      </w:r>
      <w:r w:rsidRPr="00F53D3C">
        <w:t>states</w:t>
      </w:r>
      <w:r w:rsidR="00EB3035">
        <w:t>’</w:t>
      </w:r>
      <w:r w:rsidRPr="00F53D3C">
        <w:t xml:space="preserve"> or </w:t>
      </w:r>
      <w:r w:rsidR="00EB3035">
        <w:t>‘</w:t>
      </w:r>
      <w:r w:rsidRPr="00F53D3C">
        <w:t>each state</w:t>
      </w:r>
      <w:r w:rsidR="00EB3035">
        <w:t>’</w:t>
      </w:r>
      <w:r w:rsidRPr="00F53D3C">
        <w:t xml:space="preserve"> include the territories. The following abbreviations are used for the names of the states, </w:t>
      </w:r>
      <w:r w:rsidRPr="00BD2194">
        <w:t>where</w:t>
      </w:r>
      <w:r w:rsidRPr="00F53D3C">
        <w:t xml:space="preserve"> appropriate:</w:t>
      </w:r>
    </w:p>
    <w:p w14:paraId="1A3C82E8" w14:textId="77777777" w:rsidR="002D7988" w:rsidRPr="002D7988" w:rsidRDefault="002D7988" w:rsidP="00730998">
      <w:pPr>
        <w:pStyle w:val="Indentalpha"/>
      </w:pPr>
      <w:r w:rsidRPr="002D7988">
        <w:t>NSW</w:t>
      </w:r>
      <w:r w:rsidRPr="002D7988">
        <w:tab/>
        <w:t>New South Wales</w:t>
      </w:r>
    </w:p>
    <w:p w14:paraId="1E76CF0E" w14:textId="77777777" w:rsidR="002D7988" w:rsidRPr="002D7988" w:rsidRDefault="002D7988" w:rsidP="00730998">
      <w:pPr>
        <w:pStyle w:val="Indentalpha"/>
      </w:pPr>
      <w:r w:rsidRPr="002D7988">
        <w:t>VIC</w:t>
      </w:r>
      <w:r w:rsidRPr="002D7988">
        <w:tab/>
        <w:t>Victoria</w:t>
      </w:r>
    </w:p>
    <w:p w14:paraId="4EF21E95" w14:textId="77777777" w:rsidR="002D7988" w:rsidRPr="002D7988" w:rsidRDefault="002D7988" w:rsidP="00730998">
      <w:pPr>
        <w:pStyle w:val="Indentalpha"/>
      </w:pPr>
      <w:r w:rsidRPr="002D7988">
        <w:t>QLD</w:t>
      </w:r>
      <w:r w:rsidRPr="002D7988">
        <w:tab/>
        <w:t>Queensland</w:t>
      </w:r>
    </w:p>
    <w:p w14:paraId="398C1372" w14:textId="77777777" w:rsidR="002D7988" w:rsidRPr="002D7988" w:rsidRDefault="002D7988" w:rsidP="00730998">
      <w:pPr>
        <w:pStyle w:val="Indentalpha"/>
      </w:pPr>
      <w:r w:rsidRPr="002D7988">
        <w:t>WA</w:t>
      </w:r>
      <w:r w:rsidRPr="002D7988">
        <w:tab/>
        <w:t>Western Australia</w:t>
      </w:r>
    </w:p>
    <w:p w14:paraId="4DD2C3AC" w14:textId="77777777" w:rsidR="002D7988" w:rsidRPr="002D7988" w:rsidRDefault="002D7988" w:rsidP="00730998">
      <w:pPr>
        <w:pStyle w:val="Indentalpha"/>
      </w:pPr>
      <w:r w:rsidRPr="002D7988">
        <w:t>SA</w:t>
      </w:r>
      <w:r w:rsidRPr="002D7988">
        <w:tab/>
        <w:t>South Australia</w:t>
      </w:r>
    </w:p>
    <w:p w14:paraId="29A96D5C" w14:textId="77777777" w:rsidR="002D7988" w:rsidRPr="002D7988" w:rsidRDefault="002D7988" w:rsidP="00730998">
      <w:pPr>
        <w:pStyle w:val="Indentalpha"/>
      </w:pPr>
      <w:r w:rsidRPr="002D7988">
        <w:t>TAS</w:t>
      </w:r>
      <w:r w:rsidRPr="002D7988">
        <w:tab/>
        <w:t>Tasmania</w:t>
      </w:r>
    </w:p>
    <w:p w14:paraId="63D52E06" w14:textId="77777777" w:rsidR="002D7988" w:rsidRPr="002D7988" w:rsidRDefault="002D7988" w:rsidP="00730998">
      <w:pPr>
        <w:pStyle w:val="Indentalpha"/>
      </w:pPr>
      <w:r w:rsidRPr="002D7988">
        <w:t>ACT</w:t>
      </w:r>
      <w:r w:rsidRPr="002D7988">
        <w:tab/>
        <w:t>Australian Capital Territory</w:t>
      </w:r>
    </w:p>
    <w:p w14:paraId="07331456" w14:textId="4CB876B9" w:rsidR="00316D2C" w:rsidRDefault="002D7988" w:rsidP="00730998">
      <w:pPr>
        <w:pStyle w:val="Indentalpha"/>
      </w:pPr>
      <w:r w:rsidRPr="002D7988">
        <w:t>NT</w:t>
      </w:r>
      <w:r w:rsidRPr="002D7988">
        <w:tab/>
        <w:t>Northern Territory</w:t>
      </w:r>
    </w:p>
    <w:p w14:paraId="4D9FDC71" w14:textId="77777777" w:rsidR="00316D2C" w:rsidRDefault="00316D2C" w:rsidP="00BD2194">
      <w:pPr>
        <w:pStyle w:val="Listalpha"/>
      </w:pPr>
      <w:r w:rsidRPr="00F53D3C">
        <w:t xml:space="preserve">In this paper the term </w:t>
      </w:r>
      <w:r w:rsidRPr="00BD2194">
        <w:t>Commonwealth</w:t>
      </w:r>
      <w:r w:rsidRPr="00F53D3C">
        <w:t xml:space="preserve"> refers to the Commonwealth of Australia. The</w:t>
      </w:r>
      <w:r>
        <w:t> </w:t>
      </w:r>
      <w:r w:rsidRPr="00F53D3C">
        <w:t>term is used when referring to the legal entity of the Commonwealth of Australia.</w:t>
      </w:r>
    </w:p>
    <w:p w14:paraId="08D8B38B" w14:textId="77777777" w:rsidR="00316D2C" w:rsidRPr="00932518" w:rsidRDefault="00316D2C" w:rsidP="00316D2C">
      <w:pPr>
        <w:pStyle w:val="Listalpha"/>
        <w:numPr>
          <w:ilvl w:val="0"/>
          <w:numId w:val="0"/>
        </w:numPr>
        <w:ind w:left="425"/>
      </w:pPr>
      <w:r w:rsidRPr="00F53D3C">
        <w:t>The term Australian Government is used when referring to the Government and the decisions and activities made by the Government on behalf of the Commonwealth of</w:t>
      </w:r>
      <w:r>
        <w:t> </w:t>
      </w:r>
      <w:r w:rsidRPr="00F53D3C">
        <w:t>Australia.</w:t>
      </w:r>
    </w:p>
    <w:sectPr w:rsidR="00316D2C" w:rsidRPr="00932518" w:rsidSect="00CC6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2098" w:bottom="2466" w:left="2098" w:header="1814" w:footer="1814" w:gutter="0"/>
      <w:pgNumType w:start="3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175A" w14:textId="77777777" w:rsidR="002830AA" w:rsidRDefault="002830AA" w:rsidP="00E40261">
      <w:pPr>
        <w:spacing w:after="0" w:line="240" w:lineRule="auto"/>
      </w:pPr>
      <w:r>
        <w:separator/>
      </w:r>
    </w:p>
  </w:endnote>
  <w:endnote w:type="continuationSeparator" w:id="0">
    <w:p w14:paraId="41398029" w14:textId="77777777" w:rsidR="002830AA" w:rsidRDefault="002830AA" w:rsidP="00E40261">
      <w:pPr>
        <w:spacing w:after="0" w:line="240" w:lineRule="auto"/>
      </w:pPr>
      <w:r>
        <w:continuationSeparator/>
      </w:r>
    </w:p>
  </w:endnote>
  <w:endnote w:type="continuationNotice" w:id="1">
    <w:p w14:paraId="6D82774B" w14:textId="77777777" w:rsidR="002830AA" w:rsidRDefault="002830A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721 BT">
    <w:altName w:val="Swiss 7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3E65" w14:textId="14C5F157" w:rsidR="003C3492" w:rsidRPr="00522D74" w:rsidRDefault="003C3492" w:rsidP="000C54AB">
    <w:pPr>
      <w:pStyle w:val="FooterEven"/>
    </w:pPr>
    <w:r w:rsidRPr="00B3705D">
      <w:rPr>
        <w:b/>
      </w:rPr>
      <w:t xml:space="preserve">Page </w:t>
    </w:r>
    <w:r w:rsidRPr="00B3705D">
      <w:rPr>
        <w:b/>
        <w:bCs/>
      </w:rPr>
      <w:fldChar w:fldCharType="begin"/>
    </w:r>
    <w:r w:rsidRPr="00B3705D">
      <w:rPr>
        <w:b/>
      </w:rPr>
      <w:instrText xml:space="preserve"> PAGE  \* Arabic  \* MERGEFORMAT </w:instrText>
    </w:r>
    <w:r w:rsidRPr="00B3705D">
      <w:rPr>
        <w:b/>
        <w:bCs/>
      </w:rPr>
      <w:fldChar w:fldCharType="separate"/>
    </w:r>
    <w:r>
      <w:rPr>
        <w:b/>
        <w:bCs/>
      </w:rPr>
      <w:t>6</w:t>
    </w:r>
    <w:r w:rsidRPr="00B3705D">
      <w:rPr>
        <w:b/>
        <w:bCs/>
      </w:rPr>
      <w:fldChar w:fldCharType="end"/>
    </w:r>
    <w:r w:rsidRPr="00081542">
      <w:t> | </w:t>
    </w:r>
    <w:fldSimple w:instr=" SUBJECT  \* Caps  \* MERGEFORMAT ">
      <w:r w:rsidR="008F6A40">
        <w:t>Notes</w:t>
      </w:r>
    </w:fldSimple>
    <w:r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4F13" w14:textId="0A1353AC" w:rsidR="003C3492" w:rsidRDefault="008F6A40" w:rsidP="009F3CAB">
    <w:pPr>
      <w:pStyle w:val="FooterOdd"/>
    </w:pPr>
    <w:fldSimple w:instr=" SUBJECT   \* MERGEFORMAT ">
      <w:r>
        <w:t>Notes</w:t>
      </w:r>
    </w:fldSimple>
    <w:r w:rsidR="003C3492" w:rsidRPr="00081542">
      <w:t> | </w:t>
    </w:r>
    <w:r w:rsidR="003C3492" w:rsidRPr="00B3705D">
      <w:rPr>
        <w:b/>
        <w:bCs/>
      </w:rPr>
      <w:t xml:space="preserve">Page </w:t>
    </w:r>
    <w:r w:rsidR="003C3492" w:rsidRPr="00B3705D">
      <w:rPr>
        <w:b/>
        <w:bCs/>
      </w:rPr>
      <w:fldChar w:fldCharType="begin"/>
    </w:r>
    <w:r w:rsidR="003C3492" w:rsidRPr="00B3705D">
      <w:rPr>
        <w:b/>
        <w:bCs/>
      </w:rPr>
      <w:instrText xml:space="preserve"> PAGE  \* Arabic  \* MERGEFORMAT </w:instrText>
    </w:r>
    <w:r w:rsidR="003C3492" w:rsidRPr="00B3705D">
      <w:rPr>
        <w:b/>
        <w:bCs/>
      </w:rPr>
      <w:fldChar w:fldCharType="separate"/>
    </w:r>
    <w:r w:rsidR="003C3492">
      <w:rPr>
        <w:b/>
        <w:bCs/>
      </w:rPr>
      <w:t>1</w:t>
    </w:r>
    <w:r w:rsidR="003C3492" w:rsidRPr="00B3705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7938" w14:textId="10B40439" w:rsidR="003C3492" w:rsidRDefault="008F6A40" w:rsidP="00360947">
    <w:pPr>
      <w:pStyle w:val="FooterOdd"/>
    </w:pPr>
    <w:fldSimple w:instr=" SUBJECT   \* MERGEFORMAT ">
      <w:r>
        <w:t>Notes</w:t>
      </w:r>
    </w:fldSimple>
    <w:r w:rsidR="003C3492" w:rsidRPr="00081542">
      <w:t> | </w:t>
    </w:r>
    <w:r w:rsidR="003C3492" w:rsidRPr="00B3705D">
      <w:rPr>
        <w:b/>
        <w:bCs/>
      </w:rPr>
      <w:t xml:space="preserve">Page </w:t>
    </w:r>
    <w:r w:rsidR="003C3492" w:rsidRPr="00B3705D">
      <w:rPr>
        <w:b/>
        <w:bCs/>
      </w:rPr>
      <w:fldChar w:fldCharType="begin"/>
    </w:r>
    <w:r w:rsidR="003C3492" w:rsidRPr="00B3705D">
      <w:rPr>
        <w:b/>
        <w:bCs/>
      </w:rPr>
      <w:instrText xml:space="preserve"> PAGE  \* Arabic  \* MERGEFORMAT </w:instrText>
    </w:r>
    <w:r w:rsidR="003C3492" w:rsidRPr="00B3705D">
      <w:rPr>
        <w:b/>
        <w:bCs/>
      </w:rPr>
      <w:fldChar w:fldCharType="separate"/>
    </w:r>
    <w:r w:rsidR="003C3492">
      <w:rPr>
        <w:b/>
        <w:bCs/>
      </w:rPr>
      <w:t>1</w:t>
    </w:r>
    <w:r w:rsidR="003C3492" w:rsidRPr="00B3705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BA84" w14:textId="77777777" w:rsidR="002830AA" w:rsidRPr="003C1CA4" w:rsidRDefault="002830AA" w:rsidP="00EB6597">
      <w:pPr>
        <w:spacing w:after="0" w:line="240" w:lineRule="auto"/>
        <w:ind w:right="8277"/>
        <w:rPr>
          <w:rFonts w:asciiTheme="majorHAnsi" w:hAnsiTheme="majorHAnsi"/>
          <w:color w:val="E1E3E6" w:themeColor="background2" w:themeTint="33"/>
        </w:rPr>
      </w:pPr>
      <w:r w:rsidRPr="003C1CA4">
        <w:rPr>
          <w:rFonts w:asciiTheme="majorHAnsi" w:hAnsiTheme="majorHAnsi"/>
          <w:color w:val="E1E3E6" w:themeColor="background2" w:themeTint="33"/>
        </w:rPr>
        <w:t>—</w:t>
      </w:r>
    </w:p>
  </w:footnote>
  <w:footnote w:type="continuationSeparator" w:id="0">
    <w:p w14:paraId="13451951" w14:textId="77777777" w:rsidR="002830AA" w:rsidRDefault="002830AA" w:rsidP="00E40261">
      <w:pPr>
        <w:spacing w:after="0" w:line="240" w:lineRule="auto"/>
      </w:pPr>
      <w:r>
        <w:continuationSeparator/>
      </w:r>
    </w:p>
  </w:footnote>
  <w:footnote w:type="continuationNotice" w:id="1">
    <w:p w14:paraId="6E3EB3A2" w14:textId="77777777" w:rsidR="002830AA" w:rsidRDefault="002830A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B5B3" w14:textId="3B1ACCD3" w:rsidR="003C3492" w:rsidRPr="00AA5439" w:rsidRDefault="003C3492" w:rsidP="00AA5439">
    <w:pPr>
      <w:pStyle w:val="HeaderEven"/>
      <w:rPr>
        <w:sz w:val="2"/>
        <w:szCs w:val="2"/>
      </w:rPr>
    </w:pPr>
  </w:p>
  <w:p w14:paraId="46469175" w14:textId="77777777" w:rsidR="003C3492" w:rsidRPr="00AA5439" w:rsidRDefault="003C3492" w:rsidP="00AA5439">
    <w:pPr>
      <w:pStyle w:val="HeaderEven"/>
      <w:rPr>
        <w:sz w:val="2"/>
        <w:szCs w:val="4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AB5936" w14:paraId="6D8BEFFB" w14:textId="77777777" w:rsidTr="0003382F">
      <w:trPr>
        <w:trHeight w:hRule="exact" w:val="340"/>
      </w:trPr>
      <w:tc>
        <w:tcPr>
          <w:tcW w:w="7797" w:type="dxa"/>
        </w:tcPr>
        <w:p w14:paraId="1C47120B" w14:textId="76240ED8" w:rsidR="00AB5936" w:rsidRPr="008C56E1" w:rsidRDefault="00AB5936" w:rsidP="00F60EA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0FA262C3" wp14:editId="60B1595B">
                <wp:extent cx="864091" cy="198000"/>
                <wp:effectExtent l="0" t="0" r="0" b="0"/>
                <wp:docPr id="66144855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144855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81542">
            <w:t> | </w:t>
          </w:r>
          <w:fldSimple w:instr=" TITLE   \* MERGEFORMAT ">
            <w:r w:rsidR="008F6A40">
              <w:t>Mid-Year Economic and Fiscal Outlook 2025–26</w:t>
            </w:r>
          </w:fldSimple>
        </w:p>
      </w:tc>
    </w:tr>
  </w:tbl>
  <w:p w14:paraId="2C827508" w14:textId="77777777" w:rsidR="003C3492" w:rsidRPr="007703C7" w:rsidRDefault="003C3492" w:rsidP="007703C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2D7988" w14:paraId="605DC33D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7D6D2CD4" w14:textId="080FC9AF" w:rsidR="002D7988" w:rsidRPr="00D13BF9" w:rsidRDefault="008F6A40" w:rsidP="00D13BF9">
          <w:pPr>
            <w:pStyle w:val="HeaderOdd"/>
          </w:pPr>
          <w:fldSimple w:instr=" TITLE   \* MERGEFORMAT ">
            <w:r>
              <w:t>Mid-Year Economic and Fiscal Outlook 2025–26</w:t>
            </w:r>
          </w:fldSimple>
          <w:r w:rsidR="002D7988" w:rsidRPr="00081542">
            <w:t> | </w:t>
          </w:r>
          <w:r w:rsidR="002D7988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0817EFAD" wp14:editId="0EBDDC51">
                <wp:extent cx="864091" cy="198000"/>
                <wp:effectExtent l="0" t="0" r="0" b="0"/>
                <wp:docPr id="2112000977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000977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2A5D9B" w14:textId="7863826C" w:rsidR="003C3492" w:rsidRPr="00562EDC" w:rsidRDefault="003C3492" w:rsidP="00562EDC">
    <w:pPr>
      <w:pStyle w:val="HeaderOdd"/>
      <w:jc w:val="left"/>
      <w:rPr>
        <w:sz w:val="2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551746" w14:paraId="1402A34F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68A4C411" w14:textId="47054104" w:rsidR="00551746" w:rsidRPr="00D13BF9" w:rsidRDefault="008F6A40" w:rsidP="00D13BF9">
          <w:pPr>
            <w:pStyle w:val="HeaderOdd"/>
          </w:pPr>
          <w:fldSimple w:instr=" TITLE   \* MERGEFORMAT ">
            <w:r>
              <w:t>Mid-Year Economic and Fiscal Outlook 2025–26</w:t>
            </w:r>
          </w:fldSimple>
          <w:r w:rsidR="00551746" w:rsidRPr="00081542">
            <w:t> | </w:t>
          </w:r>
          <w:r w:rsidR="00551746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443FCD17" wp14:editId="2F61FFCE">
                <wp:extent cx="864091" cy="198000"/>
                <wp:effectExtent l="0" t="0" r="0" b="0"/>
                <wp:docPr id="1280270792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270792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DE1689" w14:textId="77777777" w:rsidR="003C3492" w:rsidRPr="005B2F30" w:rsidRDefault="003C3492">
    <w:pPr>
      <w:pStyle w:val="Header"/>
      <w:rPr>
        <w:sz w:val="2"/>
        <w:szCs w:val="2"/>
      </w:rPr>
    </w:pPr>
    <w:r w:rsidRPr="00692105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419CF7" wp14:editId="6E2F6FDE">
              <wp:simplePos x="0" y="0"/>
              <wp:positionH relativeFrom="column">
                <wp:posOffset>7560945</wp:posOffset>
              </wp:positionH>
              <wp:positionV relativeFrom="margin">
                <wp:align>bottom</wp:align>
              </wp:positionV>
              <wp:extent cx="399600" cy="4896000"/>
              <wp:effectExtent l="0" t="0" r="635" b="0"/>
              <wp:wrapNone/>
              <wp:docPr id="1241983472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EA32B" w14:textId="1B8C4CC1" w:rsidR="003C3492" w:rsidRPr="00137C7E" w:rsidRDefault="008F6A40" w:rsidP="001D33D6">
                          <w:pPr>
                            <w:pStyle w:val="HeaderOdd"/>
                          </w:pPr>
                          <w:fldSimple w:instr=" TITLE   \* MERGEFORMAT ">
                            <w:r>
                              <w:t>Mid-Year Economic and Fiscal Outlook 2025–26</w:t>
                            </w:r>
                          </w:fldSimple>
                          <w:r w:rsidR="003C3492">
                            <w:t xml:space="preserve">  |  </w:t>
                          </w:r>
                          <w:r w:rsidR="003C3492" w:rsidRPr="000635BE">
                            <w:rPr>
                              <w:rFonts w:ascii="Arial Bold" w:hAnsi="Arial Bold"/>
                              <w:b/>
                              <w:bCs/>
                              <w:noProof/>
                              <w:position w:val="-10"/>
                            </w:rPr>
                            <w:drawing>
                              <wp:inline distT="0" distB="0" distL="0" distR="0" wp14:anchorId="2AABEF6D" wp14:editId="05AAA744">
                                <wp:extent cx="1000760" cy="228609"/>
                                <wp:effectExtent l="5080" t="0" r="0" b="0"/>
                                <wp:docPr id="1385990992" name="Picture 1385990992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5990992" name="Picture 1385990992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1000760" cy="228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19C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Landscape Odd Header" style="position:absolute;margin-left:595.35pt;margin-top:0;width:31.45pt;height:3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" stroked="f">
              <v:textbox style="layout-flow:vertical" inset="0,0,0,.2mm">
                <w:txbxContent>
                  <w:p w14:paraId="4E1EA32B" w14:textId="1B8C4CC1" w:rsidR="003C3492" w:rsidRPr="00137C7E" w:rsidRDefault="008F6A40" w:rsidP="001D33D6">
                    <w:pPr>
                      <w:pStyle w:val="HeaderOdd"/>
                    </w:pPr>
                    <w:fldSimple w:instr=" TITLE   \* MERGEFORMAT ">
                      <w:r>
                        <w:t>Mid-Year Economic and Fiscal Outlook 2025–26</w:t>
                      </w:r>
                    </w:fldSimple>
                    <w:r w:rsidR="003C3492">
                      <w:t xml:space="preserve">  |  </w:t>
                    </w:r>
                    <w:r w:rsidR="003C3492" w:rsidRPr="000635BE">
                      <w:rPr>
                        <w:rFonts w:ascii="Arial Bold" w:hAnsi="Arial Bold"/>
                        <w:b/>
                        <w:bCs/>
                        <w:noProof/>
                        <w:position w:val="-10"/>
                      </w:rPr>
                      <w:drawing>
                        <wp:inline distT="0" distB="0" distL="0" distR="0" wp14:anchorId="2AABEF6D" wp14:editId="05AAA744">
                          <wp:extent cx="1000760" cy="228609"/>
                          <wp:effectExtent l="5080" t="0" r="0" b="0"/>
                          <wp:docPr id="1385990992" name="Picture 1385990992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5990992" name="Picture 1385990992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1000760" cy="228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A4A8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4E7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C0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4B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0D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2C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A2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16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C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53727"/>
    <w:multiLevelType w:val="hybridMultilevel"/>
    <w:tmpl w:val="FF786DB0"/>
    <w:lvl w:ilvl="0" w:tplc="E780A5FC">
      <w:start w:val="1"/>
      <w:numFmt w:val="lowerLetter"/>
      <w:pStyle w:val="Listalpha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2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3" w15:restartNumberingAfterBreak="0">
    <w:nsid w:val="1647577F"/>
    <w:multiLevelType w:val="multilevel"/>
    <w:tmpl w:val="794240C4"/>
    <w:lvl w:ilvl="0">
      <w:start w:val="1"/>
      <w:numFmt w:val="lowerLetter"/>
      <w:pStyle w:val="ChartandTableFootnoteAlpha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36854CD2"/>
    <w:multiLevelType w:val="hybridMultilevel"/>
    <w:tmpl w:val="F22624F6"/>
    <w:lvl w:ilvl="0" w:tplc="F134114C">
      <w:numFmt w:val="bullet"/>
      <w:lvlText w:val="-"/>
      <w:lvlJc w:val="left"/>
      <w:pPr>
        <w:ind w:left="927" w:hanging="360"/>
      </w:pPr>
      <w:rPr>
        <w:rFonts w:ascii="Book Antiqua" w:eastAsia="Times New Roman" w:hAnsi="Book Antiqu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16" w15:restartNumberingAfterBreak="0">
    <w:nsid w:val="5FAA4416"/>
    <w:multiLevelType w:val="multilevel"/>
    <w:tmpl w:val="D2300CFC"/>
    <w:lvl w:ilvl="0">
      <w:start w:val="1"/>
      <w:numFmt w:val="decimal"/>
      <w:pStyle w:val="OutlineNumbered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620172"/>
    <w:multiLevelType w:val="hybridMultilevel"/>
    <w:tmpl w:val="4A527A3A"/>
    <w:lvl w:ilvl="0" w:tplc="2E9A12D4">
      <w:start w:val="1"/>
      <w:numFmt w:val="bullet"/>
      <w:pStyle w:val="Dashalpha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8EA3959"/>
    <w:multiLevelType w:val="multilevel"/>
    <w:tmpl w:val="BA54A7C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9" w15:restartNumberingAfterBreak="0">
    <w:nsid w:val="74553C6C"/>
    <w:multiLevelType w:val="multilevel"/>
    <w:tmpl w:val="EF5ADE80"/>
    <w:name w:val="StandardNumberedList"/>
    <w:lvl w:ilvl="0">
      <w:start w:val="1"/>
      <w:numFmt w:val="decimal"/>
      <w:lvlText w:val="%1."/>
      <w:lvlJc w:val="left"/>
      <w:pPr>
        <w:tabs>
          <w:tab w:val="num" w:pos="449"/>
        </w:tabs>
        <w:ind w:left="449" w:hanging="449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898"/>
        </w:tabs>
        <w:ind w:left="898" w:hanging="449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347"/>
        </w:tabs>
        <w:ind w:left="1347" w:hanging="44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3410866">
    <w:abstractNumId w:val="15"/>
  </w:num>
  <w:num w:numId="2" w16cid:durableId="70975900">
    <w:abstractNumId w:val="12"/>
  </w:num>
  <w:num w:numId="3" w16cid:durableId="1903564601">
    <w:abstractNumId w:val="11"/>
  </w:num>
  <w:num w:numId="4" w16cid:durableId="778522229">
    <w:abstractNumId w:val="13"/>
  </w:num>
  <w:num w:numId="5" w16cid:durableId="308556280">
    <w:abstractNumId w:val="18"/>
  </w:num>
  <w:num w:numId="6" w16cid:durableId="772752326">
    <w:abstractNumId w:val="11"/>
  </w:num>
  <w:num w:numId="7" w16cid:durableId="541596858">
    <w:abstractNumId w:val="11"/>
  </w:num>
  <w:num w:numId="8" w16cid:durableId="322590933">
    <w:abstractNumId w:val="9"/>
  </w:num>
  <w:num w:numId="9" w16cid:durableId="1723669811">
    <w:abstractNumId w:val="7"/>
  </w:num>
  <w:num w:numId="10" w16cid:durableId="235865475">
    <w:abstractNumId w:val="6"/>
  </w:num>
  <w:num w:numId="11" w16cid:durableId="1066297075">
    <w:abstractNumId w:val="5"/>
  </w:num>
  <w:num w:numId="12" w16cid:durableId="10422456">
    <w:abstractNumId w:val="4"/>
  </w:num>
  <w:num w:numId="13" w16cid:durableId="4594083">
    <w:abstractNumId w:val="8"/>
  </w:num>
  <w:num w:numId="14" w16cid:durableId="961616114">
    <w:abstractNumId w:val="3"/>
  </w:num>
  <w:num w:numId="15" w16cid:durableId="760225057">
    <w:abstractNumId w:val="2"/>
  </w:num>
  <w:num w:numId="16" w16cid:durableId="1531915683">
    <w:abstractNumId w:val="1"/>
  </w:num>
  <w:num w:numId="17" w16cid:durableId="288900107">
    <w:abstractNumId w:val="0"/>
  </w:num>
  <w:num w:numId="18" w16cid:durableId="131681990">
    <w:abstractNumId w:val="13"/>
  </w:num>
  <w:num w:numId="19" w16cid:durableId="5211629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413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7239319">
    <w:abstractNumId w:val="19"/>
  </w:num>
  <w:num w:numId="22" w16cid:durableId="1518692781">
    <w:abstractNumId w:val="16"/>
  </w:num>
  <w:num w:numId="23" w16cid:durableId="858742816">
    <w:abstractNumId w:val="10"/>
  </w:num>
  <w:num w:numId="24" w16cid:durableId="1709526126">
    <w:abstractNumId w:val="17"/>
  </w:num>
  <w:num w:numId="25" w16cid:durableId="1481793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1701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316D2C"/>
    <w:rsid w:val="000004EA"/>
    <w:rsid w:val="00011DBB"/>
    <w:rsid w:val="000129CF"/>
    <w:rsid w:val="00013EA8"/>
    <w:rsid w:val="00024BA4"/>
    <w:rsid w:val="000273FB"/>
    <w:rsid w:val="00035D8D"/>
    <w:rsid w:val="000546EB"/>
    <w:rsid w:val="00055B64"/>
    <w:rsid w:val="00062060"/>
    <w:rsid w:val="000622DA"/>
    <w:rsid w:val="000635BE"/>
    <w:rsid w:val="00065215"/>
    <w:rsid w:val="0007571E"/>
    <w:rsid w:val="00081542"/>
    <w:rsid w:val="0008399A"/>
    <w:rsid w:val="0008597F"/>
    <w:rsid w:val="00090721"/>
    <w:rsid w:val="000A0E97"/>
    <w:rsid w:val="000A159B"/>
    <w:rsid w:val="000A4760"/>
    <w:rsid w:val="000B38A8"/>
    <w:rsid w:val="000C25CF"/>
    <w:rsid w:val="000C4812"/>
    <w:rsid w:val="000C54AB"/>
    <w:rsid w:val="000D78F4"/>
    <w:rsid w:val="000E105B"/>
    <w:rsid w:val="000E149B"/>
    <w:rsid w:val="00103F65"/>
    <w:rsid w:val="001051B9"/>
    <w:rsid w:val="0011175D"/>
    <w:rsid w:val="00117B5F"/>
    <w:rsid w:val="00142B04"/>
    <w:rsid w:val="001472CA"/>
    <w:rsid w:val="00147908"/>
    <w:rsid w:val="00160928"/>
    <w:rsid w:val="00172CFE"/>
    <w:rsid w:val="0018549A"/>
    <w:rsid w:val="00187BA0"/>
    <w:rsid w:val="0019115B"/>
    <w:rsid w:val="00191DDA"/>
    <w:rsid w:val="001970E6"/>
    <w:rsid w:val="001A5A92"/>
    <w:rsid w:val="001A7712"/>
    <w:rsid w:val="001B3722"/>
    <w:rsid w:val="001B7232"/>
    <w:rsid w:val="001C0A18"/>
    <w:rsid w:val="001C29BA"/>
    <w:rsid w:val="001C3B4C"/>
    <w:rsid w:val="001C5E21"/>
    <w:rsid w:val="001D33D6"/>
    <w:rsid w:val="001D59D3"/>
    <w:rsid w:val="001D7A2F"/>
    <w:rsid w:val="001E430E"/>
    <w:rsid w:val="001E6FD3"/>
    <w:rsid w:val="001F08E1"/>
    <w:rsid w:val="00206A05"/>
    <w:rsid w:val="00206AF2"/>
    <w:rsid w:val="0020736B"/>
    <w:rsid w:val="00225EA9"/>
    <w:rsid w:val="002312CD"/>
    <w:rsid w:val="00237F04"/>
    <w:rsid w:val="00242462"/>
    <w:rsid w:val="00242479"/>
    <w:rsid w:val="0024521A"/>
    <w:rsid w:val="00250208"/>
    <w:rsid w:val="002661BF"/>
    <w:rsid w:val="00267200"/>
    <w:rsid w:val="002709D2"/>
    <w:rsid w:val="0028134A"/>
    <w:rsid w:val="00281716"/>
    <w:rsid w:val="002830AA"/>
    <w:rsid w:val="00292ABE"/>
    <w:rsid w:val="00296383"/>
    <w:rsid w:val="002A6A16"/>
    <w:rsid w:val="002B6106"/>
    <w:rsid w:val="002C037A"/>
    <w:rsid w:val="002C2097"/>
    <w:rsid w:val="002C3DEB"/>
    <w:rsid w:val="002C596C"/>
    <w:rsid w:val="002D3D8C"/>
    <w:rsid w:val="002D48B9"/>
    <w:rsid w:val="002D789E"/>
    <w:rsid w:val="002D7988"/>
    <w:rsid w:val="002E10D6"/>
    <w:rsid w:val="002E638A"/>
    <w:rsid w:val="002E7B71"/>
    <w:rsid w:val="002F40F3"/>
    <w:rsid w:val="00304565"/>
    <w:rsid w:val="00305105"/>
    <w:rsid w:val="00316D2C"/>
    <w:rsid w:val="003303B0"/>
    <w:rsid w:val="003353DC"/>
    <w:rsid w:val="003421CD"/>
    <w:rsid w:val="003451F5"/>
    <w:rsid w:val="003478ED"/>
    <w:rsid w:val="003506C0"/>
    <w:rsid w:val="00360498"/>
    <w:rsid w:val="00360947"/>
    <w:rsid w:val="00367165"/>
    <w:rsid w:val="00376330"/>
    <w:rsid w:val="00377927"/>
    <w:rsid w:val="00381D29"/>
    <w:rsid w:val="00382E3D"/>
    <w:rsid w:val="00394EA6"/>
    <w:rsid w:val="003950E4"/>
    <w:rsid w:val="003A3AC2"/>
    <w:rsid w:val="003A57C9"/>
    <w:rsid w:val="003B3670"/>
    <w:rsid w:val="003C1580"/>
    <w:rsid w:val="003C1CA4"/>
    <w:rsid w:val="003C3492"/>
    <w:rsid w:val="003E632B"/>
    <w:rsid w:val="003F42F4"/>
    <w:rsid w:val="00407F22"/>
    <w:rsid w:val="00410AC2"/>
    <w:rsid w:val="00414D61"/>
    <w:rsid w:val="004233DE"/>
    <w:rsid w:val="00430D04"/>
    <w:rsid w:val="00431512"/>
    <w:rsid w:val="00433F61"/>
    <w:rsid w:val="00440B82"/>
    <w:rsid w:val="004479B6"/>
    <w:rsid w:val="00447E2C"/>
    <w:rsid w:val="0046391C"/>
    <w:rsid w:val="00472784"/>
    <w:rsid w:val="004835A2"/>
    <w:rsid w:val="0048563A"/>
    <w:rsid w:val="00485699"/>
    <w:rsid w:val="004A5FDD"/>
    <w:rsid w:val="004C3F27"/>
    <w:rsid w:val="004C40C8"/>
    <w:rsid w:val="004F3FD9"/>
    <w:rsid w:val="004F60DD"/>
    <w:rsid w:val="00502BDF"/>
    <w:rsid w:val="0051386E"/>
    <w:rsid w:val="00513FCE"/>
    <w:rsid w:val="005151D9"/>
    <w:rsid w:val="00521F3C"/>
    <w:rsid w:val="00522D04"/>
    <w:rsid w:val="00522D74"/>
    <w:rsid w:val="00532259"/>
    <w:rsid w:val="005476BD"/>
    <w:rsid w:val="00547C95"/>
    <w:rsid w:val="00551746"/>
    <w:rsid w:val="00551E91"/>
    <w:rsid w:val="00557806"/>
    <w:rsid w:val="00561DE5"/>
    <w:rsid w:val="00562EDC"/>
    <w:rsid w:val="005642C7"/>
    <w:rsid w:val="00566A71"/>
    <w:rsid w:val="00573E2D"/>
    <w:rsid w:val="00580067"/>
    <w:rsid w:val="00586089"/>
    <w:rsid w:val="005A1748"/>
    <w:rsid w:val="005A2BE4"/>
    <w:rsid w:val="005A43A4"/>
    <w:rsid w:val="005A6F5F"/>
    <w:rsid w:val="005B2F30"/>
    <w:rsid w:val="005B3010"/>
    <w:rsid w:val="005D23CB"/>
    <w:rsid w:val="005D6ADA"/>
    <w:rsid w:val="005E4F85"/>
    <w:rsid w:val="005E792C"/>
    <w:rsid w:val="005F0777"/>
    <w:rsid w:val="005F38E7"/>
    <w:rsid w:val="005F6C09"/>
    <w:rsid w:val="0060305C"/>
    <w:rsid w:val="00614554"/>
    <w:rsid w:val="00614FC4"/>
    <w:rsid w:val="00622CDB"/>
    <w:rsid w:val="00646A27"/>
    <w:rsid w:val="00646C57"/>
    <w:rsid w:val="00651F68"/>
    <w:rsid w:val="00653D2B"/>
    <w:rsid w:val="00653FBE"/>
    <w:rsid w:val="00654B16"/>
    <w:rsid w:val="006568AA"/>
    <w:rsid w:val="00664F1B"/>
    <w:rsid w:val="00666D0F"/>
    <w:rsid w:val="0066778F"/>
    <w:rsid w:val="006730DD"/>
    <w:rsid w:val="00677EBB"/>
    <w:rsid w:val="00680768"/>
    <w:rsid w:val="00682D05"/>
    <w:rsid w:val="00687C1A"/>
    <w:rsid w:val="00691396"/>
    <w:rsid w:val="00692105"/>
    <w:rsid w:val="006927FB"/>
    <w:rsid w:val="00692BED"/>
    <w:rsid w:val="0069742D"/>
    <w:rsid w:val="006B6D1A"/>
    <w:rsid w:val="006C1494"/>
    <w:rsid w:val="006C3E1F"/>
    <w:rsid w:val="006C4809"/>
    <w:rsid w:val="006C4A90"/>
    <w:rsid w:val="006D0D8D"/>
    <w:rsid w:val="006D122A"/>
    <w:rsid w:val="006D4A4D"/>
    <w:rsid w:val="006D7D4C"/>
    <w:rsid w:val="006E7F46"/>
    <w:rsid w:val="006F46B6"/>
    <w:rsid w:val="00702304"/>
    <w:rsid w:val="0072449F"/>
    <w:rsid w:val="00730998"/>
    <w:rsid w:val="00732B6E"/>
    <w:rsid w:val="0074527D"/>
    <w:rsid w:val="00754CF2"/>
    <w:rsid w:val="00755F34"/>
    <w:rsid w:val="007577B1"/>
    <w:rsid w:val="00761ADE"/>
    <w:rsid w:val="0076642F"/>
    <w:rsid w:val="007703C7"/>
    <w:rsid w:val="00774745"/>
    <w:rsid w:val="00782489"/>
    <w:rsid w:val="00784B15"/>
    <w:rsid w:val="00787DEE"/>
    <w:rsid w:val="00791275"/>
    <w:rsid w:val="007913DD"/>
    <w:rsid w:val="00792F0C"/>
    <w:rsid w:val="007B0D1E"/>
    <w:rsid w:val="007C34E6"/>
    <w:rsid w:val="007D5AEF"/>
    <w:rsid w:val="008240F1"/>
    <w:rsid w:val="00824E07"/>
    <w:rsid w:val="008253FB"/>
    <w:rsid w:val="008336E1"/>
    <w:rsid w:val="00851828"/>
    <w:rsid w:val="00856C62"/>
    <w:rsid w:val="0087230F"/>
    <w:rsid w:val="008744B3"/>
    <w:rsid w:val="00881984"/>
    <w:rsid w:val="00881D59"/>
    <w:rsid w:val="00882133"/>
    <w:rsid w:val="008835F8"/>
    <w:rsid w:val="00885620"/>
    <w:rsid w:val="008923B7"/>
    <w:rsid w:val="008A149A"/>
    <w:rsid w:val="008A164C"/>
    <w:rsid w:val="008A7A3E"/>
    <w:rsid w:val="008B4809"/>
    <w:rsid w:val="008C1985"/>
    <w:rsid w:val="008C2AAD"/>
    <w:rsid w:val="008C56E1"/>
    <w:rsid w:val="008D3CA1"/>
    <w:rsid w:val="008D3EF8"/>
    <w:rsid w:val="008D3F8A"/>
    <w:rsid w:val="008D437C"/>
    <w:rsid w:val="008D45DE"/>
    <w:rsid w:val="008D71E5"/>
    <w:rsid w:val="008E19CE"/>
    <w:rsid w:val="008E4967"/>
    <w:rsid w:val="008E7225"/>
    <w:rsid w:val="008F55F8"/>
    <w:rsid w:val="008F6A40"/>
    <w:rsid w:val="00904FD0"/>
    <w:rsid w:val="009216E7"/>
    <w:rsid w:val="0093363A"/>
    <w:rsid w:val="009345C5"/>
    <w:rsid w:val="009401CC"/>
    <w:rsid w:val="0094345F"/>
    <w:rsid w:val="00943C8B"/>
    <w:rsid w:val="00945C29"/>
    <w:rsid w:val="0095269D"/>
    <w:rsid w:val="009526DA"/>
    <w:rsid w:val="0096683F"/>
    <w:rsid w:val="009804F5"/>
    <w:rsid w:val="00981E05"/>
    <w:rsid w:val="0098629D"/>
    <w:rsid w:val="009906FF"/>
    <w:rsid w:val="00997029"/>
    <w:rsid w:val="009A553C"/>
    <w:rsid w:val="009A7DCC"/>
    <w:rsid w:val="009B286F"/>
    <w:rsid w:val="009B2CFA"/>
    <w:rsid w:val="009C37E9"/>
    <w:rsid w:val="009C3A40"/>
    <w:rsid w:val="009C4905"/>
    <w:rsid w:val="009D40BB"/>
    <w:rsid w:val="009D44CF"/>
    <w:rsid w:val="009D4ACD"/>
    <w:rsid w:val="009D7662"/>
    <w:rsid w:val="009E604C"/>
    <w:rsid w:val="009E766A"/>
    <w:rsid w:val="009F3CAB"/>
    <w:rsid w:val="009F4D67"/>
    <w:rsid w:val="00A04475"/>
    <w:rsid w:val="00A11F5D"/>
    <w:rsid w:val="00A15C4D"/>
    <w:rsid w:val="00A25637"/>
    <w:rsid w:val="00A26245"/>
    <w:rsid w:val="00A267BA"/>
    <w:rsid w:val="00A268AC"/>
    <w:rsid w:val="00A27919"/>
    <w:rsid w:val="00A310D0"/>
    <w:rsid w:val="00A313F4"/>
    <w:rsid w:val="00A36880"/>
    <w:rsid w:val="00A40A63"/>
    <w:rsid w:val="00A52AFA"/>
    <w:rsid w:val="00A60F33"/>
    <w:rsid w:val="00A813C7"/>
    <w:rsid w:val="00A819BF"/>
    <w:rsid w:val="00A85845"/>
    <w:rsid w:val="00A87063"/>
    <w:rsid w:val="00AA1B16"/>
    <w:rsid w:val="00AA5439"/>
    <w:rsid w:val="00AA71F1"/>
    <w:rsid w:val="00AA7987"/>
    <w:rsid w:val="00AB5936"/>
    <w:rsid w:val="00AB5E51"/>
    <w:rsid w:val="00AB63E5"/>
    <w:rsid w:val="00AC2FED"/>
    <w:rsid w:val="00AD68DA"/>
    <w:rsid w:val="00AE0EDA"/>
    <w:rsid w:val="00B051A6"/>
    <w:rsid w:val="00B05A49"/>
    <w:rsid w:val="00B26C0C"/>
    <w:rsid w:val="00B3218A"/>
    <w:rsid w:val="00B376E7"/>
    <w:rsid w:val="00B514C9"/>
    <w:rsid w:val="00B62ED2"/>
    <w:rsid w:val="00B64A19"/>
    <w:rsid w:val="00B7067E"/>
    <w:rsid w:val="00B742E3"/>
    <w:rsid w:val="00B75873"/>
    <w:rsid w:val="00B773E1"/>
    <w:rsid w:val="00B91AED"/>
    <w:rsid w:val="00B96A23"/>
    <w:rsid w:val="00BA7246"/>
    <w:rsid w:val="00BB207D"/>
    <w:rsid w:val="00BB52EC"/>
    <w:rsid w:val="00BC4E72"/>
    <w:rsid w:val="00BD2194"/>
    <w:rsid w:val="00BD32AB"/>
    <w:rsid w:val="00BE2420"/>
    <w:rsid w:val="00BE34EE"/>
    <w:rsid w:val="00BE712B"/>
    <w:rsid w:val="00BF5E88"/>
    <w:rsid w:val="00BF65C5"/>
    <w:rsid w:val="00C060D7"/>
    <w:rsid w:val="00C21110"/>
    <w:rsid w:val="00C256C6"/>
    <w:rsid w:val="00C31BB6"/>
    <w:rsid w:val="00C33129"/>
    <w:rsid w:val="00C4293F"/>
    <w:rsid w:val="00C44195"/>
    <w:rsid w:val="00C461BE"/>
    <w:rsid w:val="00C46E26"/>
    <w:rsid w:val="00C56A01"/>
    <w:rsid w:val="00C601D0"/>
    <w:rsid w:val="00C64CC1"/>
    <w:rsid w:val="00C75ABC"/>
    <w:rsid w:val="00C81B5C"/>
    <w:rsid w:val="00C93398"/>
    <w:rsid w:val="00C9389A"/>
    <w:rsid w:val="00C94AB7"/>
    <w:rsid w:val="00C97360"/>
    <w:rsid w:val="00CC6004"/>
    <w:rsid w:val="00CC6436"/>
    <w:rsid w:val="00CF6112"/>
    <w:rsid w:val="00D13BF9"/>
    <w:rsid w:val="00D146F0"/>
    <w:rsid w:val="00D1656D"/>
    <w:rsid w:val="00D1685E"/>
    <w:rsid w:val="00D27078"/>
    <w:rsid w:val="00D270F4"/>
    <w:rsid w:val="00D2781F"/>
    <w:rsid w:val="00D27863"/>
    <w:rsid w:val="00D47C6E"/>
    <w:rsid w:val="00D51587"/>
    <w:rsid w:val="00D5569F"/>
    <w:rsid w:val="00D62928"/>
    <w:rsid w:val="00D81A31"/>
    <w:rsid w:val="00D82B0F"/>
    <w:rsid w:val="00D93796"/>
    <w:rsid w:val="00DA1DFB"/>
    <w:rsid w:val="00DA42A3"/>
    <w:rsid w:val="00DA58C6"/>
    <w:rsid w:val="00DB513A"/>
    <w:rsid w:val="00DD55C0"/>
    <w:rsid w:val="00DE504B"/>
    <w:rsid w:val="00DE71D2"/>
    <w:rsid w:val="00DF5A91"/>
    <w:rsid w:val="00DF68C1"/>
    <w:rsid w:val="00E11FAE"/>
    <w:rsid w:val="00E21AEF"/>
    <w:rsid w:val="00E24377"/>
    <w:rsid w:val="00E40261"/>
    <w:rsid w:val="00E404C5"/>
    <w:rsid w:val="00E4685E"/>
    <w:rsid w:val="00E47746"/>
    <w:rsid w:val="00E53C93"/>
    <w:rsid w:val="00E66821"/>
    <w:rsid w:val="00E70282"/>
    <w:rsid w:val="00E71045"/>
    <w:rsid w:val="00E80210"/>
    <w:rsid w:val="00E80783"/>
    <w:rsid w:val="00E85029"/>
    <w:rsid w:val="00E93DAE"/>
    <w:rsid w:val="00EA52E4"/>
    <w:rsid w:val="00EB3035"/>
    <w:rsid w:val="00EB6597"/>
    <w:rsid w:val="00ED0BC4"/>
    <w:rsid w:val="00EE4527"/>
    <w:rsid w:val="00EF1B7E"/>
    <w:rsid w:val="00EF338C"/>
    <w:rsid w:val="00EF4C8A"/>
    <w:rsid w:val="00F11365"/>
    <w:rsid w:val="00F22903"/>
    <w:rsid w:val="00F31924"/>
    <w:rsid w:val="00F362DE"/>
    <w:rsid w:val="00F3743A"/>
    <w:rsid w:val="00F40032"/>
    <w:rsid w:val="00F51DA2"/>
    <w:rsid w:val="00F51F93"/>
    <w:rsid w:val="00F563AC"/>
    <w:rsid w:val="00F60EA1"/>
    <w:rsid w:val="00F665CB"/>
    <w:rsid w:val="00F8096E"/>
    <w:rsid w:val="00F84F40"/>
    <w:rsid w:val="00F85472"/>
    <w:rsid w:val="00FA4AD3"/>
    <w:rsid w:val="00FA7D31"/>
    <w:rsid w:val="00FB5DDD"/>
    <w:rsid w:val="00FC0F6C"/>
    <w:rsid w:val="00FC6B2B"/>
    <w:rsid w:val="00FC7371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B1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2" w:unhideWhenUsed="1"/>
    <w:lsdException w:name="toc 2" w:semiHidden="1" w:uiPriority="2" w:unhideWhenUsed="1" w:qFormat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4EE"/>
    <w:pPr>
      <w:spacing w:before="240" w:after="240" w:line="240" w:lineRule="exact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BE34EE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BE34EE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BE34EE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BE34EE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BE34EE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BE34EE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BE34EE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BE34EE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BE34EE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link w:val="HeaderChar"/>
    <w:rsid w:val="00BE34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E34EE"/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styleId="Footer">
    <w:name w:val="footer"/>
    <w:basedOn w:val="FooterBase"/>
    <w:link w:val="FooterChar"/>
    <w:rsid w:val="00BE34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E34EE"/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BE34EE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BE34EE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BE34EE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BE34EE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BE34EE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BE34EE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BE34EE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BE34EE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Classification">
    <w:name w:val="Classification"/>
    <w:basedOn w:val="HeadingBase"/>
    <w:rsid w:val="00BE34EE"/>
    <w:pPr>
      <w:jc w:val="center"/>
    </w:pPr>
    <w:rPr>
      <w:rFonts w:ascii="Arial Bold" w:hAnsi="Arial Bold"/>
      <w:b/>
      <w:caps/>
      <w:sz w:val="22"/>
    </w:rPr>
  </w:style>
  <w:style w:type="paragraph" w:customStyle="1" w:styleId="FileProperties">
    <w:name w:val="File Properties"/>
    <w:basedOn w:val="Normal"/>
    <w:rsid w:val="00BE34EE"/>
    <w:pPr>
      <w:spacing w:before="0"/>
    </w:pPr>
    <w:rPr>
      <w:i/>
    </w:rPr>
  </w:style>
  <w:style w:type="paragraph" w:customStyle="1" w:styleId="AlphaParagraph">
    <w:name w:val="Alpha Paragraph"/>
    <w:basedOn w:val="Normal"/>
    <w:rsid w:val="00BE34EE"/>
    <w:pPr>
      <w:numPr>
        <w:numId w:val="1"/>
      </w:numPr>
      <w:tabs>
        <w:tab w:val="clear" w:pos="567"/>
        <w:tab w:val="num" w:pos="360"/>
      </w:tabs>
      <w:ind w:left="0" w:firstLine="0"/>
    </w:pPr>
  </w:style>
  <w:style w:type="paragraph" w:customStyle="1" w:styleId="HeadingBase">
    <w:name w:val="Heading Base"/>
    <w:rsid w:val="00BE34EE"/>
    <w:pPr>
      <w:keepNext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Heading1-Statement">
    <w:name w:val="Heading 1 - Statement"/>
    <w:basedOn w:val="Heading1"/>
    <w:next w:val="Normal"/>
    <w:autoRedefine/>
    <w:qFormat/>
    <w:rsid w:val="00BE34EE"/>
    <w:rPr>
      <w:bCs/>
      <w:color w:val="002A54" w:themeColor="text2"/>
      <w:szCs w:val="52"/>
    </w:rPr>
  </w:style>
  <w:style w:type="paragraph" w:customStyle="1" w:styleId="BoxText">
    <w:name w:val="Box Text"/>
    <w:basedOn w:val="Normal"/>
    <w:link w:val="BoxTextChar"/>
    <w:qFormat/>
    <w:rsid w:val="00BE34EE"/>
    <w:pPr>
      <w:spacing w:before="120" w:after="120" w:line="240" w:lineRule="auto"/>
    </w:pPr>
  </w:style>
  <w:style w:type="paragraph" w:customStyle="1" w:styleId="BoxBullet">
    <w:name w:val="Box Bullet"/>
    <w:basedOn w:val="BoxText"/>
    <w:rsid w:val="00BE34EE"/>
    <w:pPr>
      <w:numPr>
        <w:numId w:val="2"/>
      </w:numPr>
    </w:pPr>
  </w:style>
  <w:style w:type="paragraph" w:customStyle="1" w:styleId="BoxHeading">
    <w:name w:val="Box Heading"/>
    <w:basedOn w:val="HeadingBase"/>
    <w:next w:val="BoxText"/>
    <w:rsid w:val="00BE34EE"/>
    <w:pPr>
      <w:spacing w:before="120" w:after="120"/>
    </w:pPr>
    <w:rPr>
      <w:b/>
      <w:sz w:val="20"/>
    </w:rPr>
  </w:style>
  <w:style w:type="character" w:customStyle="1" w:styleId="Heading6Char">
    <w:name w:val="Heading 6 Char"/>
    <w:basedOn w:val="DefaultParagraphFont"/>
    <w:link w:val="Heading6"/>
    <w:rsid w:val="00BE34EE"/>
    <w:rPr>
      <w:rFonts w:ascii="Arial" w:eastAsia="Times New Roman" w:hAnsi="Arial" w:cs="Times New Roman"/>
      <w:bCs/>
      <w:sz w:val="20"/>
      <w:lang w:eastAsia="en-AU"/>
    </w:rPr>
  </w:style>
  <w:style w:type="paragraph" w:customStyle="1" w:styleId="Bullet">
    <w:name w:val="Bullet"/>
    <w:basedOn w:val="Normal"/>
    <w:qFormat/>
    <w:rsid w:val="00BE34EE"/>
    <w:pPr>
      <w:numPr>
        <w:numId w:val="7"/>
      </w:numPr>
      <w:spacing w:after="160"/>
      <w:ind w:left="284" w:hanging="284"/>
    </w:pPr>
  </w:style>
  <w:style w:type="paragraph" w:styleId="Caption">
    <w:name w:val="caption"/>
    <w:basedOn w:val="Normal"/>
    <w:next w:val="Normal"/>
    <w:rsid w:val="00BE34EE"/>
    <w:rPr>
      <w:b/>
      <w:bCs/>
    </w:rPr>
  </w:style>
  <w:style w:type="paragraph" w:customStyle="1" w:styleId="ChartandTableFootnote">
    <w:name w:val="Chart and Table Footnote"/>
    <w:basedOn w:val="HeadingBase"/>
    <w:next w:val="Normal"/>
    <w:rsid w:val="00BE34EE"/>
    <w:pPr>
      <w:keepNext w:val="0"/>
      <w:tabs>
        <w:tab w:val="left" w:pos="709"/>
      </w:tabs>
      <w:spacing w:before="30"/>
      <w:ind w:left="709" w:hanging="709"/>
    </w:pPr>
    <w:rPr>
      <w:color w:val="000000"/>
      <w:sz w:val="16"/>
    </w:rPr>
  </w:style>
  <w:style w:type="paragraph" w:customStyle="1" w:styleId="ChartandTableFootnoteAlpha">
    <w:name w:val="Chart and Table Footnote Alpha"/>
    <w:basedOn w:val="HeadingBase"/>
    <w:next w:val="Normal"/>
    <w:rsid w:val="00BE34EE"/>
    <w:pPr>
      <w:keepNext w:val="0"/>
      <w:numPr>
        <w:numId w:val="20"/>
      </w:numPr>
      <w:spacing w:before="30"/>
    </w:pPr>
    <w:rPr>
      <w:color w:val="000000"/>
      <w:sz w:val="16"/>
    </w:rPr>
  </w:style>
  <w:style w:type="paragraph" w:customStyle="1" w:styleId="ChartandTableFootnoteSmall">
    <w:name w:val="Chart and Table Footnote Small"/>
    <w:basedOn w:val="HeadingBase"/>
    <w:next w:val="Normal"/>
    <w:rsid w:val="00BE34EE"/>
    <w:pPr>
      <w:keepNext w:val="0"/>
      <w:tabs>
        <w:tab w:val="left" w:pos="284"/>
      </w:tabs>
      <w:jc w:val="both"/>
    </w:pPr>
    <w:rPr>
      <w:color w:val="000000"/>
      <w:sz w:val="15"/>
    </w:rPr>
  </w:style>
  <w:style w:type="paragraph" w:customStyle="1" w:styleId="ChartGraphic">
    <w:name w:val="Chart Graphic"/>
    <w:basedOn w:val="HeadingBase"/>
    <w:rsid w:val="00BE34EE"/>
    <w:rPr>
      <w:sz w:val="20"/>
    </w:rPr>
  </w:style>
  <w:style w:type="paragraph" w:customStyle="1" w:styleId="TableLine">
    <w:name w:val="Table Line"/>
    <w:basedOn w:val="Normal"/>
    <w:next w:val="Normal"/>
    <w:autoRedefine/>
    <w:rsid w:val="00BE34EE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SecondHeading">
    <w:name w:val="Chart Second Heading"/>
    <w:basedOn w:val="HeadingBase"/>
    <w:next w:val="ChartGraphic"/>
    <w:rsid w:val="00BE34EE"/>
    <w:pPr>
      <w:spacing w:after="60"/>
    </w:pPr>
    <w:rPr>
      <w:sz w:val="19"/>
    </w:rPr>
  </w:style>
  <w:style w:type="character" w:styleId="CommentReference">
    <w:name w:val="annotation reference"/>
    <w:basedOn w:val="DefaultParagraphFont"/>
    <w:semiHidden/>
    <w:rsid w:val="00BE34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34EE"/>
  </w:style>
  <w:style w:type="character" w:customStyle="1" w:styleId="CommentTextChar">
    <w:name w:val="Comment Text Char"/>
    <w:basedOn w:val="DefaultParagraphFont"/>
    <w:link w:val="CommentText"/>
    <w:semiHidden/>
    <w:rsid w:val="00BE34EE"/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3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34EE"/>
    <w:rPr>
      <w:rFonts w:ascii="Book Antiqua" w:eastAsia="Times New Roman" w:hAnsi="Book Antiqua" w:cs="Times New Roman"/>
      <w:b/>
      <w:bCs/>
      <w:sz w:val="19"/>
      <w:szCs w:val="20"/>
      <w:lang w:eastAsia="en-AU"/>
    </w:rPr>
  </w:style>
  <w:style w:type="paragraph" w:customStyle="1" w:styleId="ContentsHeading">
    <w:name w:val="Contents Heading"/>
    <w:basedOn w:val="Heading1"/>
    <w:next w:val="Normal"/>
    <w:rsid w:val="00BE34EE"/>
    <w:pPr>
      <w:spacing w:after="720"/>
      <w:outlineLvl w:val="9"/>
    </w:pPr>
  </w:style>
  <w:style w:type="character" w:styleId="Strong">
    <w:name w:val="Strong"/>
    <w:basedOn w:val="DefaultParagraphFont"/>
    <w:uiPriority w:val="22"/>
    <w:qFormat/>
    <w:rsid w:val="00BE34EE"/>
    <w:rPr>
      <w:b/>
      <w:bCs/>
      <w:color w:val="auto"/>
    </w:rPr>
  </w:style>
  <w:style w:type="paragraph" w:customStyle="1" w:styleId="Dash">
    <w:name w:val="Dash"/>
    <w:basedOn w:val="Normal"/>
    <w:qFormat/>
    <w:rsid w:val="00BE34EE"/>
    <w:pPr>
      <w:numPr>
        <w:ilvl w:val="1"/>
        <w:numId w:val="7"/>
      </w:numPr>
      <w:tabs>
        <w:tab w:val="left" w:pos="567"/>
      </w:tabs>
    </w:pPr>
  </w:style>
  <w:style w:type="paragraph" w:styleId="DocumentMap">
    <w:name w:val="Document Map"/>
    <w:basedOn w:val="Normal"/>
    <w:link w:val="DocumentMapChar"/>
    <w:semiHidden/>
    <w:rsid w:val="00BE34E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E34EE"/>
    <w:rPr>
      <w:rFonts w:ascii="Tahoma" w:eastAsia="Times New Roman" w:hAnsi="Tahoma" w:cs="Tahoma"/>
      <w:sz w:val="19"/>
      <w:szCs w:val="20"/>
      <w:shd w:val="clear" w:color="auto" w:fill="000080"/>
      <w:lang w:eastAsia="en-AU"/>
    </w:rPr>
  </w:style>
  <w:style w:type="paragraph" w:customStyle="1" w:styleId="DoubleDot">
    <w:name w:val="Double Dot"/>
    <w:basedOn w:val="Normal"/>
    <w:rsid w:val="00BE34EE"/>
    <w:pPr>
      <w:numPr>
        <w:ilvl w:val="2"/>
        <w:numId w:val="7"/>
      </w:numPr>
      <w:tabs>
        <w:tab w:val="clear" w:pos="850"/>
        <w:tab w:val="num" w:pos="360"/>
        <w:tab w:val="left" w:pos="851"/>
      </w:tabs>
    </w:pPr>
  </w:style>
  <w:style w:type="paragraph" w:customStyle="1" w:styleId="FigureHeading">
    <w:name w:val="Figure Heading"/>
    <w:basedOn w:val="HeadingBase"/>
    <w:next w:val="ChartGraphic"/>
    <w:rsid w:val="00BE34EE"/>
    <w:pPr>
      <w:spacing w:before="120" w:after="20"/>
    </w:pPr>
    <w:rPr>
      <w:b/>
      <w:sz w:val="20"/>
    </w:rPr>
  </w:style>
  <w:style w:type="paragraph" w:customStyle="1" w:styleId="FooterBase">
    <w:name w:val="Footer Base"/>
    <w:rsid w:val="00BE34EE"/>
    <w:pPr>
      <w:spacing w:after="0" w:line="240" w:lineRule="auto"/>
      <w:jc w:val="center"/>
    </w:pPr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FooterEven">
    <w:name w:val="Footer Even"/>
    <w:basedOn w:val="Footer"/>
    <w:rsid w:val="00BE34EE"/>
    <w:pPr>
      <w:pBdr>
        <w:top w:val="single" w:sz="4" w:space="10" w:color="002A54" w:themeColor="text2"/>
      </w:pBdr>
      <w:jc w:val="left"/>
    </w:pPr>
    <w:rPr>
      <w:sz w:val="18"/>
    </w:rPr>
  </w:style>
  <w:style w:type="paragraph" w:customStyle="1" w:styleId="FooterOdd">
    <w:name w:val="Footer Odd"/>
    <w:basedOn w:val="Footer"/>
    <w:qFormat/>
    <w:rsid w:val="00BE34EE"/>
    <w:pPr>
      <w:pBdr>
        <w:top w:val="single" w:sz="4" w:space="10" w:color="002A54" w:themeColor="text2"/>
      </w:pBdr>
      <w:jc w:val="right"/>
    </w:pPr>
    <w:rPr>
      <w:sz w:val="18"/>
    </w:rPr>
  </w:style>
  <w:style w:type="character" w:styleId="FootnoteReference">
    <w:name w:val="footnote reference"/>
    <w:basedOn w:val="DefaultParagraphFont"/>
    <w:rsid w:val="00BE34EE"/>
    <w:rPr>
      <w:vertAlign w:val="superscript"/>
    </w:rPr>
  </w:style>
  <w:style w:type="paragraph" w:styleId="FootnoteText">
    <w:name w:val="footnote text"/>
    <w:basedOn w:val="Normal"/>
    <w:link w:val="FootnoteTextChar"/>
    <w:rsid w:val="00BE34EE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BE34EE"/>
    <w:rPr>
      <w:rFonts w:ascii="Book Antiqua" w:eastAsia="Times New Roman" w:hAnsi="Book Antiqua" w:cs="Times New Roman"/>
      <w:sz w:val="18"/>
      <w:szCs w:val="20"/>
      <w:lang w:eastAsia="en-AU"/>
    </w:rPr>
  </w:style>
  <w:style w:type="character" w:customStyle="1" w:styleId="FramedHeader">
    <w:name w:val="Framed Header"/>
    <w:basedOn w:val="DefaultParagraphFont"/>
    <w:rsid w:val="00BE34EE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BE34EE"/>
    <w:pPr>
      <w:spacing w:after="0" w:line="240" w:lineRule="auto"/>
    </w:pPr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customStyle="1" w:styleId="HeaderEven">
    <w:name w:val="Header Even"/>
    <w:basedOn w:val="HeaderBase"/>
    <w:rsid w:val="00BE34EE"/>
  </w:style>
  <w:style w:type="paragraph" w:customStyle="1" w:styleId="HeaderOdd">
    <w:name w:val="Header Odd"/>
    <w:basedOn w:val="HeaderBase"/>
    <w:rsid w:val="00BE34EE"/>
    <w:pPr>
      <w:jc w:val="right"/>
    </w:pPr>
  </w:style>
  <w:style w:type="character" w:customStyle="1" w:styleId="Heading1Char">
    <w:name w:val="Heading 1 Char"/>
    <w:basedOn w:val="DefaultParagraphFont"/>
    <w:link w:val="Heading1"/>
    <w:rsid w:val="00BE34EE"/>
    <w:rPr>
      <w:rFonts w:ascii="Arial Bold" w:eastAsia="Times New Roman" w:hAnsi="Arial Bold" w:cs="Times New Roman"/>
      <w:b/>
      <w:kern w:val="34"/>
      <w:sz w:val="3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BE34EE"/>
    <w:rPr>
      <w:rFonts w:ascii="Arial Bold" w:eastAsia="Times New Roman" w:hAnsi="Arial Bold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BE34EE"/>
    <w:rPr>
      <w:rFonts w:ascii="Arial Bold" w:eastAsia="Times New Roman" w:hAnsi="Arial Bold" w:cs="Times New Roman"/>
      <w:b/>
      <w:szCs w:val="20"/>
      <w:lang w:eastAsia="en-AU"/>
    </w:rPr>
  </w:style>
  <w:style w:type="paragraph" w:customStyle="1" w:styleId="Heading3noTOC">
    <w:name w:val="Heading 3 no TOC"/>
    <w:basedOn w:val="Heading3"/>
    <w:rsid w:val="00BE34EE"/>
  </w:style>
  <w:style w:type="character" w:customStyle="1" w:styleId="Heading4Char">
    <w:name w:val="Heading 4 Char"/>
    <w:basedOn w:val="DefaultParagraphFont"/>
    <w:link w:val="Heading4"/>
    <w:rsid w:val="00BE34EE"/>
    <w:rPr>
      <w:rFonts w:ascii="Arial Bold" w:eastAsia="Times New Roman" w:hAnsi="Arial Bold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BE34EE"/>
    <w:rPr>
      <w:rFonts w:ascii="Arial" w:eastAsia="Times New Roman" w:hAnsi="Arial" w:cs="Times New Roman"/>
      <w:bCs/>
      <w:i/>
      <w:iCs/>
      <w:sz w:val="20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BE34EE"/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BE34EE"/>
    <w:rPr>
      <w:rFonts w:ascii="Times New Roman" w:eastAsia="Times New Roman" w:hAnsi="Times New Roman" w:cs="Times New Roman"/>
      <w:i/>
      <w:iCs/>
      <w:sz w:val="16"/>
      <w:szCs w:val="24"/>
      <w:lang w:eastAsia="en-AU"/>
    </w:rPr>
  </w:style>
  <w:style w:type="character" w:customStyle="1" w:styleId="HiddenSequenceCode">
    <w:name w:val="Hidden Sequence Code"/>
    <w:basedOn w:val="DefaultParagraphFont"/>
    <w:rsid w:val="00BE34EE"/>
    <w:rPr>
      <w:rFonts w:ascii="Times New Roman" w:hAnsi="Times New Roman"/>
      <w:vanish/>
      <w:sz w:val="16"/>
    </w:rPr>
  </w:style>
  <w:style w:type="character" w:styleId="Hyperlink">
    <w:name w:val="Hyperlink"/>
    <w:basedOn w:val="DefaultParagraphFont"/>
    <w:uiPriority w:val="99"/>
    <w:unhideWhenUsed/>
    <w:rsid w:val="00BE34EE"/>
    <w:rPr>
      <w:color w:val="auto"/>
      <w:u w:val="single"/>
    </w:rPr>
  </w:style>
  <w:style w:type="paragraph" w:styleId="Index4">
    <w:name w:val="index 4"/>
    <w:basedOn w:val="Normal"/>
    <w:next w:val="Normal"/>
    <w:autoRedefine/>
    <w:semiHidden/>
    <w:rsid w:val="00BE34EE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E34EE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E34EE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E34EE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E34EE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E34EE"/>
    <w:pPr>
      <w:ind w:left="1800" w:hanging="200"/>
    </w:pPr>
  </w:style>
  <w:style w:type="paragraph" w:styleId="MacroText">
    <w:name w:val="macro"/>
    <w:link w:val="MacroTextChar"/>
    <w:unhideWhenUsed/>
    <w:rsid w:val="00BE3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BE34EE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Indent">
    <w:name w:val="Normal Indent"/>
    <w:basedOn w:val="Normal"/>
    <w:rsid w:val="00BE34EE"/>
    <w:pPr>
      <w:ind w:left="567"/>
    </w:pPr>
  </w:style>
  <w:style w:type="paragraph" w:customStyle="1" w:styleId="NoteTableHeading">
    <w:name w:val="Note Table Heading"/>
    <w:basedOn w:val="HeadingBase"/>
    <w:next w:val="Normal"/>
    <w:rsid w:val="00BE34EE"/>
    <w:pPr>
      <w:spacing w:before="240"/>
      <w:outlineLvl w:val="2"/>
    </w:pPr>
    <w:rPr>
      <w:b/>
      <w:sz w:val="20"/>
    </w:rPr>
  </w:style>
  <w:style w:type="paragraph" w:customStyle="1" w:styleId="OverviewParagraph">
    <w:name w:val="Overview Paragraph"/>
    <w:basedOn w:val="Normal"/>
    <w:rsid w:val="00BE34EE"/>
    <w:pPr>
      <w:spacing w:before="120" w:after="120" w:line="240" w:lineRule="auto"/>
    </w:pPr>
  </w:style>
  <w:style w:type="character" w:styleId="PageNumber">
    <w:name w:val="page number"/>
    <w:basedOn w:val="DefaultParagraphFont"/>
    <w:rsid w:val="00BE34EE"/>
    <w:rPr>
      <w:rFonts w:ascii="Arial" w:hAnsi="Arial" w:cs="Arial"/>
    </w:rPr>
  </w:style>
  <w:style w:type="paragraph" w:customStyle="1" w:styleId="SingleParagraph">
    <w:name w:val="Single Paragraph"/>
    <w:basedOn w:val="Normal"/>
    <w:rsid w:val="00BE34EE"/>
    <w:pPr>
      <w:spacing w:before="0" w:after="0"/>
    </w:pPr>
  </w:style>
  <w:style w:type="paragraph" w:customStyle="1" w:styleId="Source">
    <w:name w:val="Source"/>
    <w:basedOn w:val="Normal"/>
    <w:rsid w:val="00BE34EE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TableColumnHeadingBase">
    <w:name w:val="Table Column Heading Base"/>
    <w:basedOn w:val="Normal"/>
    <w:rsid w:val="00BE34EE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HeadingCentred">
    <w:name w:val="Table Column Heading Centred"/>
    <w:basedOn w:val="TableColumnHeadingBase"/>
    <w:next w:val="Normal"/>
    <w:rsid w:val="00BE34EE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BE34EE"/>
  </w:style>
  <w:style w:type="paragraph" w:customStyle="1" w:styleId="TableColumnHeadingRight">
    <w:name w:val="Table Column Heading Right"/>
    <w:basedOn w:val="TableColumnHeadingBase"/>
    <w:next w:val="Normal"/>
    <w:rsid w:val="00BE34EE"/>
    <w:pPr>
      <w:jc w:val="right"/>
    </w:pPr>
  </w:style>
  <w:style w:type="paragraph" w:customStyle="1" w:styleId="TableGraphic">
    <w:name w:val="Table Graphic"/>
    <w:basedOn w:val="Normal"/>
    <w:next w:val="Normal"/>
    <w:rsid w:val="00BE34EE"/>
    <w:pPr>
      <w:spacing w:after="0" w:line="240" w:lineRule="auto"/>
      <w:ind w:right="-113"/>
    </w:pPr>
  </w:style>
  <w:style w:type="table" w:styleId="TableGrid">
    <w:name w:val="Table Grid"/>
    <w:basedOn w:val="TableNormal"/>
    <w:rsid w:val="00BE34EE"/>
    <w:pPr>
      <w:spacing w:after="240" w:line="260" w:lineRule="exact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Base"/>
    <w:next w:val="TableGraphic"/>
    <w:qFormat/>
    <w:rsid w:val="00BE34EE"/>
    <w:pPr>
      <w:spacing w:before="120" w:after="20"/>
    </w:pPr>
    <w:rPr>
      <w:b/>
      <w:sz w:val="20"/>
    </w:rPr>
  </w:style>
  <w:style w:type="paragraph" w:customStyle="1" w:styleId="TableHeadingcontinued">
    <w:name w:val="Table Heading continued"/>
    <w:basedOn w:val="HeadingBase"/>
    <w:next w:val="TableGraphic"/>
    <w:rsid w:val="00BE34EE"/>
    <w:pPr>
      <w:spacing w:before="120" w:after="20"/>
    </w:pPr>
    <w:rPr>
      <w:rFonts w:ascii="Arial Bold" w:hAnsi="Arial Bold"/>
      <w:b/>
      <w:sz w:val="20"/>
    </w:rPr>
  </w:style>
  <w:style w:type="paragraph" w:styleId="TableofFigures">
    <w:name w:val="table of figures"/>
    <w:basedOn w:val="Normal"/>
    <w:next w:val="Normal"/>
    <w:rsid w:val="00BE34EE"/>
  </w:style>
  <w:style w:type="paragraph" w:customStyle="1" w:styleId="TableTextBase">
    <w:name w:val="Table Text Base"/>
    <w:basedOn w:val="Normal"/>
    <w:rsid w:val="00BE34EE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Centred">
    <w:name w:val="Table Text Centred"/>
    <w:basedOn w:val="TableTextBase"/>
    <w:rsid w:val="00BE34EE"/>
    <w:pPr>
      <w:jc w:val="center"/>
    </w:pPr>
  </w:style>
  <w:style w:type="paragraph" w:customStyle="1" w:styleId="TableTextIndented">
    <w:name w:val="Table Text Indented"/>
    <w:basedOn w:val="TableTextBase"/>
    <w:rsid w:val="00BE34EE"/>
    <w:pPr>
      <w:ind w:left="284"/>
    </w:pPr>
  </w:style>
  <w:style w:type="paragraph" w:customStyle="1" w:styleId="TableTextLeft">
    <w:name w:val="Table Text Left"/>
    <w:basedOn w:val="TableTextBase"/>
    <w:rsid w:val="00BE34EE"/>
  </w:style>
  <w:style w:type="paragraph" w:customStyle="1" w:styleId="TableTextRight">
    <w:name w:val="Table Text Right"/>
    <w:basedOn w:val="TableTextBase"/>
    <w:rsid w:val="00BE34EE"/>
    <w:pPr>
      <w:jc w:val="right"/>
    </w:pPr>
  </w:style>
  <w:style w:type="paragraph" w:styleId="TOAHeading">
    <w:name w:val="toa heading"/>
    <w:basedOn w:val="Normal"/>
    <w:next w:val="Normal"/>
    <w:rsid w:val="00BE34E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2"/>
    <w:rsid w:val="00BE34EE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TOC2">
    <w:name w:val="toc 2"/>
    <w:basedOn w:val="HeadingBase"/>
    <w:next w:val="Normal"/>
    <w:uiPriority w:val="2"/>
    <w:qFormat/>
    <w:rsid w:val="00BE34EE"/>
    <w:pPr>
      <w:keepNext w:val="0"/>
      <w:tabs>
        <w:tab w:val="left" w:pos="992"/>
        <w:tab w:val="right" w:leader="dot" w:pos="7700"/>
      </w:tabs>
      <w:spacing w:before="60" w:after="60"/>
      <w:ind w:right="851"/>
    </w:pPr>
    <w:rPr>
      <w:sz w:val="18"/>
    </w:rPr>
  </w:style>
  <w:style w:type="paragraph" w:styleId="TOC3">
    <w:name w:val="toc 3"/>
    <w:basedOn w:val="HeadingBase"/>
    <w:next w:val="Normal"/>
    <w:uiPriority w:val="2"/>
    <w:unhideWhenUsed/>
    <w:rsid w:val="00BE34EE"/>
    <w:pPr>
      <w:tabs>
        <w:tab w:val="right" w:leader="dot" w:pos="7700"/>
      </w:tabs>
      <w:spacing w:before="40"/>
      <w:ind w:left="992" w:right="851" w:hanging="992"/>
    </w:pPr>
    <w:rPr>
      <w:sz w:val="20"/>
    </w:rPr>
  </w:style>
  <w:style w:type="paragraph" w:styleId="TOC4">
    <w:name w:val="toc 4"/>
    <w:basedOn w:val="HeadingBase"/>
    <w:next w:val="Normal"/>
    <w:uiPriority w:val="2"/>
    <w:unhideWhenUsed/>
    <w:rsid w:val="00BE34EE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2"/>
    <w:semiHidden/>
    <w:rsid w:val="00BE34EE"/>
    <w:pPr>
      <w:tabs>
        <w:tab w:val="left" w:pos="851"/>
        <w:tab w:val="right" w:leader="dot" w:pos="7700"/>
      </w:tabs>
      <w:ind w:left="896" w:hanging="896"/>
    </w:pPr>
    <w:rPr>
      <w:rFonts w:ascii="Arial" w:hAnsi="Arial"/>
      <w:noProof/>
      <w:color w:val="002B54"/>
    </w:rPr>
  </w:style>
  <w:style w:type="paragraph" w:styleId="TOC6">
    <w:name w:val="toc 6"/>
    <w:basedOn w:val="TOC4"/>
    <w:next w:val="Normal"/>
    <w:uiPriority w:val="2"/>
    <w:semiHidden/>
    <w:rsid w:val="00BE34EE"/>
    <w:pPr>
      <w:tabs>
        <w:tab w:val="left" w:pos="851"/>
      </w:tabs>
      <w:ind w:left="851" w:hanging="851"/>
    </w:pPr>
    <w:rPr>
      <w:color w:val="000000"/>
    </w:rPr>
  </w:style>
  <w:style w:type="paragraph" w:styleId="TOC7">
    <w:name w:val="toc 7"/>
    <w:basedOn w:val="Normal"/>
    <w:next w:val="Normal"/>
    <w:autoRedefine/>
    <w:uiPriority w:val="2"/>
    <w:semiHidden/>
    <w:rsid w:val="00BE34EE"/>
    <w:pPr>
      <w:ind w:left="1200"/>
    </w:pPr>
  </w:style>
  <w:style w:type="paragraph" w:styleId="TOC8">
    <w:name w:val="toc 8"/>
    <w:basedOn w:val="Normal"/>
    <w:next w:val="Normal"/>
    <w:autoRedefine/>
    <w:uiPriority w:val="2"/>
    <w:semiHidden/>
    <w:rsid w:val="00BE34EE"/>
    <w:pPr>
      <w:ind w:left="1400"/>
    </w:pPr>
  </w:style>
  <w:style w:type="paragraph" w:styleId="TOC9">
    <w:name w:val="toc 9"/>
    <w:basedOn w:val="Normal"/>
    <w:next w:val="Normal"/>
    <w:autoRedefine/>
    <w:uiPriority w:val="2"/>
    <w:semiHidden/>
    <w:rsid w:val="00BE34EE"/>
    <w:pPr>
      <w:ind w:left="1600"/>
    </w:pPr>
  </w:style>
  <w:style w:type="paragraph" w:customStyle="1" w:styleId="TPHeading1">
    <w:name w:val="TP Heading 1"/>
    <w:basedOn w:val="HeadingBase"/>
    <w:semiHidden/>
    <w:rsid w:val="00BE34EE"/>
    <w:pPr>
      <w:spacing w:before="60" w:after="60"/>
      <w:ind w:left="1134"/>
    </w:pPr>
    <w:rPr>
      <w:rFonts w:ascii="Arial Bold" w:hAnsi="Arial Bold"/>
      <w:b/>
      <w:caps/>
      <w:spacing w:val="-10"/>
      <w:sz w:val="28"/>
    </w:rPr>
  </w:style>
  <w:style w:type="paragraph" w:customStyle="1" w:styleId="TPHeading2">
    <w:name w:val="TP Heading 2"/>
    <w:basedOn w:val="HeadingBase"/>
    <w:semiHidden/>
    <w:rsid w:val="00BE34EE"/>
    <w:pPr>
      <w:ind w:left="1134"/>
    </w:pPr>
    <w:rPr>
      <w:caps/>
      <w:spacing w:val="-10"/>
      <w:sz w:val="28"/>
    </w:rPr>
  </w:style>
  <w:style w:type="paragraph" w:customStyle="1" w:styleId="TPHeading3">
    <w:name w:val="TP Heading 3"/>
    <w:basedOn w:val="HeadingBase"/>
    <w:semiHidden/>
    <w:rsid w:val="00BE34EE"/>
    <w:pPr>
      <w:ind w:left="1134"/>
    </w:pPr>
    <w:rPr>
      <w:caps/>
      <w:spacing w:val="-10"/>
    </w:rPr>
  </w:style>
  <w:style w:type="paragraph" w:customStyle="1" w:styleId="TPHeading3bold">
    <w:name w:val="TP Heading 3 bold"/>
    <w:basedOn w:val="TPHeading3"/>
    <w:semiHidden/>
    <w:rsid w:val="00BE34EE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BE34EE"/>
    <w:pPr>
      <w:spacing w:after="120"/>
    </w:pPr>
  </w:style>
  <w:style w:type="paragraph" w:customStyle="1" w:styleId="TPHEADING3space">
    <w:name w:val="TP HEADING 3 space"/>
    <w:basedOn w:val="TPHeading3"/>
    <w:semiHidden/>
    <w:rsid w:val="00BE34EE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BE34EE"/>
    <w:rPr>
      <w:sz w:val="20"/>
    </w:rPr>
  </w:style>
  <w:style w:type="paragraph" w:customStyle="1" w:styleId="TPHEADING4space">
    <w:name w:val="TP HEADING 4 space"/>
    <w:basedOn w:val="TPHEADING3space"/>
    <w:semiHidden/>
    <w:rsid w:val="00BE34EE"/>
  </w:style>
  <w:style w:type="paragraph" w:customStyle="1" w:styleId="ChartLine">
    <w:name w:val="Chart Line"/>
    <w:basedOn w:val="Normal"/>
    <w:autoRedefine/>
    <w:qFormat/>
    <w:rsid w:val="00BE34EE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MainHeading">
    <w:name w:val="Chart Main Heading"/>
    <w:basedOn w:val="Normal"/>
    <w:next w:val="ChartGraphic"/>
    <w:rsid w:val="00BE34EE"/>
    <w:pPr>
      <w:keepNext/>
      <w:spacing w:before="120" w:after="20" w:line="240" w:lineRule="auto"/>
    </w:pPr>
    <w:rPr>
      <w:rFonts w:asciiTheme="majorHAnsi" w:hAnsiTheme="majorHAnsi"/>
      <w:b/>
      <w:sz w:val="20"/>
    </w:rPr>
  </w:style>
  <w:style w:type="character" w:customStyle="1" w:styleId="BoxHeading-Continued">
    <w:name w:val="Box Heading - Continued"/>
    <w:uiPriority w:val="1"/>
    <w:qFormat/>
    <w:rsid w:val="00BE34EE"/>
    <w:rPr>
      <w:sz w:val="16"/>
    </w:rPr>
  </w:style>
  <w:style w:type="paragraph" w:customStyle="1" w:styleId="Box-continuedon">
    <w:name w:val="Box - continued on"/>
    <w:basedOn w:val="Normal"/>
    <w:qFormat/>
    <w:rsid w:val="00BE34EE"/>
    <w:pPr>
      <w:jc w:val="right"/>
    </w:pPr>
    <w:rPr>
      <w:rFonts w:asciiTheme="majorHAnsi" w:hAnsiTheme="majorHAnsi" w:cstheme="majorHAnsi"/>
      <w:i/>
      <w:iCs/>
      <w:sz w:val="18"/>
      <w:szCs w:val="24"/>
    </w:rPr>
  </w:style>
  <w:style w:type="paragraph" w:customStyle="1" w:styleId="BoxHeading2">
    <w:name w:val="Box Heading 2"/>
    <w:basedOn w:val="BoxHeading"/>
    <w:autoRedefine/>
    <w:rsid w:val="00BE34EE"/>
    <w:pPr>
      <w:spacing w:after="0"/>
    </w:pPr>
    <w:rPr>
      <w:b w:val="0"/>
      <w:bCs/>
      <w:szCs w:val="14"/>
    </w:rPr>
  </w:style>
  <w:style w:type="character" w:customStyle="1" w:styleId="Heading9Char">
    <w:name w:val="Heading 9 Char"/>
    <w:basedOn w:val="DefaultParagraphFont"/>
    <w:link w:val="Heading9"/>
    <w:uiPriority w:val="9"/>
    <w:rsid w:val="00BE34EE"/>
    <w:rPr>
      <w:rFonts w:ascii="Cambria" w:eastAsia="Times New Roman" w:hAnsi="Cambria" w:cs="Times New Roman"/>
      <w:lang w:eastAsia="en-AU"/>
    </w:rPr>
  </w:style>
  <w:style w:type="paragraph" w:customStyle="1" w:styleId="GhostLine">
    <w:name w:val="Ghost Line"/>
    <w:basedOn w:val="NoSpacing"/>
    <w:qFormat/>
    <w:rsid w:val="00BE34EE"/>
    <w:pPr>
      <w:jc w:val="both"/>
    </w:pPr>
    <w:rPr>
      <w:rFonts w:ascii="Book Antiqua" w:hAnsi="Book Antiqua"/>
      <w:sz w:val="2"/>
    </w:rPr>
  </w:style>
  <w:style w:type="paragraph" w:styleId="NoSpacing">
    <w:name w:val="No Spacing"/>
    <w:uiPriority w:val="1"/>
    <w:qFormat/>
    <w:rsid w:val="00BE34EE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customStyle="1" w:styleId="BoxTextChar">
    <w:name w:val="Box Text Char"/>
    <w:basedOn w:val="DefaultParagraphFont"/>
    <w:link w:val="BoxText"/>
    <w:rsid w:val="00BE34EE"/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A5">
    <w:name w:val="A5"/>
    <w:uiPriority w:val="99"/>
    <w:rsid w:val="00BE34EE"/>
    <w:rPr>
      <w:rFonts w:cs="Swiss 721 BT"/>
      <w:color w:val="000000"/>
      <w:sz w:val="20"/>
      <w:szCs w:val="20"/>
    </w:rPr>
  </w:style>
  <w:style w:type="paragraph" w:customStyle="1" w:styleId="CreativeCommonsNormal">
    <w:name w:val="Creative Commons Normal"/>
    <w:basedOn w:val="Normal"/>
    <w:qFormat/>
    <w:rsid w:val="00BE34EE"/>
    <w:pPr>
      <w:spacing w:before="120" w:after="80"/>
    </w:pPr>
  </w:style>
  <w:style w:type="paragraph" w:customStyle="1" w:styleId="CreativeCommonsH1">
    <w:name w:val="Creative Commons H1"/>
    <w:basedOn w:val="Normal"/>
    <w:qFormat/>
    <w:rsid w:val="00BE34EE"/>
    <w:pPr>
      <w:spacing w:before="160" w:after="120"/>
    </w:pPr>
    <w:rPr>
      <w:b/>
      <w:bCs/>
    </w:rPr>
  </w:style>
  <w:style w:type="paragraph" w:customStyle="1" w:styleId="CreativeCommonsIndented">
    <w:name w:val="Creative Commons Indented"/>
    <w:basedOn w:val="CreativeCommonsNormal"/>
    <w:qFormat/>
    <w:rsid w:val="00BE34EE"/>
    <w:pPr>
      <w:ind w:left="567"/>
    </w:pPr>
  </w:style>
  <w:style w:type="paragraph" w:customStyle="1" w:styleId="OutlineNumbered1">
    <w:name w:val="Outline Numbered 1"/>
    <w:basedOn w:val="Normal"/>
    <w:link w:val="OutlineNumbered1Char"/>
    <w:qFormat/>
    <w:rsid w:val="00BE34EE"/>
    <w:pPr>
      <w:numPr>
        <w:numId w:val="22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BE34EE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OutlineNumbered2">
    <w:name w:val="Outline Numbered 2"/>
    <w:basedOn w:val="Normal"/>
    <w:qFormat/>
    <w:rsid w:val="00BE34EE"/>
    <w:pPr>
      <w:numPr>
        <w:ilvl w:val="1"/>
        <w:numId w:val="21"/>
      </w:numPr>
    </w:pPr>
  </w:style>
  <w:style w:type="paragraph" w:customStyle="1" w:styleId="OutlineNumbered3">
    <w:name w:val="Outline Numbered 3"/>
    <w:basedOn w:val="Normal"/>
    <w:qFormat/>
    <w:rsid w:val="00BE34EE"/>
    <w:pPr>
      <w:numPr>
        <w:ilvl w:val="2"/>
        <w:numId w:val="21"/>
      </w:numPr>
    </w:pPr>
  </w:style>
  <w:style w:type="character" w:styleId="Emphasis">
    <w:name w:val="Emphasis"/>
    <w:basedOn w:val="DefaultParagraphFont"/>
    <w:uiPriority w:val="20"/>
    <w:qFormat/>
    <w:rsid w:val="00BE34EE"/>
    <w:rPr>
      <w:i/>
      <w:iCs/>
    </w:rPr>
  </w:style>
  <w:style w:type="paragraph" w:customStyle="1" w:styleId="Prelims-PaperNametitlepage">
    <w:name w:val="Prelims - Paper Name (title page)"/>
    <w:basedOn w:val="Normal"/>
    <w:qFormat/>
    <w:rsid w:val="00BE34EE"/>
    <w:pPr>
      <w:keepNext/>
      <w:spacing w:before="1600" w:after="0" w:line="240" w:lineRule="auto"/>
    </w:pPr>
    <w:rPr>
      <w:rFonts w:asciiTheme="majorHAnsi" w:hAnsiTheme="majorHAnsi" w:cstheme="majorHAnsi"/>
      <w:b/>
      <w:bCs/>
      <w:sz w:val="28"/>
      <w:szCs w:val="28"/>
    </w:rPr>
  </w:style>
  <w:style w:type="paragraph" w:customStyle="1" w:styleId="Prelims-PaperNotitlepage">
    <w:name w:val="Prelims - Paper No. (title page)"/>
    <w:basedOn w:val="Normal"/>
    <w:qFormat/>
    <w:rsid w:val="00BE34EE"/>
    <w:pPr>
      <w:keepNext/>
      <w:spacing w:before="0" w:after="3800" w:line="240" w:lineRule="auto"/>
    </w:pPr>
    <w:rPr>
      <w:rFonts w:asciiTheme="majorHAnsi" w:hAnsiTheme="majorHAnsi" w:cstheme="majorHAnsi"/>
      <w:sz w:val="28"/>
      <w:szCs w:val="28"/>
    </w:rPr>
  </w:style>
  <w:style w:type="paragraph" w:customStyle="1" w:styleId="Prelims-Normaltitlepage">
    <w:name w:val="Prelims - Normal (title page)"/>
    <w:basedOn w:val="Normal"/>
    <w:qFormat/>
    <w:rsid w:val="00BE34EE"/>
    <w:pPr>
      <w:keepNext/>
      <w:spacing w:before="120" w:after="120" w:line="240" w:lineRule="auto"/>
    </w:pPr>
    <w:rPr>
      <w:rFonts w:asciiTheme="majorHAnsi" w:hAnsiTheme="majorHAnsi" w:cs="Arial"/>
      <w:sz w:val="20"/>
    </w:rPr>
  </w:style>
  <w:style w:type="paragraph" w:customStyle="1" w:styleId="Listalpha">
    <w:name w:val="List alpha"/>
    <w:link w:val="ListalphaChar"/>
    <w:qFormat/>
    <w:rsid w:val="00316D2C"/>
    <w:pPr>
      <w:numPr>
        <w:numId w:val="23"/>
      </w:numPr>
      <w:ind w:left="425" w:hanging="425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Dashalpha">
    <w:name w:val="Dash alpha"/>
    <w:qFormat/>
    <w:rsid w:val="00316D2C"/>
    <w:pPr>
      <w:numPr>
        <w:numId w:val="24"/>
      </w:numPr>
      <w:ind w:left="850" w:hanging="425"/>
    </w:pPr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ListalphaChar">
    <w:name w:val="List alpha Char"/>
    <w:basedOn w:val="DefaultParagraphFont"/>
    <w:link w:val="Listalpha"/>
    <w:rsid w:val="00316D2C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Indentalpha">
    <w:name w:val="Indent alpha"/>
    <w:basedOn w:val="NormalIndent"/>
    <w:qFormat/>
    <w:rsid w:val="00784B15"/>
    <w:pPr>
      <w:ind w:left="1559" w:hanging="1134"/>
    </w:pPr>
  </w:style>
  <w:style w:type="paragraph" w:styleId="Revision">
    <w:name w:val="Revision"/>
    <w:hidden/>
    <w:uiPriority w:val="99"/>
    <w:semiHidden/>
    <w:rsid w:val="0076642F"/>
    <w:pPr>
      <w:spacing w:after="0" w:line="240" w:lineRule="auto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B303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dget">
      <a:dk1>
        <a:sysClr val="windowText" lastClr="000000"/>
      </a:dk1>
      <a:lt1>
        <a:sysClr val="window" lastClr="FFFFFF"/>
      </a:lt1>
      <a:dk2>
        <a:srgbClr val="002A54"/>
      </a:dk2>
      <a:lt2>
        <a:srgbClr val="6D7684"/>
      </a:lt2>
      <a:accent1>
        <a:srgbClr val="0364C3"/>
      </a:accent1>
      <a:accent2>
        <a:srgbClr val="BE5154"/>
      </a:accent2>
      <a:accent3>
        <a:srgbClr val="844D9E"/>
      </a:accent3>
      <a:accent4>
        <a:srgbClr val="00818F"/>
      </a:accent4>
      <a:accent5>
        <a:srgbClr val="213657"/>
      </a:accent5>
      <a:accent6>
        <a:srgbClr val="02843D"/>
      </a:accent6>
      <a:hlink>
        <a:srgbClr val="3A6FAF"/>
      </a:hlink>
      <a:folHlink>
        <a:srgbClr val="E61E26"/>
      </a:folHlink>
    </a:clrScheme>
    <a:fontScheme name="Budget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Mid-Year Economic and Fiscal Outlook 2025–26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Mid-Year Economic and Fiscal Outlook 2025–26</dc:title>
  <dc:subject>Notes</dc:subject>
  <dc:creator>Australian Government</dc:creator>
  <cp:keywords/>
  <dc:description/>
  <cp:lastModifiedBy/>
  <cp:revision>1</cp:revision>
  <dcterms:created xsi:type="dcterms:W3CDTF">2025-12-15T22:17:00Z</dcterms:created>
  <dcterms:modified xsi:type="dcterms:W3CDTF">2025-12-15T22:20:00Z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2025-12-15T22:20:46Z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efd338e4-a38f-4fed-8ac7-1c319fa065db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